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7564A">
      <w:pPr>
        <w:pStyle w:val="8"/>
        <w:rPr>
          <w:sz w:val="52"/>
          <w:szCs w:val="52"/>
        </w:rPr>
      </w:pPr>
    </w:p>
    <w:p w14:paraId="18ECA6A0"/>
    <w:p w14:paraId="760488B3"/>
    <w:p w14:paraId="347CE426">
      <w:pPr>
        <w:adjustRightInd w:val="0"/>
        <w:spacing w:line="360" w:lineRule="auto"/>
        <w:jc w:val="center"/>
        <w:rPr>
          <w:b/>
          <w:bCs/>
          <w:sz w:val="52"/>
          <w:szCs w:val="52"/>
        </w:rPr>
      </w:pPr>
      <w:r>
        <w:rPr>
          <w:b/>
          <w:bCs/>
          <w:sz w:val="52"/>
          <w:szCs w:val="52"/>
        </w:rPr>
        <w:t>建设项目环境影响报告表</w:t>
      </w:r>
    </w:p>
    <w:p w14:paraId="650B7899">
      <w:pPr>
        <w:adjustRightInd w:val="0"/>
        <w:snapToGrid w:val="0"/>
        <w:spacing w:line="360" w:lineRule="auto"/>
        <w:jc w:val="center"/>
        <w:rPr>
          <w:b/>
          <w:bCs/>
          <w:szCs w:val="21"/>
        </w:rPr>
      </w:pPr>
      <w:r>
        <w:rPr>
          <w:b/>
          <w:bCs/>
          <w:sz w:val="52"/>
          <w:szCs w:val="52"/>
        </w:rPr>
        <w:t>（污染影响类）</w:t>
      </w:r>
    </w:p>
    <w:p w14:paraId="0459547E">
      <w:pPr>
        <w:rPr>
          <w:szCs w:val="21"/>
        </w:rPr>
      </w:pPr>
    </w:p>
    <w:p w14:paraId="12FAC7E0">
      <w:pPr>
        <w:jc w:val="center"/>
        <w:rPr>
          <w:szCs w:val="21"/>
        </w:rPr>
      </w:pPr>
    </w:p>
    <w:p w14:paraId="65FF52C4">
      <w:pPr>
        <w:jc w:val="center"/>
        <w:rPr>
          <w:szCs w:val="21"/>
        </w:rPr>
      </w:pPr>
    </w:p>
    <w:p w14:paraId="620D2432">
      <w:pPr>
        <w:jc w:val="center"/>
        <w:rPr>
          <w:szCs w:val="21"/>
        </w:rPr>
      </w:pPr>
    </w:p>
    <w:p w14:paraId="2BB1E5CA">
      <w:pPr>
        <w:jc w:val="center"/>
        <w:rPr>
          <w:szCs w:val="21"/>
        </w:rPr>
      </w:pPr>
    </w:p>
    <w:p w14:paraId="5739F047">
      <w:pPr>
        <w:jc w:val="center"/>
        <w:rPr>
          <w:szCs w:val="21"/>
        </w:rPr>
      </w:pPr>
    </w:p>
    <w:p w14:paraId="614E628F">
      <w:pPr>
        <w:pStyle w:val="8"/>
        <w:rPr>
          <w:szCs w:val="21"/>
        </w:rPr>
      </w:pPr>
    </w:p>
    <w:p w14:paraId="327A9423">
      <w:pPr>
        <w:pStyle w:val="9"/>
        <w:ind w:left="0" w:firstLine="0"/>
        <w:rPr>
          <w:szCs w:val="21"/>
        </w:rPr>
      </w:pPr>
    </w:p>
    <w:p w14:paraId="6396AB44">
      <w:pPr>
        <w:pStyle w:val="9"/>
        <w:ind w:left="0" w:firstLine="0"/>
        <w:rPr>
          <w:szCs w:val="21"/>
        </w:rPr>
      </w:pPr>
    </w:p>
    <w:p w14:paraId="33106645">
      <w:pPr>
        <w:pStyle w:val="9"/>
        <w:ind w:left="0" w:firstLine="0"/>
        <w:rPr>
          <w:szCs w:val="21"/>
        </w:rPr>
      </w:pPr>
    </w:p>
    <w:p w14:paraId="772AB3C2">
      <w:pPr>
        <w:pStyle w:val="9"/>
        <w:ind w:left="0" w:firstLine="0"/>
        <w:rPr>
          <w:szCs w:val="21"/>
        </w:rPr>
      </w:pPr>
    </w:p>
    <w:p w14:paraId="2EB12E99">
      <w:pPr>
        <w:pStyle w:val="9"/>
        <w:ind w:left="0" w:firstLine="0"/>
        <w:rPr>
          <w:szCs w:val="21"/>
        </w:rPr>
      </w:pPr>
    </w:p>
    <w:p w14:paraId="0961571D">
      <w:pPr>
        <w:pStyle w:val="9"/>
        <w:ind w:left="0" w:firstLine="0"/>
        <w:rPr>
          <w:szCs w:val="21"/>
        </w:rPr>
      </w:pPr>
    </w:p>
    <w:p w14:paraId="060C7E67">
      <w:pPr>
        <w:pStyle w:val="9"/>
        <w:ind w:left="0" w:firstLine="0"/>
        <w:rPr>
          <w:szCs w:val="21"/>
        </w:rPr>
      </w:pPr>
    </w:p>
    <w:p w14:paraId="185CF6D9">
      <w:pPr>
        <w:pStyle w:val="9"/>
        <w:ind w:left="0" w:firstLine="0"/>
        <w:rPr>
          <w:szCs w:val="21"/>
        </w:rPr>
      </w:pPr>
    </w:p>
    <w:p w14:paraId="7AC6AE4D">
      <w:pPr>
        <w:adjustRightInd w:val="0"/>
        <w:snapToGrid w:val="0"/>
        <w:spacing w:line="360" w:lineRule="auto"/>
        <w:rPr>
          <w:b/>
          <w:bCs/>
          <w:sz w:val="32"/>
          <w:szCs w:val="32"/>
          <w:u w:val="single"/>
        </w:rPr>
      </w:pPr>
      <w:r>
        <w:rPr>
          <w:b/>
          <w:bCs/>
          <w:sz w:val="32"/>
          <w:szCs w:val="32"/>
        </w:rPr>
        <w:t xml:space="preserve">项  目  名  称：  </w:t>
      </w:r>
      <w:r>
        <w:rPr>
          <w:rFonts w:hint="eastAsia"/>
          <w:b/>
          <w:bCs/>
          <w:sz w:val="32"/>
          <w:szCs w:val="32"/>
          <w:u w:val="single"/>
        </w:rPr>
        <w:t xml:space="preserve"> 新建新能源汽车配套橡胶功能件项目</w:t>
      </w:r>
    </w:p>
    <w:p w14:paraId="34078160">
      <w:pPr>
        <w:adjustRightInd w:val="0"/>
        <w:snapToGrid w:val="0"/>
        <w:spacing w:line="360" w:lineRule="auto"/>
        <w:rPr>
          <w:b/>
          <w:bCs/>
          <w:sz w:val="32"/>
          <w:szCs w:val="32"/>
          <w:u w:val="single"/>
        </w:rPr>
      </w:pPr>
      <w:r>
        <w:rPr>
          <w:b/>
          <w:bCs/>
          <w:sz w:val="32"/>
          <w:szCs w:val="32"/>
        </w:rPr>
        <w:t>建设单位（盖章）：</w:t>
      </w:r>
      <w:r>
        <w:rPr>
          <w:rFonts w:hint="eastAsia"/>
          <w:b/>
          <w:bCs/>
          <w:sz w:val="32"/>
          <w:szCs w:val="32"/>
          <w:u w:val="single"/>
        </w:rPr>
        <w:t xml:space="preserve"> 常州朗博密封科技股份有限公司</w:t>
      </w:r>
    </w:p>
    <w:p w14:paraId="5F3D6B11">
      <w:pPr>
        <w:adjustRightInd w:val="0"/>
        <w:snapToGrid w:val="0"/>
        <w:spacing w:line="360" w:lineRule="auto"/>
        <w:rPr>
          <w:sz w:val="32"/>
          <w:szCs w:val="32"/>
          <w:u w:val="single"/>
        </w:rPr>
      </w:pPr>
      <w:r>
        <w:rPr>
          <w:b/>
          <w:bCs/>
          <w:sz w:val="32"/>
          <w:szCs w:val="32"/>
        </w:rPr>
        <w:t xml:space="preserve">编  制  日  期：  </w:t>
      </w:r>
      <w:r>
        <w:rPr>
          <w:b/>
          <w:bCs/>
          <w:sz w:val="32"/>
          <w:szCs w:val="32"/>
          <w:u w:val="single"/>
        </w:rPr>
        <w:t xml:space="preserve">           202</w:t>
      </w:r>
      <w:r>
        <w:rPr>
          <w:rFonts w:hint="eastAsia"/>
          <w:b/>
          <w:bCs/>
          <w:sz w:val="32"/>
          <w:szCs w:val="32"/>
          <w:u w:val="single"/>
        </w:rPr>
        <w:t>5</w:t>
      </w:r>
      <w:r>
        <w:rPr>
          <w:b/>
          <w:bCs/>
          <w:sz w:val="32"/>
          <w:szCs w:val="32"/>
          <w:u w:val="single"/>
        </w:rPr>
        <w:t>年</w:t>
      </w:r>
      <w:r>
        <w:rPr>
          <w:rFonts w:hint="eastAsia"/>
          <w:b/>
          <w:bCs/>
          <w:sz w:val="32"/>
          <w:szCs w:val="32"/>
          <w:u w:val="single"/>
          <w:lang w:val="en-US" w:eastAsia="zh-CN"/>
        </w:rPr>
        <w:t>7</w:t>
      </w:r>
      <w:r>
        <w:rPr>
          <w:b/>
          <w:bCs/>
          <w:sz w:val="32"/>
          <w:szCs w:val="32"/>
          <w:u w:val="single"/>
        </w:rPr>
        <w:t xml:space="preserve">月      </w:t>
      </w:r>
    </w:p>
    <w:p w14:paraId="127DE497">
      <w:pPr>
        <w:adjustRightInd w:val="0"/>
        <w:snapToGrid w:val="0"/>
        <w:jc w:val="center"/>
        <w:rPr>
          <w:szCs w:val="21"/>
          <w:u w:val="single"/>
        </w:rPr>
      </w:pPr>
      <w:bookmarkStart w:id="0" w:name="_Hlk57884087"/>
    </w:p>
    <w:p w14:paraId="2476E0EC">
      <w:pPr>
        <w:adjustRightInd w:val="0"/>
        <w:snapToGrid w:val="0"/>
        <w:jc w:val="center"/>
        <w:rPr>
          <w:szCs w:val="21"/>
        </w:rPr>
      </w:pPr>
    </w:p>
    <w:p w14:paraId="44E0CE34">
      <w:pPr>
        <w:pStyle w:val="5"/>
        <w:ind w:firstLine="0" w:firstLineChars="0"/>
        <w:jc w:val="center"/>
        <w:rPr>
          <w:szCs w:val="21"/>
        </w:rPr>
      </w:pPr>
    </w:p>
    <w:p w14:paraId="3C5D790D">
      <w:pPr>
        <w:pStyle w:val="5"/>
        <w:ind w:firstLine="0" w:firstLineChars="0"/>
        <w:jc w:val="center"/>
        <w:rPr>
          <w:szCs w:val="21"/>
        </w:rPr>
      </w:pPr>
    </w:p>
    <w:bookmarkEnd w:id="0"/>
    <w:p w14:paraId="0F18B768">
      <w:pPr>
        <w:adjustRightInd w:val="0"/>
        <w:snapToGrid w:val="0"/>
        <w:jc w:val="center"/>
        <w:rPr>
          <w:szCs w:val="21"/>
        </w:rPr>
      </w:pPr>
    </w:p>
    <w:p w14:paraId="7F720302">
      <w:pPr>
        <w:adjustRightInd w:val="0"/>
        <w:snapToGrid w:val="0"/>
        <w:jc w:val="center"/>
        <w:rPr>
          <w:szCs w:val="21"/>
        </w:rPr>
      </w:pPr>
    </w:p>
    <w:p w14:paraId="11725124">
      <w:pPr>
        <w:pStyle w:val="8"/>
        <w:jc w:val="center"/>
        <w:rPr>
          <w:szCs w:val="21"/>
        </w:rPr>
      </w:pPr>
    </w:p>
    <w:p w14:paraId="104B8A9C">
      <w:pPr>
        <w:pStyle w:val="9"/>
        <w:rPr>
          <w:szCs w:val="21"/>
        </w:rPr>
      </w:pPr>
    </w:p>
    <w:p w14:paraId="4AD081F3">
      <w:pPr>
        <w:pStyle w:val="9"/>
        <w:rPr>
          <w:szCs w:val="21"/>
        </w:rPr>
      </w:pPr>
    </w:p>
    <w:p w14:paraId="298AA752">
      <w:pPr>
        <w:pStyle w:val="9"/>
        <w:ind w:left="0" w:firstLine="0"/>
        <w:jc w:val="center"/>
        <w:rPr>
          <w:szCs w:val="21"/>
        </w:rPr>
      </w:pPr>
    </w:p>
    <w:p w14:paraId="282ED3D6">
      <w:pPr>
        <w:adjustRightInd w:val="0"/>
        <w:snapToGrid w:val="0"/>
        <w:jc w:val="center"/>
        <w:rPr>
          <w:b/>
          <w:bCs/>
          <w:szCs w:val="21"/>
        </w:rPr>
      </w:pPr>
    </w:p>
    <w:p w14:paraId="0BCCD972">
      <w:pPr>
        <w:pStyle w:val="8"/>
        <w:rPr>
          <w:b/>
          <w:bCs/>
          <w:szCs w:val="21"/>
        </w:rPr>
      </w:pPr>
    </w:p>
    <w:p w14:paraId="6316CB6C">
      <w:pPr>
        <w:pStyle w:val="9"/>
        <w:ind w:left="0" w:firstLine="0"/>
        <w:rPr>
          <w:b/>
          <w:bCs/>
          <w:szCs w:val="21"/>
        </w:rPr>
      </w:pPr>
    </w:p>
    <w:p w14:paraId="18CCC139">
      <w:pPr>
        <w:pStyle w:val="9"/>
        <w:ind w:left="0" w:firstLine="0"/>
        <w:rPr>
          <w:b/>
          <w:bCs/>
          <w:szCs w:val="21"/>
        </w:rPr>
      </w:pPr>
    </w:p>
    <w:p w14:paraId="5239AF69">
      <w:pPr>
        <w:pStyle w:val="9"/>
        <w:ind w:left="0" w:firstLine="0"/>
        <w:rPr>
          <w:b/>
          <w:bCs/>
          <w:szCs w:val="21"/>
        </w:rPr>
      </w:pPr>
    </w:p>
    <w:p w14:paraId="26DC98A5">
      <w:pPr>
        <w:pStyle w:val="3"/>
        <w:sectPr>
          <w:footerReference r:id="rId3" w:type="default"/>
          <w:footerReference r:id="rId4" w:type="even"/>
          <w:pgSz w:w="11906" w:h="16838"/>
          <w:pgMar w:top="1701" w:right="1531" w:bottom="1701" w:left="1531" w:header="851" w:footer="1077" w:gutter="0"/>
          <w:cols w:space="720" w:num="1"/>
          <w:docGrid w:linePitch="312" w:charSpace="0"/>
        </w:sectPr>
      </w:pPr>
      <w:r>
        <w:t>中华人民共和国生态环境部制</w:t>
      </w:r>
    </w:p>
    <w:p w14:paraId="71E1C3A0">
      <w:pPr>
        <w:adjustRightInd w:val="0"/>
        <w:snapToGrid w:val="0"/>
        <w:spacing w:line="360" w:lineRule="auto"/>
        <w:jc w:val="center"/>
        <w:rPr>
          <w:b/>
          <w:sz w:val="24"/>
        </w:rPr>
      </w:pPr>
      <w:r>
        <w:rPr>
          <w:rFonts w:hint="eastAsia" w:eastAsia="宋体"/>
          <w:lang w:eastAsia="zh-CN"/>
        </w:rPr>
        <w:drawing>
          <wp:inline distT="0" distB="0" distL="114300" distR="114300">
            <wp:extent cx="5608320" cy="8479790"/>
            <wp:effectExtent l="0" t="0" r="0" b="8890"/>
            <wp:docPr id="1" name="图片 1" descr="图片文档 250730 14561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文档 250730 145614_01"/>
                    <pic:cNvPicPr>
                      <a:picLocks noChangeAspect="1"/>
                    </pic:cNvPicPr>
                  </pic:nvPicPr>
                  <pic:blipFill>
                    <a:blip r:embed="rId9"/>
                    <a:stretch>
                      <a:fillRect/>
                    </a:stretch>
                  </pic:blipFill>
                  <pic:spPr>
                    <a:xfrm>
                      <a:off x="0" y="0"/>
                      <a:ext cx="5608320" cy="8479790"/>
                    </a:xfrm>
                    <a:prstGeom prst="rect">
                      <a:avLst/>
                    </a:prstGeom>
                  </pic:spPr>
                </pic:pic>
              </a:graphicData>
            </a:graphic>
          </wp:inline>
        </w:drawing>
      </w:r>
      <w:bookmarkStart w:id="190" w:name="_GoBack"/>
      <w:bookmarkEnd w:id="190"/>
      <w:r>
        <w:rPr>
          <w:rFonts w:hint="eastAsia"/>
        </w:rPr>
        <w:br w:type="page"/>
      </w:r>
      <w:r>
        <w:rPr>
          <w:b/>
          <w:sz w:val="24"/>
        </w:rPr>
        <w:t>目  录</w:t>
      </w:r>
    </w:p>
    <w:p w14:paraId="387B7E10">
      <w:pPr>
        <w:pStyle w:val="17"/>
        <w:tabs>
          <w:tab w:val="right" w:leader="dot" w:pos="8844"/>
          <w:tab w:val="clear" w:pos="9176"/>
        </w:tabs>
        <w:adjustRightInd w:val="0"/>
        <w:snapToGrid w:val="0"/>
        <w:spacing w:before="0" w:after="0" w:line="360" w:lineRule="auto"/>
        <w:jc w:val="both"/>
        <w:rPr>
          <w:rFonts w:ascii="Times New Roman" w:hAnsi="Times New Roman" w:eastAsia="宋体" w:cs="Times New Roman"/>
          <w:sz w:val="21"/>
          <w:szCs w:val="21"/>
        </w:rPr>
      </w:pPr>
      <w:r>
        <w:rPr>
          <w:rFonts w:ascii="Times New Roman" w:hAnsi="Times New Roman" w:eastAsia="宋体" w:cs="Times New Roman"/>
          <w:b/>
          <w:sz w:val="21"/>
          <w:szCs w:val="21"/>
        </w:rPr>
        <w:fldChar w:fldCharType="begin"/>
      </w:r>
      <w:r>
        <w:rPr>
          <w:rFonts w:ascii="Times New Roman" w:hAnsi="Times New Roman" w:eastAsia="宋体" w:cs="Times New Roman"/>
          <w:b/>
          <w:sz w:val="21"/>
          <w:szCs w:val="21"/>
        </w:rPr>
        <w:instrText xml:space="preserve"> TOC \o "1-3" \h \z \u </w:instrText>
      </w:r>
      <w:r>
        <w:rPr>
          <w:rFonts w:ascii="Times New Roman" w:hAnsi="Times New Roman" w:eastAsia="宋体" w:cs="Times New Roman"/>
          <w:b/>
          <w:sz w:val="21"/>
          <w:szCs w:val="21"/>
        </w:rPr>
        <w:fldChar w:fldCharType="separate"/>
      </w:r>
      <w:r>
        <w:fldChar w:fldCharType="begin"/>
      </w:r>
      <w:r>
        <w:instrText xml:space="preserve"> HYPERLINK \l "_Toc17548" </w:instrText>
      </w:r>
      <w:r>
        <w:fldChar w:fldCharType="separate"/>
      </w:r>
      <w:r>
        <w:rPr>
          <w:rFonts w:ascii="Times New Roman" w:hAnsi="Times New Roman" w:eastAsia="宋体" w:cs="Times New Roman"/>
          <w:snapToGrid w:val="0"/>
          <w:sz w:val="21"/>
          <w:szCs w:val="21"/>
        </w:rPr>
        <w:t>一、建设项目基本情况</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_Toc17548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3BCB5C6A">
      <w:pPr>
        <w:pStyle w:val="17"/>
        <w:tabs>
          <w:tab w:val="right" w:leader="dot" w:pos="8844"/>
          <w:tab w:val="clear" w:pos="9176"/>
        </w:tabs>
        <w:adjustRightInd w:val="0"/>
        <w:snapToGrid w:val="0"/>
        <w:spacing w:before="0" w:after="0" w:line="360" w:lineRule="auto"/>
        <w:jc w:val="both"/>
        <w:rPr>
          <w:rFonts w:ascii="Times New Roman" w:hAnsi="Times New Roman" w:eastAsia="宋体" w:cs="Times New Roman"/>
          <w:sz w:val="21"/>
          <w:szCs w:val="21"/>
        </w:rPr>
      </w:pPr>
      <w:r>
        <w:fldChar w:fldCharType="begin"/>
      </w:r>
      <w:r>
        <w:instrText xml:space="preserve"> HYPERLINK \l "_Toc23237" </w:instrText>
      </w:r>
      <w:r>
        <w:fldChar w:fldCharType="separate"/>
      </w:r>
      <w:r>
        <w:rPr>
          <w:rFonts w:ascii="Times New Roman" w:hAnsi="Times New Roman" w:eastAsia="宋体" w:cs="Times New Roman"/>
          <w:snapToGrid w:val="0"/>
          <w:sz w:val="21"/>
          <w:szCs w:val="21"/>
        </w:rPr>
        <w:t>二、建设项目工程分析</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_Toc23237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4EF98F7B">
      <w:pPr>
        <w:pStyle w:val="17"/>
        <w:tabs>
          <w:tab w:val="right" w:leader="dot" w:pos="8844"/>
          <w:tab w:val="clear" w:pos="9176"/>
        </w:tabs>
        <w:adjustRightInd w:val="0"/>
        <w:snapToGrid w:val="0"/>
        <w:spacing w:before="0" w:after="0" w:line="360" w:lineRule="auto"/>
        <w:jc w:val="both"/>
        <w:rPr>
          <w:rFonts w:ascii="Times New Roman" w:hAnsi="Times New Roman" w:eastAsia="宋体" w:cs="Times New Roman"/>
          <w:sz w:val="21"/>
          <w:szCs w:val="21"/>
        </w:rPr>
      </w:pPr>
      <w:r>
        <w:fldChar w:fldCharType="begin"/>
      </w:r>
      <w:r>
        <w:instrText xml:space="preserve"> HYPERLINK \l "_Toc20960" </w:instrText>
      </w:r>
      <w:r>
        <w:fldChar w:fldCharType="separate"/>
      </w:r>
      <w:r>
        <w:rPr>
          <w:rFonts w:ascii="Times New Roman" w:hAnsi="Times New Roman" w:eastAsia="宋体" w:cs="Times New Roman"/>
          <w:snapToGrid w:val="0"/>
          <w:sz w:val="21"/>
          <w:szCs w:val="21"/>
        </w:rPr>
        <w:t>三、</w:t>
      </w:r>
      <w:r>
        <w:rPr>
          <w:rFonts w:ascii="Times New Roman" w:hAnsi="Times New Roman" w:eastAsia="宋体" w:cs="Times New Roman"/>
          <w:snapToGrid w:val="0"/>
          <w:kern w:val="0"/>
          <w:sz w:val="21"/>
          <w:szCs w:val="21"/>
        </w:rPr>
        <w:t>区域环境质量现状、环境保护目标及评价标准</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_Toc20960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72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073E88BE">
      <w:pPr>
        <w:pStyle w:val="17"/>
        <w:tabs>
          <w:tab w:val="right" w:leader="dot" w:pos="8844"/>
          <w:tab w:val="clear" w:pos="9176"/>
        </w:tabs>
        <w:adjustRightInd w:val="0"/>
        <w:snapToGrid w:val="0"/>
        <w:spacing w:before="0" w:after="0" w:line="360" w:lineRule="auto"/>
        <w:jc w:val="both"/>
        <w:rPr>
          <w:rFonts w:ascii="Times New Roman" w:hAnsi="Times New Roman" w:eastAsia="宋体" w:cs="Times New Roman"/>
          <w:sz w:val="21"/>
          <w:szCs w:val="21"/>
        </w:rPr>
      </w:pPr>
      <w:r>
        <w:fldChar w:fldCharType="begin"/>
      </w:r>
      <w:r>
        <w:instrText xml:space="preserve"> HYPERLINK \l "_Toc14315" </w:instrText>
      </w:r>
      <w:r>
        <w:fldChar w:fldCharType="separate"/>
      </w:r>
      <w:r>
        <w:rPr>
          <w:rFonts w:ascii="Times New Roman" w:hAnsi="Times New Roman" w:eastAsia="宋体" w:cs="Times New Roman"/>
          <w:snapToGrid w:val="0"/>
          <w:sz w:val="21"/>
          <w:szCs w:val="21"/>
        </w:rPr>
        <w:t>四、主要环境影响和保护措施</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_Toc14315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84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1ED01AB7">
      <w:pPr>
        <w:pStyle w:val="17"/>
        <w:tabs>
          <w:tab w:val="right" w:leader="dot" w:pos="8844"/>
          <w:tab w:val="clear" w:pos="9176"/>
        </w:tabs>
        <w:adjustRightInd w:val="0"/>
        <w:snapToGrid w:val="0"/>
        <w:spacing w:before="0" w:after="0" w:line="360" w:lineRule="auto"/>
        <w:jc w:val="both"/>
        <w:rPr>
          <w:rFonts w:ascii="Times New Roman" w:hAnsi="Times New Roman" w:eastAsia="宋体" w:cs="Times New Roman"/>
          <w:sz w:val="21"/>
          <w:szCs w:val="21"/>
        </w:rPr>
      </w:pPr>
      <w:r>
        <w:fldChar w:fldCharType="begin"/>
      </w:r>
      <w:r>
        <w:instrText xml:space="preserve"> HYPERLINK \l "_Toc5914" </w:instrText>
      </w:r>
      <w:r>
        <w:fldChar w:fldCharType="separate"/>
      </w:r>
      <w:r>
        <w:rPr>
          <w:rFonts w:ascii="Times New Roman" w:hAnsi="Times New Roman" w:eastAsia="宋体" w:cs="Times New Roman"/>
          <w:snapToGrid w:val="0"/>
          <w:sz w:val="21"/>
          <w:szCs w:val="21"/>
        </w:rPr>
        <w:t>五、环境保护措施监督检查清单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_Toc5914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142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4C50C430">
      <w:pPr>
        <w:pStyle w:val="17"/>
        <w:tabs>
          <w:tab w:val="right" w:leader="dot" w:pos="8844"/>
          <w:tab w:val="clear" w:pos="9176"/>
        </w:tabs>
        <w:adjustRightInd w:val="0"/>
        <w:snapToGrid w:val="0"/>
        <w:spacing w:before="0" w:after="0" w:line="360" w:lineRule="auto"/>
        <w:jc w:val="both"/>
        <w:rPr>
          <w:rFonts w:ascii="Times New Roman" w:hAnsi="Times New Roman" w:eastAsia="宋体" w:cs="Times New Roman"/>
          <w:sz w:val="21"/>
          <w:szCs w:val="21"/>
        </w:rPr>
      </w:pPr>
      <w:r>
        <w:fldChar w:fldCharType="begin"/>
      </w:r>
      <w:r>
        <w:instrText xml:space="preserve"> HYPERLINK \l "_Toc7234" </w:instrText>
      </w:r>
      <w:r>
        <w:fldChar w:fldCharType="separate"/>
      </w:r>
      <w:r>
        <w:rPr>
          <w:rFonts w:ascii="Times New Roman" w:hAnsi="Times New Roman" w:eastAsia="宋体" w:cs="Times New Roman"/>
          <w:snapToGrid w:val="0"/>
          <w:sz w:val="21"/>
          <w:szCs w:val="21"/>
        </w:rPr>
        <w:t>六、结论</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_Toc7234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144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1E508C65">
      <w:pPr>
        <w:pStyle w:val="17"/>
        <w:tabs>
          <w:tab w:val="right" w:leader="dot" w:pos="8844"/>
          <w:tab w:val="clear" w:pos="9176"/>
        </w:tabs>
        <w:adjustRightInd w:val="0"/>
        <w:snapToGrid w:val="0"/>
        <w:spacing w:before="0" w:after="0" w:line="360" w:lineRule="auto"/>
        <w:jc w:val="both"/>
      </w:pPr>
      <w:r>
        <w:fldChar w:fldCharType="begin"/>
      </w:r>
      <w:r>
        <w:instrText xml:space="preserve"> HYPERLINK \l "_Toc9187" </w:instrText>
      </w:r>
      <w:r>
        <w:fldChar w:fldCharType="separate"/>
      </w:r>
      <w:r>
        <w:rPr>
          <w:rFonts w:ascii="Times New Roman" w:hAnsi="Times New Roman" w:eastAsia="宋体" w:cs="Times New Roman"/>
          <w:snapToGrid w:val="0"/>
          <w:sz w:val="21"/>
          <w:szCs w:val="21"/>
        </w:rPr>
        <w:t>附表</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_Toc9187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145</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14:paraId="6B6D1E17">
      <w:pPr>
        <w:adjustRightInd w:val="0"/>
        <w:snapToGrid w:val="0"/>
        <w:spacing w:line="360" w:lineRule="auto"/>
        <w:rPr>
          <w:szCs w:val="21"/>
        </w:rPr>
      </w:pPr>
      <w:r>
        <w:rPr>
          <w:szCs w:val="21"/>
        </w:rPr>
        <w:fldChar w:fldCharType="end"/>
      </w:r>
    </w:p>
    <w:p w14:paraId="7C79F073">
      <w:pPr>
        <w:adjustRightInd w:val="0"/>
        <w:snapToGrid w:val="0"/>
        <w:spacing w:line="360" w:lineRule="auto"/>
        <w:rPr>
          <w:szCs w:val="21"/>
        </w:rPr>
      </w:pPr>
    </w:p>
    <w:p w14:paraId="28B5A7ED">
      <w:pPr>
        <w:adjustRightInd w:val="0"/>
        <w:snapToGrid w:val="0"/>
        <w:spacing w:line="360" w:lineRule="auto"/>
        <w:rPr>
          <w:szCs w:val="21"/>
        </w:rPr>
      </w:pPr>
    </w:p>
    <w:p w14:paraId="663DA027">
      <w:pPr>
        <w:adjustRightInd w:val="0"/>
        <w:snapToGrid w:val="0"/>
        <w:spacing w:line="360" w:lineRule="auto"/>
        <w:rPr>
          <w:szCs w:val="21"/>
        </w:rPr>
      </w:pPr>
    </w:p>
    <w:p w14:paraId="14A0BB20">
      <w:pPr>
        <w:adjustRightInd w:val="0"/>
        <w:snapToGrid w:val="0"/>
        <w:spacing w:line="360" w:lineRule="auto"/>
        <w:rPr>
          <w:szCs w:val="21"/>
        </w:rPr>
      </w:pPr>
    </w:p>
    <w:p w14:paraId="7E9BC2F1">
      <w:pPr>
        <w:adjustRightInd w:val="0"/>
        <w:snapToGrid w:val="0"/>
        <w:spacing w:line="360" w:lineRule="auto"/>
        <w:rPr>
          <w:szCs w:val="21"/>
        </w:rPr>
      </w:pPr>
    </w:p>
    <w:p w14:paraId="19B2E43C">
      <w:pPr>
        <w:adjustRightInd w:val="0"/>
        <w:snapToGrid w:val="0"/>
        <w:spacing w:line="360" w:lineRule="auto"/>
        <w:rPr>
          <w:szCs w:val="21"/>
        </w:rPr>
      </w:pPr>
    </w:p>
    <w:p w14:paraId="4AD9EC2A">
      <w:pPr>
        <w:adjustRightInd w:val="0"/>
        <w:snapToGrid w:val="0"/>
        <w:spacing w:line="360" w:lineRule="auto"/>
        <w:rPr>
          <w:szCs w:val="21"/>
        </w:rPr>
      </w:pPr>
    </w:p>
    <w:p w14:paraId="3AC2A1DE">
      <w:pPr>
        <w:adjustRightInd w:val="0"/>
        <w:snapToGrid w:val="0"/>
        <w:spacing w:line="360" w:lineRule="auto"/>
        <w:rPr>
          <w:szCs w:val="21"/>
        </w:rPr>
      </w:pPr>
    </w:p>
    <w:p w14:paraId="20442423">
      <w:pPr>
        <w:adjustRightInd w:val="0"/>
        <w:snapToGrid w:val="0"/>
        <w:spacing w:line="360" w:lineRule="auto"/>
        <w:rPr>
          <w:szCs w:val="21"/>
        </w:rPr>
      </w:pPr>
    </w:p>
    <w:p w14:paraId="30746077">
      <w:pPr>
        <w:adjustRightInd w:val="0"/>
        <w:snapToGrid w:val="0"/>
        <w:spacing w:line="360" w:lineRule="auto"/>
        <w:rPr>
          <w:szCs w:val="21"/>
        </w:rPr>
      </w:pPr>
    </w:p>
    <w:p w14:paraId="66B26056">
      <w:pPr>
        <w:adjustRightInd w:val="0"/>
        <w:snapToGrid w:val="0"/>
        <w:spacing w:line="360" w:lineRule="auto"/>
        <w:rPr>
          <w:szCs w:val="21"/>
        </w:rPr>
      </w:pPr>
    </w:p>
    <w:p w14:paraId="336CA2F7">
      <w:pPr>
        <w:adjustRightInd w:val="0"/>
        <w:snapToGrid w:val="0"/>
        <w:spacing w:line="360" w:lineRule="auto"/>
        <w:rPr>
          <w:szCs w:val="21"/>
        </w:rPr>
      </w:pPr>
    </w:p>
    <w:p w14:paraId="14352528">
      <w:pPr>
        <w:adjustRightInd w:val="0"/>
        <w:snapToGrid w:val="0"/>
        <w:spacing w:line="360" w:lineRule="auto"/>
        <w:rPr>
          <w:szCs w:val="21"/>
        </w:rPr>
      </w:pPr>
    </w:p>
    <w:p w14:paraId="791DC40B">
      <w:pPr>
        <w:adjustRightInd w:val="0"/>
        <w:snapToGrid w:val="0"/>
        <w:spacing w:line="360" w:lineRule="auto"/>
        <w:rPr>
          <w:szCs w:val="21"/>
        </w:rPr>
      </w:pPr>
    </w:p>
    <w:p w14:paraId="71C0B1F5">
      <w:pPr>
        <w:adjustRightInd w:val="0"/>
        <w:snapToGrid w:val="0"/>
        <w:spacing w:line="360" w:lineRule="auto"/>
        <w:rPr>
          <w:szCs w:val="21"/>
        </w:rPr>
      </w:pPr>
    </w:p>
    <w:p w14:paraId="547C7363">
      <w:pPr>
        <w:adjustRightInd w:val="0"/>
        <w:snapToGrid w:val="0"/>
        <w:spacing w:line="360" w:lineRule="auto"/>
        <w:rPr>
          <w:szCs w:val="21"/>
        </w:rPr>
      </w:pPr>
    </w:p>
    <w:p w14:paraId="7553ED92">
      <w:pPr>
        <w:adjustRightInd w:val="0"/>
        <w:snapToGrid w:val="0"/>
        <w:spacing w:line="360" w:lineRule="auto"/>
        <w:rPr>
          <w:szCs w:val="21"/>
        </w:rPr>
      </w:pPr>
    </w:p>
    <w:p w14:paraId="6E302E87">
      <w:pPr>
        <w:adjustRightInd w:val="0"/>
        <w:snapToGrid w:val="0"/>
        <w:spacing w:line="360" w:lineRule="auto"/>
        <w:rPr>
          <w:szCs w:val="21"/>
        </w:rPr>
      </w:pPr>
    </w:p>
    <w:p w14:paraId="5AEB7348">
      <w:pPr>
        <w:adjustRightInd w:val="0"/>
        <w:snapToGrid w:val="0"/>
        <w:spacing w:line="360" w:lineRule="auto"/>
        <w:rPr>
          <w:szCs w:val="21"/>
        </w:rPr>
      </w:pPr>
    </w:p>
    <w:p w14:paraId="4A03FD9F">
      <w:pPr>
        <w:adjustRightInd w:val="0"/>
        <w:snapToGrid w:val="0"/>
        <w:spacing w:line="360" w:lineRule="auto"/>
        <w:rPr>
          <w:szCs w:val="21"/>
        </w:rPr>
      </w:pPr>
    </w:p>
    <w:p w14:paraId="627A7746">
      <w:pPr>
        <w:adjustRightInd w:val="0"/>
        <w:snapToGrid w:val="0"/>
        <w:spacing w:line="360" w:lineRule="auto"/>
        <w:rPr>
          <w:szCs w:val="21"/>
        </w:rPr>
      </w:pPr>
    </w:p>
    <w:p w14:paraId="59609F05">
      <w:pPr>
        <w:adjustRightInd w:val="0"/>
        <w:snapToGrid w:val="0"/>
        <w:spacing w:line="360" w:lineRule="auto"/>
        <w:rPr>
          <w:szCs w:val="21"/>
        </w:rPr>
      </w:pPr>
    </w:p>
    <w:p w14:paraId="4DD3B9AB">
      <w:pPr>
        <w:adjustRightInd w:val="0"/>
        <w:snapToGrid w:val="0"/>
        <w:spacing w:line="360" w:lineRule="auto"/>
        <w:rPr>
          <w:szCs w:val="21"/>
        </w:rPr>
      </w:pPr>
    </w:p>
    <w:p w14:paraId="25D4D298">
      <w:pPr>
        <w:adjustRightInd w:val="0"/>
        <w:snapToGrid w:val="0"/>
        <w:spacing w:line="360" w:lineRule="auto"/>
        <w:rPr>
          <w:szCs w:val="21"/>
        </w:rPr>
      </w:pPr>
    </w:p>
    <w:p w14:paraId="0227B395">
      <w:pPr>
        <w:adjustRightInd w:val="0"/>
        <w:snapToGrid w:val="0"/>
        <w:spacing w:line="360" w:lineRule="auto"/>
        <w:rPr>
          <w:szCs w:val="21"/>
        </w:rPr>
      </w:pPr>
    </w:p>
    <w:p w14:paraId="01D9CADB">
      <w:pPr>
        <w:adjustRightInd w:val="0"/>
        <w:snapToGrid w:val="0"/>
        <w:spacing w:line="360" w:lineRule="auto"/>
        <w:rPr>
          <w:szCs w:val="21"/>
        </w:rPr>
      </w:pPr>
    </w:p>
    <w:p w14:paraId="6584F571">
      <w:pPr>
        <w:adjustRightInd w:val="0"/>
        <w:snapToGrid w:val="0"/>
        <w:spacing w:line="360" w:lineRule="auto"/>
        <w:rPr>
          <w:szCs w:val="21"/>
        </w:rPr>
      </w:pPr>
    </w:p>
    <w:p w14:paraId="13082B68">
      <w:pPr>
        <w:adjustRightInd w:val="0"/>
        <w:snapToGrid w:val="0"/>
        <w:spacing w:line="360" w:lineRule="auto"/>
        <w:rPr>
          <w:szCs w:val="21"/>
        </w:rPr>
      </w:pPr>
    </w:p>
    <w:p w14:paraId="64156ED0">
      <w:pPr>
        <w:adjustRightInd w:val="0"/>
        <w:snapToGrid w:val="0"/>
        <w:spacing w:line="360" w:lineRule="auto"/>
        <w:rPr>
          <w:b/>
          <w:bCs/>
          <w:szCs w:val="21"/>
        </w:rPr>
        <w:sectPr>
          <w:footerReference r:id="rId5" w:type="default"/>
          <w:pgSz w:w="11906" w:h="16838"/>
          <w:pgMar w:top="1701" w:right="1531" w:bottom="1701" w:left="1531" w:header="851" w:footer="1077" w:gutter="0"/>
          <w:pgNumType w:start="1"/>
          <w:cols w:space="720" w:num="1"/>
          <w:docGrid w:linePitch="312" w:charSpace="0"/>
        </w:sectPr>
      </w:pPr>
    </w:p>
    <w:p w14:paraId="78205805">
      <w:pPr>
        <w:pStyle w:val="21"/>
        <w:jc w:val="center"/>
        <w:outlineLvl w:val="0"/>
        <w:rPr>
          <w:rFonts w:ascii="Times New Roman" w:hAnsi="Times New Roman"/>
          <w:b/>
          <w:bCs/>
          <w:snapToGrid w:val="0"/>
          <w:szCs w:val="24"/>
        </w:rPr>
      </w:pPr>
      <w:bookmarkStart w:id="1" w:name="_Toc17548"/>
      <w:r>
        <w:rPr>
          <w:rFonts w:ascii="Times New Roman" w:hAnsi="Times New Roman"/>
          <w:b/>
          <w:bCs/>
          <w:snapToGrid w:val="0"/>
          <w:szCs w:val="24"/>
        </w:rPr>
        <w:t>一、建设项目基本情况</w:t>
      </w:r>
      <w:bookmarkEnd w:id="1"/>
    </w:p>
    <w:tbl>
      <w:tblPr>
        <w:tblStyle w:val="25"/>
        <w:tblW w:w="503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85" w:type="dxa"/>
          <w:bottom w:w="0" w:type="dxa"/>
          <w:right w:w="85" w:type="dxa"/>
        </w:tblCellMar>
      </w:tblPr>
      <w:tblGrid>
        <w:gridCol w:w="1623"/>
        <w:gridCol w:w="1842"/>
        <w:gridCol w:w="1764"/>
        <w:gridCol w:w="3784"/>
      </w:tblGrid>
      <w:tr w14:paraId="048C8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58A8D51C">
            <w:pPr>
              <w:adjustRightInd w:val="0"/>
              <w:snapToGrid w:val="0"/>
              <w:jc w:val="center"/>
              <w:rPr>
                <w:szCs w:val="21"/>
              </w:rPr>
            </w:pPr>
            <w:r>
              <w:rPr>
                <w:szCs w:val="21"/>
              </w:rPr>
              <w:t>建设项目名称</w:t>
            </w:r>
          </w:p>
        </w:tc>
        <w:tc>
          <w:tcPr>
            <w:tcW w:w="7334" w:type="dxa"/>
            <w:gridSpan w:val="3"/>
            <w:vAlign w:val="center"/>
          </w:tcPr>
          <w:p w14:paraId="06DD91CB">
            <w:pPr>
              <w:adjustRightInd w:val="0"/>
              <w:snapToGrid w:val="0"/>
              <w:jc w:val="center"/>
              <w:rPr>
                <w:szCs w:val="21"/>
              </w:rPr>
            </w:pPr>
            <w:r>
              <w:rPr>
                <w:szCs w:val="21"/>
              </w:rPr>
              <w:t>新建新能源汽车配套橡胶功能件项目</w:t>
            </w:r>
          </w:p>
        </w:tc>
      </w:tr>
      <w:tr w14:paraId="0162C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06FED832">
            <w:pPr>
              <w:adjustRightInd w:val="0"/>
              <w:snapToGrid w:val="0"/>
              <w:jc w:val="center"/>
              <w:rPr>
                <w:szCs w:val="21"/>
              </w:rPr>
            </w:pPr>
            <w:r>
              <w:rPr>
                <w:szCs w:val="21"/>
              </w:rPr>
              <w:t>项目代码</w:t>
            </w:r>
          </w:p>
        </w:tc>
        <w:tc>
          <w:tcPr>
            <w:tcW w:w="7334" w:type="dxa"/>
            <w:gridSpan w:val="3"/>
            <w:vAlign w:val="center"/>
          </w:tcPr>
          <w:p w14:paraId="3304F9AD">
            <w:pPr>
              <w:adjustRightInd w:val="0"/>
              <w:snapToGrid w:val="0"/>
              <w:jc w:val="center"/>
              <w:rPr>
                <w:szCs w:val="21"/>
              </w:rPr>
            </w:pPr>
            <w:r>
              <w:rPr>
                <w:szCs w:val="21"/>
              </w:rPr>
              <w:t>2505-320413-04-01-792789</w:t>
            </w:r>
          </w:p>
        </w:tc>
      </w:tr>
      <w:tr w14:paraId="02A00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0EB0E0EE">
            <w:pPr>
              <w:adjustRightInd w:val="0"/>
              <w:snapToGrid w:val="0"/>
              <w:jc w:val="center"/>
              <w:rPr>
                <w:szCs w:val="21"/>
              </w:rPr>
            </w:pPr>
            <w:r>
              <w:rPr>
                <w:szCs w:val="21"/>
              </w:rPr>
              <w:t>建设单位联系人</w:t>
            </w:r>
          </w:p>
        </w:tc>
        <w:tc>
          <w:tcPr>
            <w:tcW w:w="1828" w:type="dxa"/>
            <w:vAlign w:val="center"/>
          </w:tcPr>
          <w:p w14:paraId="70442F39">
            <w:pPr>
              <w:adjustRightInd w:val="0"/>
              <w:snapToGrid w:val="0"/>
              <w:jc w:val="center"/>
              <w:rPr>
                <w:rFonts w:hint="default" w:eastAsia="宋体"/>
                <w:szCs w:val="21"/>
                <w:lang w:val="en-US" w:eastAsia="zh-CN"/>
              </w:rPr>
            </w:pPr>
            <w:r>
              <w:rPr>
                <w:szCs w:val="21"/>
              </w:rPr>
              <w:t>刘</w:t>
            </w:r>
            <w:r>
              <w:rPr>
                <w:rFonts w:hint="eastAsia"/>
                <w:szCs w:val="21"/>
                <w:lang w:val="en-US" w:eastAsia="zh-CN"/>
              </w:rPr>
              <w:t>**</w:t>
            </w:r>
          </w:p>
        </w:tc>
        <w:tc>
          <w:tcPr>
            <w:tcW w:w="1751" w:type="dxa"/>
            <w:vAlign w:val="center"/>
          </w:tcPr>
          <w:p w14:paraId="6644B02D">
            <w:pPr>
              <w:adjustRightInd w:val="0"/>
              <w:snapToGrid w:val="0"/>
              <w:jc w:val="center"/>
              <w:rPr>
                <w:szCs w:val="21"/>
              </w:rPr>
            </w:pPr>
            <w:r>
              <w:rPr>
                <w:szCs w:val="21"/>
              </w:rPr>
              <w:t>联系方式</w:t>
            </w:r>
          </w:p>
        </w:tc>
        <w:tc>
          <w:tcPr>
            <w:tcW w:w="3755" w:type="dxa"/>
            <w:vAlign w:val="center"/>
          </w:tcPr>
          <w:p w14:paraId="4016978B">
            <w:pPr>
              <w:adjustRightInd w:val="0"/>
              <w:snapToGrid w:val="0"/>
              <w:jc w:val="center"/>
              <w:rPr>
                <w:szCs w:val="21"/>
              </w:rPr>
            </w:pPr>
            <w:r>
              <w:rPr>
                <w:szCs w:val="21"/>
              </w:rPr>
              <w:t>153</w:t>
            </w:r>
            <w:r>
              <w:rPr>
                <w:rFonts w:hint="eastAsia"/>
                <w:szCs w:val="21"/>
                <w:lang w:val="en-US" w:eastAsia="zh-CN"/>
              </w:rPr>
              <w:t>******8</w:t>
            </w:r>
            <w:r>
              <w:rPr>
                <w:szCs w:val="21"/>
              </w:rPr>
              <w:t>6</w:t>
            </w:r>
          </w:p>
        </w:tc>
      </w:tr>
      <w:tr w14:paraId="456DD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3DBF6BDF">
            <w:pPr>
              <w:adjustRightInd w:val="0"/>
              <w:snapToGrid w:val="0"/>
              <w:jc w:val="center"/>
              <w:rPr>
                <w:szCs w:val="21"/>
              </w:rPr>
            </w:pPr>
            <w:r>
              <w:rPr>
                <w:szCs w:val="21"/>
              </w:rPr>
              <w:t>建设地点</w:t>
            </w:r>
          </w:p>
        </w:tc>
        <w:tc>
          <w:tcPr>
            <w:tcW w:w="7334" w:type="dxa"/>
            <w:gridSpan w:val="3"/>
            <w:vAlign w:val="center"/>
          </w:tcPr>
          <w:p w14:paraId="600E6011">
            <w:pPr>
              <w:adjustRightInd w:val="0"/>
              <w:snapToGrid w:val="0"/>
              <w:jc w:val="center"/>
              <w:rPr>
                <w:szCs w:val="21"/>
              </w:rPr>
            </w:pPr>
            <w:r>
              <w:rPr>
                <w:szCs w:val="21"/>
              </w:rPr>
              <w:t>江苏省常州市金坛区尧塘街道金博路1号</w:t>
            </w:r>
          </w:p>
        </w:tc>
      </w:tr>
      <w:tr w14:paraId="7B30B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1D0F2E54">
            <w:pPr>
              <w:adjustRightInd w:val="0"/>
              <w:snapToGrid w:val="0"/>
              <w:jc w:val="center"/>
              <w:rPr>
                <w:szCs w:val="21"/>
              </w:rPr>
            </w:pPr>
            <w:r>
              <w:rPr>
                <w:szCs w:val="21"/>
              </w:rPr>
              <w:t>地理坐标</w:t>
            </w:r>
          </w:p>
        </w:tc>
        <w:tc>
          <w:tcPr>
            <w:tcW w:w="7334" w:type="dxa"/>
            <w:gridSpan w:val="3"/>
            <w:vAlign w:val="center"/>
          </w:tcPr>
          <w:p w14:paraId="7368C619">
            <w:pPr>
              <w:jc w:val="center"/>
              <w:rPr>
                <w:szCs w:val="21"/>
              </w:rPr>
            </w:pPr>
            <w:r>
              <w:rPr>
                <w:szCs w:val="21"/>
              </w:rPr>
              <w:t>（</w:t>
            </w:r>
            <w:bookmarkStart w:id="2" w:name="OLE_LINK86"/>
            <w:r>
              <w:rPr>
                <w:szCs w:val="21"/>
                <w:u w:val="single"/>
              </w:rPr>
              <w:t>119</w:t>
            </w:r>
            <w:r>
              <w:rPr>
                <w:szCs w:val="21"/>
              </w:rPr>
              <w:t>度</w:t>
            </w:r>
            <w:r>
              <w:rPr>
                <w:szCs w:val="21"/>
                <w:u w:val="single"/>
              </w:rPr>
              <w:t>37</w:t>
            </w:r>
            <w:r>
              <w:rPr>
                <w:szCs w:val="21"/>
              </w:rPr>
              <w:t>分</w:t>
            </w:r>
            <w:r>
              <w:rPr>
                <w:szCs w:val="21"/>
                <w:u w:val="single"/>
              </w:rPr>
              <w:t>45.838</w:t>
            </w:r>
            <w:r>
              <w:rPr>
                <w:szCs w:val="21"/>
              </w:rPr>
              <w:t>秒，</w:t>
            </w:r>
            <w:r>
              <w:rPr>
                <w:szCs w:val="21"/>
                <w:u w:val="single"/>
              </w:rPr>
              <w:t>31</w:t>
            </w:r>
            <w:r>
              <w:rPr>
                <w:szCs w:val="21"/>
              </w:rPr>
              <w:t>度</w:t>
            </w:r>
            <w:r>
              <w:rPr>
                <w:szCs w:val="21"/>
                <w:u w:val="single"/>
              </w:rPr>
              <w:t>40</w:t>
            </w:r>
            <w:r>
              <w:rPr>
                <w:szCs w:val="21"/>
              </w:rPr>
              <w:t>分</w:t>
            </w:r>
            <w:r>
              <w:rPr>
                <w:szCs w:val="21"/>
                <w:u w:val="single"/>
              </w:rPr>
              <w:t>10.666</w:t>
            </w:r>
            <w:r>
              <w:rPr>
                <w:szCs w:val="21"/>
              </w:rPr>
              <w:t>秒</w:t>
            </w:r>
            <w:bookmarkEnd w:id="2"/>
            <w:r>
              <w:rPr>
                <w:szCs w:val="21"/>
              </w:rPr>
              <w:t>）</w:t>
            </w:r>
          </w:p>
        </w:tc>
      </w:tr>
      <w:tr w14:paraId="53E7F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3D8EDC9B">
            <w:pPr>
              <w:adjustRightInd w:val="0"/>
              <w:snapToGrid w:val="0"/>
              <w:jc w:val="center"/>
              <w:rPr>
                <w:szCs w:val="21"/>
              </w:rPr>
            </w:pPr>
            <w:r>
              <w:rPr>
                <w:szCs w:val="21"/>
              </w:rPr>
              <w:t>国民经济行业类别</w:t>
            </w:r>
          </w:p>
        </w:tc>
        <w:tc>
          <w:tcPr>
            <w:tcW w:w="1828" w:type="dxa"/>
            <w:vAlign w:val="center"/>
          </w:tcPr>
          <w:p w14:paraId="50DAA375">
            <w:pPr>
              <w:adjustRightInd w:val="0"/>
              <w:snapToGrid w:val="0"/>
              <w:jc w:val="left"/>
            </w:pPr>
            <w:r>
              <w:rPr>
                <w:szCs w:val="21"/>
              </w:rPr>
              <w:t>C2913橡胶零件制造</w:t>
            </w:r>
          </w:p>
        </w:tc>
        <w:tc>
          <w:tcPr>
            <w:tcW w:w="1751" w:type="dxa"/>
            <w:vAlign w:val="center"/>
          </w:tcPr>
          <w:p w14:paraId="2F40A136">
            <w:pPr>
              <w:adjustRightInd w:val="0"/>
              <w:snapToGrid w:val="0"/>
              <w:jc w:val="center"/>
              <w:rPr>
                <w:szCs w:val="21"/>
              </w:rPr>
            </w:pPr>
            <w:bookmarkStart w:id="3" w:name="_Hlk49843745"/>
            <w:r>
              <w:rPr>
                <w:szCs w:val="21"/>
              </w:rPr>
              <w:t>建设项目</w:t>
            </w:r>
          </w:p>
          <w:p w14:paraId="34EB1153">
            <w:pPr>
              <w:adjustRightInd w:val="0"/>
              <w:snapToGrid w:val="0"/>
              <w:jc w:val="center"/>
              <w:rPr>
                <w:szCs w:val="21"/>
              </w:rPr>
            </w:pPr>
            <w:r>
              <w:rPr>
                <w:szCs w:val="21"/>
              </w:rPr>
              <w:t>行业类别</w:t>
            </w:r>
            <w:bookmarkEnd w:id="3"/>
          </w:p>
        </w:tc>
        <w:tc>
          <w:tcPr>
            <w:tcW w:w="3755" w:type="dxa"/>
            <w:vAlign w:val="center"/>
          </w:tcPr>
          <w:p w14:paraId="54B11EEC">
            <w:pPr>
              <w:adjustRightInd w:val="0"/>
              <w:snapToGrid w:val="0"/>
              <w:jc w:val="left"/>
            </w:pPr>
            <w:r>
              <w:rPr>
                <w:szCs w:val="21"/>
              </w:rPr>
              <w:t>二十六、橡胶和塑料制品业 52-橡胶制品业 291-其他；</w:t>
            </w:r>
          </w:p>
        </w:tc>
      </w:tr>
      <w:tr w14:paraId="3D612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7062072F">
            <w:pPr>
              <w:adjustRightInd w:val="0"/>
              <w:snapToGrid w:val="0"/>
              <w:jc w:val="center"/>
              <w:rPr>
                <w:szCs w:val="21"/>
              </w:rPr>
            </w:pPr>
            <w:r>
              <w:rPr>
                <w:szCs w:val="21"/>
              </w:rPr>
              <w:t>建设性质</w:t>
            </w:r>
          </w:p>
        </w:tc>
        <w:tc>
          <w:tcPr>
            <w:tcW w:w="1828" w:type="dxa"/>
            <w:vAlign w:val="center"/>
          </w:tcPr>
          <w:p w14:paraId="6326E6A8">
            <w:pPr>
              <w:jc w:val="left"/>
              <w:rPr>
                <w:szCs w:val="21"/>
              </w:rPr>
            </w:pPr>
            <w:r>
              <w:rPr>
                <w:szCs w:val="21"/>
              </w:rPr>
              <w:sym w:font="Wingdings" w:char="00A8"/>
            </w:r>
            <w:r>
              <w:rPr>
                <w:szCs w:val="21"/>
              </w:rPr>
              <w:t>新建（迁建）</w:t>
            </w:r>
          </w:p>
          <w:p w14:paraId="72E953C2">
            <w:pPr>
              <w:jc w:val="left"/>
              <w:rPr>
                <w:szCs w:val="21"/>
              </w:rPr>
            </w:pPr>
            <w:r>
              <w:rPr>
                <w:szCs w:val="21"/>
              </w:rPr>
              <w:sym w:font="Wingdings" w:char="00A8"/>
            </w:r>
            <w:r>
              <w:rPr>
                <w:szCs w:val="21"/>
              </w:rPr>
              <w:t>改建</w:t>
            </w:r>
          </w:p>
          <w:p w14:paraId="10976DB9">
            <w:pPr>
              <w:jc w:val="left"/>
              <w:rPr>
                <w:szCs w:val="21"/>
              </w:rPr>
            </w:pPr>
            <w:r>
              <w:rPr>
                <w:szCs w:val="21"/>
              </w:rPr>
              <w:sym w:font="Wingdings" w:char="00FE"/>
            </w:r>
            <w:r>
              <w:rPr>
                <w:szCs w:val="21"/>
              </w:rPr>
              <w:t>扩建</w:t>
            </w:r>
          </w:p>
          <w:p w14:paraId="37E12AE5">
            <w:pPr>
              <w:jc w:val="left"/>
              <w:rPr>
                <w:szCs w:val="21"/>
              </w:rPr>
            </w:pPr>
            <w:r>
              <w:rPr>
                <w:szCs w:val="21"/>
              </w:rPr>
              <w:sym w:font="Wingdings" w:char="00A8"/>
            </w:r>
            <w:r>
              <w:rPr>
                <w:szCs w:val="21"/>
              </w:rPr>
              <w:t>技术改造</w:t>
            </w:r>
          </w:p>
        </w:tc>
        <w:tc>
          <w:tcPr>
            <w:tcW w:w="1751" w:type="dxa"/>
            <w:vAlign w:val="center"/>
          </w:tcPr>
          <w:p w14:paraId="3E81C537">
            <w:pPr>
              <w:adjustRightInd w:val="0"/>
              <w:snapToGrid w:val="0"/>
              <w:jc w:val="center"/>
              <w:rPr>
                <w:szCs w:val="21"/>
              </w:rPr>
            </w:pPr>
            <w:r>
              <w:rPr>
                <w:szCs w:val="21"/>
              </w:rPr>
              <w:t>建设项目</w:t>
            </w:r>
          </w:p>
          <w:p w14:paraId="6F410BA9">
            <w:pPr>
              <w:adjustRightInd w:val="0"/>
              <w:snapToGrid w:val="0"/>
              <w:jc w:val="center"/>
              <w:rPr>
                <w:szCs w:val="21"/>
              </w:rPr>
            </w:pPr>
            <w:r>
              <w:rPr>
                <w:szCs w:val="21"/>
              </w:rPr>
              <w:t>申报情形</w:t>
            </w:r>
          </w:p>
        </w:tc>
        <w:tc>
          <w:tcPr>
            <w:tcW w:w="3755" w:type="dxa"/>
            <w:vAlign w:val="center"/>
          </w:tcPr>
          <w:p w14:paraId="5694B5C3">
            <w:pPr>
              <w:jc w:val="left"/>
              <w:rPr>
                <w:szCs w:val="21"/>
              </w:rPr>
            </w:pPr>
            <w:r>
              <w:rPr>
                <w:szCs w:val="21"/>
              </w:rPr>
              <w:sym w:font="Wingdings" w:char="00FE"/>
            </w:r>
            <w:r>
              <w:rPr>
                <w:szCs w:val="21"/>
              </w:rPr>
              <w:t>首次申报项目</w:t>
            </w:r>
          </w:p>
          <w:p w14:paraId="62116369">
            <w:pPr>
              <w:jc w:val="left"/>
              <w:rPr>
                <w:szCs w:val="21"/>
              </w:rPr>
            </w:pPr>
            <w:r>
              <w:rPr>
                <w:szCs w:val="21"/>
              </w:rPr>
              <w:sym w:font="Wingdings" w:char="00A8"/>
            </w:r>
            <w:r>
              <w:rPr>
                <w:szCs w:val="21"/>
              </w:rPr>
              <w:t>不予批准后再次申报项目</w:t>
            </w:r>
          </w:p>
          <w:p w14:paraId="7BBA2776">
            <w:pPr>
              <w:jc w:val="left"/>
              <w:rPr>
                <w:szCs w:val="21"/>
              </w:rPr>
            </w:pPr>
            <w:r>
              <w:rPr>
                <w:szCs w:val="21"/>
              </w:rPr>
              <w:sym w:font="Wingdings" w:char="00A8"/>
            </w:r>
            <w:r>
              <w:rPr>
                <w:szCs w:val="21"/>
              </w:rPr>
              <w:t>超五年重新审核项目</w:t>
            </w:r>
          </w:p>
          <w:p w14:paraId="15173CE3">
            <w:pPr>
              <w:jc w:val="left"/>
              <w:rPr>
                <w:szCs w:val="21"/>
              </w:rPr>
            </w:pPr>
            <w:r>
              <w:rPr>
                <w:szCs w:val="21"/>
              </w:rPr>
              <w:sym w:font="Wingdings" w:char="00A8"/>
            </w:r>
            <w:r>
              <w:rPr>
                <w:szCs w:val="21"/>
              </w:rPr>
              <w:t>重大变动重新报批项目</w:t>
            </w:r>
          </w:p>
        </w:tc>
      </w:tr>
      <w:tr w14:paraId="58AFE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0C62A7B1">
            <w:pPr>
              <w:adjustRightInd w:val="0"/>
              <w:snapToGrid w:val="0"/>
              <w:jc w:val="center"/>
              <w:rPr>
                <w:szCs w:val="21"/>
              </w:rPr>
            </w:pPr>
            <w:r>
              <w:rPr>
                <w:szCs w:val="21"/>
              </w:rPr>
              <w:t>项目备案部门</w:t>
            </w:r>
          </w:p>
        </w:tc>
        <w:tc>
          <w:tcPr>
            <w:tcW w:w="1828" w:type="dxa"/>
            <w:vAlign w:val="center"/>
          </w:tcPr>
          <w:p w14:paraId="564DBE39">
            <w:pPr>
              <w:adjustRightInd w:val="0"/>
              <w:snapToGrid w:val="0"/>
              <w:jc w:val="center"/>
              <w:rPr>
                <w:szCs w:val="21"/>
              </w:rPr>
            </w:pPr>
            <w:r>
              <w:rPr>
                <w:szCs w:val="21"/>
              </w:rPr>
              <w:t>常州市金坛区发展和改革局</w:t>
            </w:r>
          </w:p>
        </w:tc>
        <w:tc>
          <w:tcPr>
            <w:tcW w:w="1751" w:type="dxa"/>
            <w:vAlign w:val="center"/>
          </w:tcPr>
          <w:p w14:paraId="696EADD7">
            <w:pPr>
              <w:adjustRightInd w:val="0"/>
              <w:snapToGrid w:val="0"/>
              <w:jc w:val="center"/>
              <w:rPr>
                <w:szCs w:val="21"/>
              </w:rPr>
            </w:pPr>
            <w:r>
              <w:rPr>
                <w:szCs w:val="21"/>
              </w:rPr>
              <w:t>项目备案文号</w:t>
            </w:r>
          </w:p>
        </w:tc>
        <w:tc>
          <w:tcPr>
            <w:tcW w:w="3755" w:type="dxa"/>
            <w:vAlign w:val="center"/>
          </w:tcPr>
          <w:p w14:paraId="01ADD5E7">
            <w:pPr>
              <w:adjustRightInd w:val="0"/>
              <w:snapToGrid w:val="0"/>
              <w:jc w:val="center"/>
              <w:rPr>
                <w:szCs w:val="21"/>
              </w:rPr>
            </w:pPr>
            <w:r>
              <w:rPr>
                <w:szCs w:val="21"/>
              </w:rPr>
              <w:t>坛发改备[2025]823号</w:t>
            </w:r>
          </w:p>
        </w:tc>
      </w:tr>
      <w:tr w14:paraId="2F6F3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56EF53F0">
            <w:pPr>
              <w:adjustRightInd w:val="0"/>
              <w:snapToGrid w:val="0"/>
              <w:jc w:val="center"/>
              <w:rPr>
                <w:szCs w:val="21"/>
              </w:rPr>
            </w:pPr>
            <w:r>
              <w:rPr>
                <w:szCs w:val="21"/>
              </w:rPr>
              <w:t>总投资（万元）</w:t>
            </w:r>
          </w:p>
        </w:tc>
        <w:tc>
          <w:tcPr>
            <w:tcW w:w="1828" w:type="dxa"/>
            <w:vAlign w:val="center"/>
          </w:tcPr>
          <w:p w14:paraId="5304148D">
            <w:pPr>
              <w:adjustRightInd w:val="0"/>
              <w:snapToGrid w:val="0"/>
              <w:jc w:val="center"/>
              <w:rPr>
                <w:szCs w:val="21"/>
              </w:rPr>
            </w:pPr>
            <w:r>
              <w:rPr>
                <w:szCs w:val="21"/>
              </w:rPr>
              <w:t>6860</w:t>
            </w:r>
          </w:p>
        </w:tc>
        <w:tc>
          <w:tcPr>
            <w:tcW w:w="1751" w:type="dxa"/>
            <w:tcMar>
              <w:top w:w="16" w:type="dxa"/>
              <w:left w:w="16" w:type="dxa"/>
              <w:right w:w="16" w:type="dxa"/>
            </w:tcMar>
            <w:vAlign w:val="center"/>
          </w:tcPr>
          <w:p w14:paraId="0E4906C6">
            <w:pPr>
              <w:adjustRightInd w:val="0"/>
              <w:snapToGrid w:val="0"/>
              <w:jc w:val="center"/>
              <w:rPr>
                <w:szCs w:val="21"/>
              </w:rPr>
            </w:pPr>
            <w:r>
              <w:rPr>
                <w:szCs w:val="21"/>
              </w:rPr>
              <w:t>环保投资（万元）</w:t>
            </w:r>
          </w:p>
        </w:tc>
        <w:tc>
          <w:tcPr>
            <w:tcW w:w="3755" w:type="dxa"/>
            <w:vAlign w:val="center"/>
          </w:tcPr>
          <w:p w14:paraId="5BBDF92C">
            <w:pPr>
              <w:adjustRightInd w:val="0"/>
              <w:snapToGrid w:val="0"/>
              <w:jc w:val="center"/>
              <w:rPr>
                <w:szCs w:val="21"/>
              </w:rPr>
            </w:pPr>
            <w:r>
              <w:rPr>
                <w:szCs w:val="21"/>
              </w:rPr>
              <w:t>260</w:t>
            </w:r>
          </w:p>
        </w:tc>
      </w:tr>
      <w:tr w14:paraId="0D9CC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0CCF26C2">
            <w:pPr>
              <w:adjustRightInd w:val="0"/>
              <w:snapToGrid w:val="0"/>
              <w:jc w:val="center"/>
              <w:rPr>
                <w:szCs w:val="21"/>
              </w:rPr>
            </w:pPr>
            <w:r>
              <w:rPr>
                <w:szCs w:val="21"/>
              </w:rPr>
              <w:t>环保投资占比（%）</w:t>
            </w:r>
          </w:p>
        </w:tc>
        <w:tc>
          <w:tcPr>
            <w:tcW w:w="1828" w:type="dxa"/>
            <w:vAlign w:val="center"/>
          </w:tcPr>
          <w:p w14:paraId="03B62C18">
            <w:pPr>
              <w:adjustRightInd w:val="0"/>
              <w:snapToGrid w:val="0"/>
              <w:jc w:val="center"/>
              <w:rPr>
                <w:szCs w:val="21"/>
              </w:rPr>
            </w:pPr>
            <w:r>
              <w:rPr>
                <w:szCs w:val="21"/>
              </w:rPr>
              <w:t>3.79%</w:t>
            </w:r>
          </w:p>
        </w:tc>
        <w:tc>
          <w:tcPr>
            <w:tcW w:w="1751" w:type="dxa"/>
            <w:tcMar>
              <w:top w:w="16" w:type="dxa"/>
              <w:left w:w="16" w:type="dxa"/>
              <w:right w:w="16" w:type="dxa"/>
            </w:tcMar>
            <w:vAlign w:val="center"/>
          </w:tcPr>
          <w:p w14:paraId="2E9BFA1B">
            <w:pPr>
              <w:adjustRightInd w:val="0"/>
              <w:snapToGrid w:val="0"/>
              <w:jc w:val="center"/>
              <w:rPr>
                <w:szCs w:val="21"/>
              </w:rPr>
            </w:pPr>
            <w:r>
              <w:rPr>
                <w:szCs w:val="21"/>
              </w:rPr>
              <w:t>施工工期</w:t>
            </w:r>
          </w:p>
        </w:tc>
        <w:tc>
          <w:tcPr>
            <w:tcW w:w="3755" w:type="dxa"/>
            <w:vAlign w:val="center"/>
          </w:tcPr>
          <w:p w14:paraId="47B959EF">
            <w:pPr>
              <w:adjustRightInd w:val="0"/>
              <w:snapToGrid w:val="0"/>
              <w:jc w:val="center"/>
              <w:rPr>
                <w:szCs w:val="21"/>
              </w:rPr>
            </w:pPr>
            <w:r>
              <w:rPr>
                <w:szCs w:val="21"/>
              </w:rPr>
              <w:t>6个月</w:t>
            </w:r>
          </w:p>
        </w:tc>
      </w:tr>
      <w:tr w14:paraId="10CC1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tcMar>
              <w:top w:w="16" w:type="dxa"/>
              <w:left w:w="16" w:type="dxa"/>
              <w:right w:w="16" w:type="dxa"/>
            </w:tcMar>
            <w:vAlign w:val="center"/>
          </w:tcPr>
          <w:p w14:paraId="3F72F08C">
            <w:pPr>
              <w:adjustRightInd w:val="0"/>
              <w:snapToGrid w:val="0"/>
              <w:jc w:val="center"/>
              <w:rPr>
                <w:szCs w:val="21"/>
              </w:rPr>
            </w:pPr>
            <w:r>
              <w:rPr>
                <w:szCs w:val="21"/>
              </w:rPr>
              <w:t xml:space="preserve">是否开工建设                                                                                                                                             </w:t>
            </w:r>
          </w:p>
        </w:tc>
        <w:tc>
          <w:tcPr>
            <w:tcW w:w="1828" w:type="dxa"/>
            <w:vAlign w:val="center"/>
          </w:tcPr>
          <w:p w14:paraId="1602791A">
            <w:pPr>
              <w:adjustRightInd w:val="0"/>
              <w:snapToGrid w:val="0"/>
              <w:jc w:val="left"/>
              <w:rPr>
                <w:szCs w:val="21"/>
              </w:rPr>
            </w:pPr>
            <w:r>
              <w:rPr>
                <w:szCs w:val="21"/>
              </w:rPr>
              <w:sym w:font="Wingdings" w:char="00FE"/>
            </w:r>
            <w:r>
              <w:rPr>
                <w:szCs w:val="21"/>
              </w:rPr>
              <w:t>否</w:t>
            </w:r>
          </w:p>
          <w:p w14:paraId="094F2422">
            <w:pPr>
              <w:adjustRightInd w:val="0"/>
              <w:snapToGrid w:val="0"/>
              <w:jc w:val="left"/>
              <w:rPr>
                <w:szCs w:val="21"/>
              </w:rPr>
            </w:pPr>
            <w:r>
              <w:rPr>
                <w:szCs w:val="21"/>
              </w:rPr>
              <w:sym w:font="Wingdings" w:char="00A8"/>
            </w:r>
            <w:r>
              <w:rPr>
                <w:szCs w:val="21"/>
              </w:rPr>
              <w:t>是</w:t>
            </w:r>
          </w:p>
        </w:tc>
        <w:tc>
          <w:tcPr>
            <w:tcW w:w="1751" w:type="dxa"/>
            <w:tcMar>
              <w:top w:w="16" w:type="dxa"/>
              <w:left w:w="16" w:type="dxa"/>
              <w:right w:w="16" w:type="dxa"/>
            </w:tcMar>
            <w:vAlign w:val="center"/>
          </w:tcPr>
          <w:p w14:paraId="5A19F26C">
            <w:pPr>
              <w:adjustRightInd w:val="0"/>
              <w:snapToGrid w:val="0"/>
              <w:jc w:val="center"/>
              <w:rPr>
                <w:spacing w:val="-6"/>
                <w:szCs w:val="21"/>
              </w:rPr>
            </w:pPr>
            <w:r>
              <w:rPr>
                <w:spacing w:val="-6"/>
                <w:szCs w:val="21"/>
              </w:rPr>
              <w:t>用地面积（m</w:t>
            </w:r>
            <w:r>
              <w:rPr>
                <w:spacing w:val="-6"/>
                <w:szCs w:val="21"/>
                <w:vertAlign w:val="superscript"/>
              </w:rPr>
              <w:t>2</w:t>
            </w:r>
            <w:r>
              <w:rPr>
                <w:spacing w:val="-6"/>
                <w:szCs w:val="21"/>
              </w:rPr>
              <w:t>）</w:t>
            </w:r>
          </w:p>
        </w:tc>
        <w:tc>
          <w:tcPr>
            <w:tcW w:w="3755" w:type="dxa"/>
            <w:vAlign w:val="center"/>
          </w:tcPr>
          <w:p w14:paraId="4D25ABCF">
            <w:pPr>
              <w:adjustRightInd w:val="0"/>
              <w:snapToGrid w:val="0"/>
              <w:jc w:val="center"/>
              <w:rPr>
                <w:szCs w:val="21"/>
              </w:rPr>
            </w:pPr>
            <w:r>
              <w:rPr>
                <w:szCs w:val="21"/>
              </w:rPr>
              <w:t>75000（1#~5#车间总建筑面积34398m</w:t>
            </w:r>
            <w:r>
              <w:rPr>
                <w:szCs w:val="21"/>
                <w:vertAlign w:val="superscript"/>
              </w:rPr>
              <w:t>2</w:t>
            </w:r>
            <w:r>
              <w:rPr>
                <w:szCs w:val="21"/>
              </w:rPr>
              <w:t>）</w:t>
            </w:r>
          </w:p>
        </w:tc>
      </w:tr>
      <w:tr w14:paraId="00B66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vAlign w:val="center"/>
          </w:tcPr>
          <w:p w14:paraId="3213AA56">
            <w:pPr>
              <w:autoSpaceDE w:val="0"/>
              <w:autoSpaceDN w:val="0"/>
              <w:adjustRightInd w:val="0"/>
              <w:snapToGrid w:val="0"/>
              <w:jc w:val="center"/>
              <w:rPr>
                <w:kern w:val="0"/>
                <w:szCs w:val="21"/>
              </w:rPr>
            </w:pPr>
            <w:r>
              <w:rPr>
                <w:kern w:val="0"/>
                <w:szCs w:val="21"/>
              </w:rPr>
              <w:t>专项评价设置情况</w:t>
            </w:r>
          </w:p>
        </w:tc>
        <w:tc>
          <w:tcPr>
            <w:tcW w:w="7334" w:type="dxa"/>
            <w:gridSpan w:val="3"/>
            <w:vAlign w:val="center"/>
          </w:tcPr>
          <w:tbl>
            <w:tblPr>
              <w:tblStyle w:val="25"/>
              <w:tblW w:w="73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71"/>
              <w:gridCol w:w="2988"/>
              <w:gridCol w:w="2443"/>
              <w:gridCol w:w="974"/>
            </w:tblGrid>
            <w:tr w14:paraId="448A1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1" w:type="dxa"/>
                  <w:tcBorders>
                    <w:tl2br w:val="nil"/>
                    <w:tr2bl w:val="nil"/>
                  </w:tcBorders>
                  <w:vAlign w:val="center"/>
                </w:tcPr>
                <w:p w14:paraId="4276783C">
                  <w:pPr>
                    <w:autoSpaceDE w:val="0"/>
                    <w:autoSpaceDN w:val="0"/>
                    <w:adjustRightInd w:val="0"/>
                    <w:snapToGrid w:val="0"/>
                    <w:jc w:val="center"/>
                    <w:rPr>
                      <w:kern w:val="21"/>
                      <w:szCs w:val="21"/>
                    </w:rPr>
                  </w:pPr>
                  <w:r>
                    <w:rPr>
                      <w:kern w:val="21"/>
                      <w:szCs w:val="21"/>
                    </w:rPr>
                    <w:t>专项评价的类别</w:t>
                  </w:r>
                </w:p>
              </w:tc>
              <w:tc>
                <w:tcPr>
                  <w:tcW w:w="2988" w:type="dxa"/>
                  <w:tcBorders>
                    <w:tl2br w:val="nil"/>
                    <w:tr2bl w:val="nil"/>
                  </w:tcBorders>
                  <w:vAlign w:val="center"/>
                </w:tcPr>
                <w:p w14:paraId="70914E4B">
                  <w:pPr>
                    <w:autoSpaceDE w:val="0"/>
                    <w:autoSpaceDN w:val="0"/>
                    <w:adjustRightInd w:val="0"/>
                    <w:snapToGrid w:val="0"/>
                    <w:jc w:val="center"/>
                    <w:rPr>
                      <w:kern w:val="21"/>
                      <w:szCs w:val="21"/>
                    </w:rPr>
                  </w:pPr>
                  <w:r>
                    <w:rPr>
                      <w:kern w:val="21"/>
                      <w:szCs w:val="21"/>
                    </w:rPr>
                    <w:t>设置原则</w:t>
                  </w:r>
                </w:p>
              </w:tc>
              <w:tc>
                <w:tcPr>
                  <w:tcW w:w="2443" w:type="dxa"/>
                  <w:tcBorders>
                    <w:tl2br w:val="nil"/>
                    <w:tr2bl w:val="nil"/>
                  </w:tcBorders>
                  <w:vAlign w:val="center"/>
                </w:tcPr>
                <w:p w14:paraId="49DA1770">
                  <w:pPr>
                    <w:autoSpaceDE w:val="0"/>
                    <w:autoSpaceDN w:val="0"/>
                    <w:adjustRightInd w:val="0"/>
                    <w:snapToGrid w:val="0"/>
                    <w:jc w:val="center"/>
                    <w:rPr>
                      <w:kern w:val="21"/>
                      <w:szCs w:val="21"/>
                    </w:rPr>
                  </w:pPr>
                  <w:r>
                    <w:rPr>
                      <w:kern w:val="21"/>
                      <w:szCs w:val="21"/>
                    </w:rPr>
                    <w:t>项目情况</w:t>
                  </w:r>
                </w:p>
              </w:tc>
              <w:tc>
                <w:tcPr>
                  <w:tcW w:w="974" w:type="dxa"/>
                  <w:tcBorders>
                    <w:tl2br w:val="nil"/>
                    <w:tr2bl w:val="nil"/>
                  </w:tcBorders>
                  <w:vAlign w:val="center"/>
                </w:tcPr>
                <w:p w14:paraId="3809356C">
                  <w:pPr>
                    <w:autoSpaceDE w:val="0"/>
                    <w:autoSpaceDN w:val="0"/>
                    <w:adjustRightInd w:val="0"/>
                    <w:snapToGrid w:val="0"/>
                    <w:jc w:val="center"/>
                    <w:rPr>
                      <w:kern w:val="21"/>
                      <w:szCs w:val="21"/>
                    </w:rPr>
                  </w:pPr>
                  <w:r>
                    <w:rPr>
                      <w:kern w:val="21"/>
                      <w:szCs w:val="21"/>
                    </w:rPr>
                    <w:t>设置情况</w:t>
                  </w:r>
                </w:p>
              </w:tc>
            </w:tr>
            <w:tr w14:paraId="5DBF01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1" w:type="dxa"/>
                  <w:tcBorders>
                    <w:tl2br w:val="nil"/>
                    <w:tr2bl w:val="nil"/>
                  </w:tcBorders>
                  <w:vAlign w:val="center"/>
                </w:tcPr>
                <w:p w14:paraId="0CCD0594">
                  <w:pPr>
                    <w:autoSpaceDE w:val="0"/>
                    <w:autoSpaceDN w:val="0"/>
                    <w:adjustRightInd w:val="0"/>
                    <w:snapToGrid w:val="0"/>
                    <w:jc w:val="center"/>
                    <w:rPr>
                      <w:kern w:val="21"/>
                      <w:szCs w:val="21"/>
                    </w:rPr>
                  </w:pPr>
                  <w:r>
                    <w:rPr>
                      <w:kern w:val="21"/>
                      <w:szCs w:val="21"/>
                    </w:rPr>
                    <w:t>大气</w:t>
                  </w:r>
                </w:p>
              </w:tc>
              <w:tc>
                <w:tcPr>
                  <w:tcW w:w="2988" w:type="dxa"/>
                  <w:tcBorders>
                    <w:tl2br w:val="nil"/>
                    <w:tr2bl w:val="nil"/>
                  </w:tcBorders>
                  <w:vAlign w:val="center"/>
                </w:tcPr>
                <w:p w14:paraId="3FB5F551">
                  <w:pPr>
                    <w:autoSpaceDE w:val="0"/>
                    <w:autoSpaceDN w:val="0"/>
                    <w:adjustRightInd w:val="0"/>
                    <w:snapToGrid w:val="0"/>
                    <w:rPr>
                      <w:kern w:val="21"/>
                      <w:szCs w:val="21"/>
                    </w:rPr>
                  </w:pPr>
                  <w:r>
                    <w:rPr>
                      <w:kern w:val="21"/>
                      <w:szCs w:val="21"/>
                    </w:rPr>
                    <w:t>排放废气含有毒有害污染物</w:t>
                  </w:r>
                  <w:r>
                    <w:rPr>
                      <w:kern w:val="21"/>
                      <w:szCs w:val="21"/>
                      <w:vertAlign w:val="superscript"/>
                    </w:rPr>
                    <w:t>1</w:t>
                  </w:r>
                  <w:r>
                    <w:rPr>
                      <w:kern w:val="21"/>
                      <w:szCs w:val="21"/>
                    </w:rPr>
                    <w:t>、二噁英、苯并[a]芘、氰化物、氯气且厂界外500米范围内有环境空气保护目标</w:t>
                  </w:r>
                  <w:r>
                    <w:rPr>
                      <w:kern w:val="21"/>
                      <w:szCs w:val="21"/>
                      <w:vertAlign w:val="superscript"/>
                    </w:rPr>
                    <w:t>2</w:t>
                  </w:r>
                  <w:r>
                    <w:rPr>
                      <w:kern w:val="21"/>
                      <w:szCs w:val="21"/>
                    </w:rPr>
                    <w:t>的建设项目</w:t>
                  </w:r>
                </w:p>
              </w:tc>
              <w:tc>
                <w:tcPr>
                  <w:tcW w:w="2443" w:type="dxa"/>
                  <w:tcBorders>
                    <w:tl2br w:val="nil"/>
                    <w:tr2bl w:val="nil"/>
                  </w:tcBorders>
                  <w:vAlign w:val="center"/>
                </w:tcPr>
                <w:p w14:paraId="58DAB936">
                  <w:pPr>
                    <w:autoSpaceDE w:val="0"/>
                    <w:autoSpaceDN w:val="0"/>
                    <w:adjustRightInd w:val="0"/>
                    <w:snapToGrid w:val="0"/>
                    <w:jc w:val="center"/>
                    <w:rPr>
                      <w:kern w:val="21"/>
                      <w:szCs w:val="21"/>
                    </w:rPr>
                  </w:pPr>
                  <w:r>
                    <w:rPr>
                      <w:kern w:val="21"/>
                      <w:szCs w:val="21"/>
                    </w:rPr>
                    <w:t>项目排放废气为颗粒物、非甲烷总烃、硫化氢、氟化物、丙烯腈，均不属于《有毒有害大气污染物名录》（2018年）中有毒有害污染物，因此无需设置大气专项评价</w:t>
                  </w:r>
                </w:p>
              </w:tc>
              <w:tc>
                <w:tcPr>
                  <w:tcW w:w="974" w:type="dxa"/>
                  <w:tcBorders>
                    <w:tl2br w:val="nil"/>
                    <w:tr2bl w:val="nil"/>
                  </w:tcBorders>
                  <w:vAlign w:val="center"/>
                </w:tcPr>
                <w:p w14:paraId="00B18177">
                  <w:pPr>
                    <w:autoSpaceDE w:val="0"/>
                    <w:autoSpaceDN w:val="0"/>
                    <w:adjustRightInd w:val="0"/>
                    <w:snapToGrid w:val="0"/>
                    <w:jc w:val="center"/>
                    <w:rPr>
                      <w:kern w:val="21"/>
                      <w:szCs w:val="21"/>
                    </w:rPr>
                  </w:pPr>
                  <w:r>
                    <w:rPr>
                      <w:kern w:val="21"/>
                      <w:szCs w:val="21"/>
                    </w:rPr>
                    <w:t>无</w:t>
                  </w:r>
                </w:p>
              </w:tc>
            </w:tr>
            <w:tr w14:paraId="0F8190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 w:hRule="atLeast"/>
                <w:jc w:val="center"/>
              </w:trPr>
              <w:tc>
                <w:tcPr>
                  <w:tcW w:w="971" w:type="dxa"/>
                  <w:tcBorders>
                    <w:tl2br w:val="nil"/>
                    <w:tr2bl w:val="nil"/>
                  </w:tcBorders>
                  <w:vAlign w:val="center"/>
                </w:tcPr>
                <w:p w14:paraId="5777D331">
                  <w:pPr>
                    <w:autoSpaceDE w:val="0"/>
                    <w:autoSpaceDN w:val="0"/>
                    <w:adjustRightInd w:val="0"/>
                    <w:snapToGrid w:val="0"/>
                    <w:jc w:val="center"/>
                    <w:rPr>
                      <w:kern w:val="21"/>
                      <w:szCs w:val="21"/>
                    </w:rPr>
                  </w:pPr>
                  <w:r>
                    <w:rPr>
                      <w:kern w:val="21"/>
                      <w:szCs w:val="21"/>
                    </w:rPr>
                    <w:t>地表水</w:t>
                  </w:r>
                </w:p>
              </w:tc>
              <w:tc>
                <w:tcPr>
                  <w:tcW w:w="2988" w:type="dxa"/>
                  <w:tcBorders>
                    <w:tl2br w:val="nil"/>
                    <w:tr2bl w:val="nil"/>
                  </w:tcBorders>
                  <w:vAlign w:val="center"/>
                </w:tcPr>
                <w:p w14:paraId="7D0B9F25">
                  <w:pPr>
                    <w:autoSpaceDE w:val="0"/>
                    <w:autoSpaceDN w:val="0"/>
                    <w:adjustRightInd w:val="0"/>
                    <w:snapToGrid w:val="0"/>
                    <w:rPr>
                      <w:kern w:val="21"/>
                      <w:szCs w:val="21"/>
                    </w:rPr>
                  </w:pPr>
                  <w:r>
                    <w:rPr>
                      <w:kern w:val="21"/>
                      <w:szCs w:val="21"/>
                    </w:rPr>
                    <w:t>新增工业废水直排建设项目（槽罐车外送污水处理厂的除外）；新增废水直排的污水集中处理厂</w:t>
                  </w:r>
                </w:p>
              </w:tc>
              <w:tc>
                <w:tcPr>
                  <w:tcW w:w="2443" w:type="dxa"/>
                  <w:tcBorders>
                    <w:tl2br w:val="nil"/>
                    <w:tr2bl w:val="nil"/>
                  </w:tcBorders>
                  <w:vAlign w:val="center"/>
                </w:tcPr>
                <w:p w14:paraId="1C668955">
                  <w:pPr>
                    <w:autoSpaceDE w:val="0"/>
                    <w:autoSpaceDN w:val="0"/>
                    <w:adjustRightInd w:val="0"/>
                    <w:snapToGrid w:val="0"/>
                    <w:jc w:val="center"/>
                    <w:rPr>
                      <w:kern w:val="21"/>
                      <w:szCs w:val="21"/>
                    </w:rPr>
                  </w:pPr>
                  <w:r>
                    <w:rPr>
                      <w:kern w:val="21"/>
                      <w:szCs w:val="21"/>
                    </w:rPr>
                    <w:t>项目无工业废水直排，因此无需设置地表水专项评价</w:t>
                  </w:r>
                </w:p>
              </w:tc>
              <w:tc>
                <w:tcPr>
                  <w:tcW w:w="974" w:type="dxa"/>
                  <w:tcBorders>
                    <w:tl2br w:val="nil"/>
                    <w:tr2bl w:val="nil"/>
                  </w:tcBorders>
                  <w:vAlign w:val="center"/>
                </w:tcPr>
                <w:p w14:paraId="58251BC7">
                  <w:pPr>
                    <w:autoSpaceDE w:val="0"/>
                    <w:autoSpaceDN w:val="0"/>
                    <w:adjustRightInd w:val="0"/>
                    <w:snapToGrid w:val="0"/>
                    <w:jc w:val="center"/>
                    <w:rPr>
                      <w:kern w:val="21"/>
                      <w:szCs w:val="21"/>
                    </w:rPr>
                  </w:pPr>
                  <w:r>
                    <w:rPr>
                      <w:kern w:val="21"/>
                      <w:szCs w:val="21"/>
                    </w:rPr>
                    <w:t>无</w:t>
                  </w:r>
                </w:p>
              </w:tc>
            </w:tr>
            <w:tr w14:paraId="6A87BB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 w:hRule="atLeast"/>
                <w:jc w:val="center"/>
              </w:trPr>
              <w:tc>
                <w:tcPr>
                  <w:tcW w:w="971" w:type="dxa"/>
                  <w:tcBorders>
                    <w:tl2br w:val="nil"/>
                    <w:tr2bl w:val="nil"/>
                  </w:tcBorders>
                  <w:vAlign w:val="center"/>
                </w:tcPr>
                <w:p w14:paraId="025F606F">
                  <w:pPr>
                    <w:autoSpaceDE w:val="0"/>
                    <w:autoSpaceDN w:val="0"/>
                    <w:adjustRightInd w:val="0"/>
                    <w:snapToGrid w:val="0"/>
                    <w:jc w:val="center"/>
                    <w:rPr>
                      <w:kern w:val="21"/>
                      <w:szCs w:val="21"/>
                    </w:rPr>
                  </w:pPr>
                  <w:r>
                    <w:rPr>
                      <w:kern w:val="21"/>
                      <w:szCs w:val="21"/>
                    </w:rPr>
                    <w:t>环境风险</w:t>
                  </w:r>
                </w:p>
              </w:tc>
              <w:tc>
                <w:tcPr>
                  <w:tcW w:w="2988" w:type="dxa"/>
                  <w:tcBorders>
                    <w:tl2br w:val="nil"/>
                    <w:tr2bl w:val="nil"/>
                  </w:tcBorders>
                  <w:vAlign w:val="center"/>
                </w:tcPr>
                <w:p w14:paraId="10A764A8">
                  <w:pPr>
                    <w:autoSpaceDE w:val="0"/>
                    <w:autoSpaceDN w:val="0"/>
                    <w:adjustRightInd w:val="0"/>
                    <w:snapToGrid w:val="0"/>
                    <w:rPr>
                      <w:kern w:val="21"/>
                      <w:szCs w:val="21"/>
                    </w:rPr>
                  </w:pPr>
                  <w:r>
                    <w:rPr>
                      <w:kern w:val="21"/>
                      <w:szCs w:val="21"/>
                    </w:rPr>
                    <w:t>有毒有害和易燃易爆危险物质存储量超过临界量</w:t>
                  </w:r>
                  <w:r>
                    <w:rPr>
                      <w:kern w:val="21"/>
                      <w:szCs w:val="21"/>
                      <w:vertAlign w:val="superscript"/>
                    </w:rPr>
                    <w:t>3</w:t>
                  </w:r>
                  <w:r>
                    <w:rPr>
                      <w:kern w:val="21"/>
                      <w:szCs w:val="21"/>
                    </w:rPr>
                    <w:t>的建设项目</w:t>
                  </w:r>
                </w:p>
              </w:tc>
              <w:tc>
                <w:tcPr>
                  <w:tcW w:w="2443" w:type="dxa"/>
                  <w:tcBorders>
                    <w:tl2br w:val="nil"/>
                    <w:tr2bl w:val="nil"/>
                  </w:tcBorders>
                  <w:vAlign w:val="center"/>
                </w:tcPr>
                <w:p w14:paraId="0F3E62AF">
                  <w:pPr>
                    <w:autoSpaceDE w:val="0"/>
                    <w:autoSpaceDN w:val="0"/>
                    <w:adjustRightInd w:val="0"/>
                    <w:snapToGrid w:val="0"/>
                    <w:jc w:val="center"/>
                    <w:rPr>
                      <w:kern w:val="21"/>
                      <w:szCs w:val="21"/>
                    </w:rPr>
                  </w:pPr>
                  <w:r>
                    <w:rPr>
                      <w:kern w:val="21"/>
                      <w:szCs w:val="21"/>
                    </w:rPr>
                    <w:t>项目有毒有害和易燃易爆危险物质存储量未超过临界量，Q&lt;1，因此无需设置环境风险专项评价</w:t>
                  </w:r>
                </w:p>
              </w:tc>
              <w:tc>
                <w:tcPr>
                  <w:tcW w:w="974" w:type="dxa"/>
                  <w:tcBorders>
                    <w:tl2br w:val="nil"/>
                    <w:tr2bl w:val="nil"/>
                  </w:tcBorders>
                  <w:vAlign w:val="center"/>
                </w:tcPr>
                <w:p w14:paraId="73A0C4D6">
                  <w:pPr>
                    <w:autoSpaceDE w:val="0"/>
                    <w:autoSpaceDN w:val="0"/>
                    <w:adjustRightInd w:val="0"/>
                    <w:snapToGrid w:val="0"/>
                    <w:jc w:val="center"/>
                    <w:rPr>
                      <w:kern w:val="21"/>
                      <w:szCs w:val="21"/>
                    </w:rPr>
                  </w:pPr>
                  <w:r>
                    <w:rPr>
                      <w:kern w:val="21"/>
                      <w:szCs w:val="21"/>
                    </w:rPr>
                    <w:t>无</w:t>
                  </w:r>
                </w:p>
              </w:tc>
            </w:tr>
            <w:tr w14:paraId="7A1815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 w:hRule="atLeast"/>
                <w:jc w:val="center"/>
              </w:trPr>
              <w:tc>
                <w:tcPr>
                  <w:tcW w:w="971" w:type="dxa"/>
                  <w:tcBorders>
                    <w:tl2br w:val="nil"/>
                    <w:tr2bl w:val="nil"/>
                  </w:tcBorders>
                  <w:vAlign w:val="center"/>
                </w:tcPr>
                <w:p w14:paraId="0CD23A40">
                  <w:pPr>
                    <w:autoSpaceDE w:val="0"/>
                    <w:autoSpaceDN w:val="0"/>
                    <w:adjustRightInd w:val="0"/>
                    <w:snapToGrid w:val="0"/>
                    <w:jc w:val="center"/>
                    <w:rPr>
                      <w:kern w:val="21"/>
                      <w:szCs w:val="21"/>
                    </w:rPr>
                  </w:pPr>
                  <w:r>
                    <w:rPr>
                      <w:kern w:val="21"/>
                      <w:szCs w:val="21"/>
                    </w:rPr>
                    <w:t>生态</w:t>
                  </w:r>
                </w:p>
              </w:tc>
              <w:tc>
                <w:tcPr>
                  <w:tcW w:w="2988" w:type="dxa"/>
                  <w:tcBorders>
                    <w:tl2br w:val="nil"/>
                    <w:tr2bl w:val="nil"/>
                  </w:tcBorders>
                  <w:vAlign w:val="center"/>
                </w:tcPr>
                <w:p w14:paraId="1A8329D9">
                  <w:pPr>
                    <w:autoSpaceDE w:val="0"/>
                    <w:autoSpaceDN w:val="0"/>
                    <w:adjustRightInd w:val="0"/>
                    <w:snapToGrid w:val="0"/>
                    <w:rPr>
                      <w:kern w:val="21"/>
                      <w:szCs w:val="21"/>
                    </w:rPr>
                  </w:pPr>
                  <w:r>
                    <w:rPr>
                      <w:kern w:val="21"/>
                      <w:szCs w:val="21"/>
                    </w:rPr>
                    <w:t>取水口下游500米范围内有重要水生生物的自然产卵场、索饵场、越冬场和洄游通道的新增河道取水的污染类建设项目</w:t>
                  </w:r>
                </w:p>
              </w:tc>
              <w:tc>
                <w:tcPr>
                  <w:tcW w:w="2443" w:type="dxa"/>
                  <w:tcBorders>
                    <w:tl2br w:val="nil"/>
                    <w:tr2bl w:val="nil"/>
                  </w:tcBorders>
                  <w:vAlign w:val="center"/>
                </w:tcPr>
                <w:p w14:paraId="3283EB66">
                  <w:pPr>
                    <w:autoSpaceDE w:val="0"/>
                    <w:autoSpaceDN w:val="0"/>
                    <w:adjustRightInd w:val="0"/>
                    <w:snapToGrid w:val="0"/>
                    <w:jc w:val="center"/>
                    <w:rPr>
                      <w:kern w:val="21"/>
                      <w:szCs w:val="21"/>
                    </w:rPr>
                  </w:pPr>
                  <w:r>
                    <w:rPr>
                      <w:kern w:val="21"/>
                      <w:szCs w:val="21"/>
                    </w:rPr>
                    <w:t>不涉及</w:t>
                  </w:r>
                </w:p>
              </w:tc>
              <w:tc>
                <w:tcPr>
                  <w:tcW w:w="974" w:type="dxa"/>
                  <w:tcBorders>
                    <w:tl2br w:val="nil"/>
                    <w:tr2bl w:val="nil"/>
                  </w:tcBorders>
                  <w:vAlign w:val="center"/>
                </w:tcPr>
                <w:p w14:paraId="67186157">
                  <w:pPr>
                    <w:autoSpaceDE w:val="0"/>
                    <w:autoSpaceDN w:val="0"/>
                    <w:adjustRightInd w:val="0"/>
                    <w:snapToGrid w:val="0"/>
                    <w:jc w:val="center"/>
                    <w:rPr>
                      <w:kern w:val="21"/>
                      <w:szCs w:val="21"/>
                    </w:rPr>
                  </w:pPr>
                  <w:r>
                    <w:rPr>
                      <w:kern w:val="21"/>
                      <w:szCs w:val="21"/>
                    </w:rPr>
                    <w:t>无</w:t>
                  </w:r>
                </w:p>
              </w:tc>
            </w:tr>
            <w:tr w14:paraId="41ED9D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 w:hRule="atLeast"/>
                <w:jc w:val="center"/>
              </w:trPr>
              <w:tc>
                <w:tcPr>
                  <w:tcW w:w="971" w:type="dxa"/>
                  <w:tcBorders>
                    <w:tl2br w:val="nil"/>
                    <w:tr2bl w:val="nil"/>
                  </w:tcBorders>
                  <w:vAlign w:val="center"/>
                </w:tcPr>
                <w:p w14:paraId="3EF63A2B">
                  <w:pPr>
                    <w:autoSpaceDE w:val="0"/>
                    <w:autoSpaceDN w:val="0"/>
                    <w:adjustRightInd w:val="0"/>
                    <w:snapToGrid w:val="0"/>
                    <w:jc w:val="center"/>
                    <w:rPr>
                      <w:kern w:val="21"/>
                      <w:szCs w:val="21"/>
                    </w:rPr>
                  </w:pPr>
                  <w:r>
                    <w:rPr>
                      <w:kern w:val="21"/>
                      <w:szCs w:val="21"/>
                    </w:rPr>
                    <w:t>海洋</w:t>
                  </w:r>
                </w:p>
              </w:tc>
              <w:tc>
                <w:tcPr>
                  <w:tcW w:w="2988" w:type="dxa"/>
                  <w:tcBorders>
                    <w:tl2br w:val="nil"/>
                    <w:tr2bl w:val="nil"/>
                  </w:tcBorders>
                  <w:vAlign w:val="center"/>
                </w:tcPr>
                <w:p w14:paraId="1F84C030">
                  <w:pPr>
                    <w:autoSpaceDE w:val="0"/>
                    <w:autoSpaceDN w:val="0"/>
                    <w:adjustRightInd w:val="0"/>
                    <w:snapToGrid w:val="0"/>
                    <w:rPr>
                      <w:kern w:val="21"/>
                      <w:szCs w:val="21"/>
                    </w:rPr>
                  </w:pPr>
                  <w:r>
                    <w:rPr>
                      <w:kern w:val="21"/>
                      <w:szCs w:val="21"/>
                    </w:rPr>
                    <w:t>直接向海排放污染物的海洋工程建设项目</w:t>
                  </w:r>
                </w:p>
              </w:tc>
              <w:tc>
                <w:tcPr>
                  <w:tcW w:w="2443" w:type="dxa"/>
                  <w:tcBorders>
                    <w:tl2br w:val="nil"/>
                    <w:tr2bl w:val="nil"/>
                  </w:tcBorders>
                  <w:vAlign w:val="center"/>
                </w:tcPr>
                <w:p w14:paraId="16D42B08">
                  <w:pPr>
                    <w:autoSpaceDE w:val="0"/>
                    <w:autoSpaceDN w:val="0"/>
                    <w:adjustRightInd w:val="0"/>
                    <w:snapToGrid w:val="0"/>
                    <w:jc w:val="center"/>
                    <w:rPr>
                      <w:kern w:val="21"/>
                      <w:szCs w:val="21"/>
                    </w:rPr>
                  </w:pPr>
                  <w:r>
                    <w:rPr>
                      <w:kern w:val="21"/>
                      <w:szCs w:val="21"/>
                    </w:rPr>
                    <w:t>不涉及</w:t>
                  </w:r>
                </w:p>
              </w:tc>
              <w:tc>
                <w:tcPr>
                  <w:tcW w:w="974" w:type="dxa"/>
                  <w:tcBorders>
                    <w:tl2br w:val="nil"/>
                    <w:tr2bl w:val="nil"/>
                  </w:tcBorders>
                  <w:vAlign w:val="center"/>
                </w:tcPr>
                <w:p w14:paraId="478C4E2B">
                  <w:pPr>
                    <w:autoSpaceDE w:val="0"/>
                    <w:autoSpaceDN w:val="0"/>
                    <w:adjustRightInd w:val="0"/>
                    <w:snapToGrid w:val="0"/>
                    <w:jc w:val="center"/>
                    <w:rPr>
                      <w:kern w:val="21"/>
                      <w:szCs w:val="21"/>
                    </w:rPr>
                  </w:pPr>
                  <w:r>
                    <w:rPr>
                      <w:kern w:val="21"/>
                      <w:szCs w:val="21"/>
                    </w:rPr>
                    <w:t>无</w:t>
                  </w:r>
                </w:p>
              </w:tc>
            </w:tr>
          </w:tbl>
          <w:p w14:paraId="4DA30A4A">
            <w:pPr>
              <w:autoSpaceDE w:val="0"/>
              <w:autoSpaceDN w:val="0"/>
              <w:adjustRightInd w:val="0"/>
              <w:snapToGrid w:val="0"/>
              <w:jc w:val="center"/>
              <w:rPr>
                <w:kern w:val="0"/>
                <w:szCs w:val="21"/>
              </w:rPr>
            </w:pPr>
          </w:p>
        </w:tc>
      </w:tr>
      <w:tr w14:paraId="7F13B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vAlign w:val="center"/>
          </w:tcPr>
          <w:p w14:paraId="36B14554">
            <w:pPr>
              <w:autoSpaceDE w:val="0"/>
              <w:autoSpaceDN w:val="0"/>
              <w:adjustRightInd w:val="0"/>
              <w:snapToGrid w:val="0"/>
              <w:jc w:val="center"/>
              <w:rPr>
                <w:kern w:val="0"/>
                <w:szCs w:val="21"/>
              </w:rPr>
            </w:pPr>
            <w:r>
              <w:rPr>
                <w:szCs w:val="21"/>
              </w:rPr>
              <w:t>规划情况</w:t>
            </w:r>
          </w:p>
        </w:tc>
        <w:tc>
          <w:tcPr>
            <w:tcW w:w="7334" w:type="dxa"/>
            <w:gridSpan w:val="3"/>
            <w:vAlign w:val="center"/>
          </w:tcPr>
          <w:p w14:paraId="66B4F436">
            <w:pPr>
              <w:autoSpaceDE w:val="0"/>
              <w:autoSpaceDN w:val="0"/>
              <w:adjustRightInd w:val="0"/>
              <w:snapToGrid w:val="0"/>
              <w:spacing w:line="360" w:lineRule="auto"/>
              <w:rPr>
                <w:kern w:val="0"/>
                <w:szCs w:val="21"/>
              </w:rPr>
            </w:pPr>
            <w:r>
              <w:rPr>
                <w:kern w:val="0"/>
                <w:szCs w:val="21"/>
              </w:rPr>
              <w:t>规划名称：《</w:t>
            </w:r>
            <w:r>
              <w:rPr>
                <w:szCs w:val="21"/>
              </w:rPr>
              <w:t>江苏省金坛华罗庚高新技术产业开发区开发建设规划（2022-2035）</w:t>
            </w:r>
            <w:r>
              <w:rPr>
                <w:kern w:val="0"/>
                <w:szCs w:val="21"/>
              </w:rPr>
              <w:t>》</w:t>
            </w:r>
          </w:p>
          <w:p w14:paraId="3BFB6040">
            <w:pPr>
              <w:autoSpaceDE w:val="0"/>
              <w:autoSpaceDN w:val="0"/>
              <w:adjustRightInd w:val="0"/>
              <w:snapToGrid w:val="0"/>
              <w:spacing w:line="360" w:lineRule="auto"/>
              <w:rPr>
                <w:kern w:val="0"/>
                <w:szCs w:val="21"/>
              </w:rPr>
            </w:pPr>
            <w:r>
              <w:rPr>
                <w:kern w:val="0"/>
                <w:szCs w:val="21"/>
              </w:rPr>
              <w:t>审批机关：/</w:t>
            </w:r>
          </w:p>
          <w:p w14:paraId="75F0DFAA">
            <w:pPr>
              <w:autoSpaceDE w:val="0"/>
              <w:autoSpaceDN w:val="0"/>
              <w:adjustRightInd w:val="0"/>
              <w:snapToGrid w:val="0"/>
              <w:spacing w:line="360" w:lineRule="auto"/>
              <w:rPr>
                <w:kern w:val="0"/>
                <w:szCs w:val="21"/>
              </w:rPr>
            </w:pPr>
            <w:r>
              <w:rPr>
                <w:kern w:val="0"/>
                <w:szCs w:val="21"/>
              </w:rPr>
              <w:t>审批文件名称：/</w:t>
            </w:r>
          </w:p>
          <w:p w14:paraId="55B79FD0">
            <w:pPr>
              <w:autoSpaceDE w:val="0"/>
              <w:autoSpaceDN w:val="0"/>
              <w:adjustRightInd w:val="0"/>
              <w:snapToGrid w:val="0"/>
              <w:spacing w:line="360" w:lineRule="auto"/>
              <w:rPr>
                <w:kern w:val="0"/>
                <w:szCs w:val="21"/>
              </w:rPr>
            </w:pPr>
            <w:r>
              <w:rPr>
                <w:kern w:val="0"/>
                <w:szCs w:val="21"/>
              </w:rPr>
              <w:t>审批文号：/</w:t>
            </w:r>
          </w:p>
        </w:tc>
      </w:tr>
      <w:tr w14:paraId="29D5B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vAlign w:val="center"/>
          </w:tcPr>
          <w:p w14:paraId="00D3D5C3">
            <w:pPr>
              <w:adjustRightInd w:val="0"/>
              <w:snapToGrid w:val="0"/>
              <w:jc w:val="center"/>
              <w:rPr>
                <w:kern w:val="0"/>
                <w:szCs w:val="21"/>
              </w:rPr>
            </w:pPr>
            <w:r>
              <w:rPr>
                <w:szCs w:val="21"/>
              </w:rPr>
              <w:t>规划环境影响评价情况</w:t>
            </w:r>
          </w:p>
        </w:tc>
        <w:tc>
          <w:tcPr>
            <w:tcW w:w="7334" w:type="dxa"/>
            <w:gridSpan w:val="3"/>
            <w:vAlign w:val="center"/>
          </w:tcPr>
          <w:p w14:paraId="140167B8">
            <w:pPr>
              <w:autoSpaceDE w:val="0"/>
              <w:autoSpaceDN w:val="0"/>
              <w:adjustRightInd w:val="0"/>
              <w:snapToGrid w:val="0"/>
              <w:spacing w:line="360" w:lineRule="auto"/>
              <w:rPr>
                <w:szCs w:val="21"/>
              </w:rPr>
            </w:pPr>
            <w:r>
              <w:rPr>
                <w:szCs w:val="21"/>
              </w:rPr>
              <w:t>规划环境影响评价文件名称：《江苏省金坛华罗庚高新技术产业开发区开发建设规划（2022-2035）环境影响报告书》</w:t>
            </w:r>
          </w:p>
          <w:p w14:paraId="68602D42">
            <w:pPr>
              <w:autoSpaceDE w:val="0"/>
              <w:autoSpaceDN w:val="0"/>
              <w:adjustRightInd w:val="0"/>
              <w:snapToGrid w:val="0"/>
              <w:spacing w:line="360" w:lineRule="auto"/>
              <w:rPr>
                <w:szCs w:val="21"/>
              </w:rPr>
            </w:pPr>
            <w:r>
              <w:rPr>
                <w:szCs w:val="21"/>
              </w:rPr>
              <w:t>召集审查机关：常州市生态环境局</w:t>
            </w:r>
          </w:p>
          <w:p w14:paraId="68CC9EE9">
            <w:pPr>
              <w:autoSpaceDE w:val="0"/>
              <w:autoSpaceDN w:val="0"/>
              <w:adjustRightInd w:val="0"/>
              <w:snapToGrid w:val="0"/>
              <w:spacing w:line="360" w:lineRule="auto"/>
              <w:rPr>
                <w:szCs w:val="21"/>
              </w:rPr>
            </w:pPr>
            <w:r>
              <w:rPr>
                <w:szCs w:val="21"/>
              </w:rPr>
              <w:t>审查文件：《市生态环境局关于江苏省金坛华罗庚高新技术产业开发区开发建设规划（2022-2035）环境影响报告书的审查意见》</w:t>
            </w:r>
          </w:p>
          <w:p w14:paraId="20166E06">
            <w:pPr>
              <w:autoSpaceDE w:val="0"/>
              <w:autoSpaceDN w:val="0"/>
              <w:adjustRightInd w:val="0"/>
              <w:snapToGrid w:val="0"/>
              <w:spacing w:line="360" w:lineRule="auto"/>
              <w:rPr>
                <w:kern w:val="0"/>
                <w:szCs w:val="21"/>
              </w:rPr>
            </w:pPr>
            <w:r>
              <w:rPr>
                <w:szCs w:val="21"/>
              </w:rPr>
              <w:t>审查文号：常金环审〔2023〕4号</w:t>
            </w:r>
          </w:p>
        </w:tc>
      </w:tr>
      <w:tr w14:paraId="3E07E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vAlign w:val="center"/>
          </w:tcPr>
          <w:p w14:paraId="4E1C75AD">
            <w:pPr>
              <w:autoSpaceDE w:val="0"/>
              <w:autoSpaceDN w:val="0"/>
              <w:adjustRightInd w:val="0"/>
              <w:snapToGrid w:val="0"/>
              <w:jc w:val="center"/>
              <w:rPr>
                <w:kern w:val="0"/>
                <w:szCs w:val="21"/>
              </w:rPr>
            </w:pPr>
            <w:r>
              <w:rPr>
                <w:kern w:val="0"/>
                <w:szCs w:val="21"/>
              </w:rPr>
              <w:t>规划及规划环境影响评价符合性分析</w:t>
            </w:r>
          </w:p>
        </w:tc>
        <w:tc>
          <w:tcPr>
            <w:tcW w:w="7334" w:type="dxa"/>
            <w:gridSpan w:val="3"/>
            <w:vAlign w:val="center"/>
          </w:tcPr>
          <w:p w14:paraId="478F3EED">
            <w:pPr>
              <w:adjustRightInd w:val="0"/>
              <w:snapToGrid w:val="0"/>
              <w:spacing w:beforeLines="50" w:line="360" w:lineRule="auto"/>
              <w:rPr>
                <w:b/>
                <w:bCs/>
                <w:szCs w:val="21"/>
              </w:rPr>
            </w:pPr>
            <w:r>
              <w:rPr>
                <w:b/>
                <w:bCs/>
                <w:szCs w:val="21"/>
              </w:rPr>
              <w:t>（1）规划相符性分析</w:t>
            </w:r>
          </w:p>
          <w:p w14:paraId="573C179D">
            <w:pPr>
              <w:adjustRightInd w:val="0"/>
              <w:snapToGrid w:val="0"/>
              <w:spacing w:line="360" w:lineRule="auto"/>
              <w:ind w:firstLine="420" w:firstLineChars="200"/>
              <w:rPr>
                <w:szCs w:val="21"/>
              </w:rPr>
            </w:pPr>
            <w:r>
              <w:rPr>
                <w:szCs w:val="21"/>
              </w:rPr>
              <w:t>本项目与《江苏省金坛华罗庚高新技术产业开发区开发建设规划（2022-2035）》相符性分析见表1-1。</w:t>
            </w:r>
          </w:p>
          <w:p w14:paraId="7B160EDD">
            <w:pPr>
              <w:autoSpaceDE w:val="0"/>
              <w:autoSpaceDN w:val="0"/>
              <w:adjustRightInd w:val="0"/>
              <w:snapToGrid w:val="0"/>
              <w:jc w:val="center"/>
              <w:rPr>
                <w:b/>
                <w:kern w:val="0"/>
                <w:szCs w:val="21"/>
              </w:rPr>
            </w:pPr>
            <w:r>
              <w:rPr>
                <w:b/>
                <w:kern w:val="0"/>
                <w:szCs w:val="21"/>
              </w:rPr>
              <w:t>表1-1  项目与华罗庚高新技术产业开发区开发建设规划相符性分析一览表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787"/>
              <w:gridCol w:w="1710"/>
              <w:gridCol w:w="723"/>
            </w:tblGrid>
            <w:tr w14:paraId="3A23B6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787" w:type="dxa"/>
                  <w:vAlign w:val="center"/>
                </w:tcPr>
                <w:p w14:paraId="4D756D77">
                  <w:pPr>
                    <w:autoSpaceDE w:val="0"/>
                    <w:autoSpaceDN w:val="0"/>
                    <w:adjustRightInd w:val="0"/>
                    <w:snapToGrid w:val="0"/>
                    <w:jc w:val="center"/>
                    <w:rPr>
                      <w:b/>
                      <w:bCs/>
                      <w:kern w:val="0"/>
                      <w:szCs w:val="21"/>
                    </w:rPr>
                  </w:pPr>
                  <w:r>
                    <w:rPr>
                      <w:b/>
                      <w:bCs/>
                      <w:kern w:val="0"/>
                      <w:szCs w:val="21"/>
                    </w:rPr>
                    <w:t>规划情况</w:t>
                  </w:r>
                </w:p>
              </w:tc>
              <w:tc>
                <w:tcPr>
                  <w:tcW w:w="1710" w:type="dxa"/>
                  <w:vAlign w:val="center"/>
                </w:tcPr>
                <w:p w14:paraId="5E79AE30">
                  <w:pPr>
                    <w:autoSpaceDE w:val="0"/>
                    <w:autoSpaceDN w:val="0"/>
                    <w:adjustRightInd w:val="0"/>
                    <w:snapToGrid w:val="0"/>
                    <w:jc w:val="center"/>
                    <w:rPr>
                      <w:b/>
                      <w:bCs/>
                      <w:kern w:val="0"/>
                      <w:szCs w:val="21"/>
                    </w:rPr>
                  </w:pPr>
                  <w:r>
                    <w:rPr>
                      <w:b/>
                      <w:bCs/>
                      <w:kern w:val="0"/>
                      <w:szCs w:val="21"/>
                    </w:rPr>
                    <w:t>本项目情况</w:t>
                  </w:r>
                </w:p>
              </w:tc>
              <w:tc>
                <w:tcPr>
                  <w:tcW w:w="723" w:type="dxa"/>
                  <w:vAlign w:val="center"/>
                </w:tcPr>
                <w:p w14:paraId="23C52591">
                  <w:pPr>
                    <w:autoSpaceDE w:val="0"/>
                    <w:autoSpaceDN w:val="0"/>
                    <w:adjustRightInd w:val="0"/>
                    <w:snapToGrid w:val="0"/>
                    <w:jc w:val="center"/>
                    <w:rPr>
                      <w:b/>
                      <w:bCs/>
                      <w:kern w:val="0"/>
                      <w:szCs w:val="21"/>
                    </w:rPr>
                  </w:pPr>
                  <w:r>
                    <w:rPr>
                      <w:b/>
                      <w:bCs/>
                      <w:kern w:val="0"/>
                      <w:szCs w:val="21"/>
                    </w:rPr>
                    <w:t>相符性</w:t>
                  </w:r>
                </w:p>
              </w:tc>
            </w:tr>
            <w:tr w14:paraId="25291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87" w:type="dxa"/>
                  <w:vAlign w:val="center"/>
                </w:tcPr>
                <w:p w14:paraId="17E0304A">
                  <w:pPr>
                    <w:autoSpaceDE w:val="0"/>
                    <w:autoSpaceDN w:val="0"/>
                    <w:adjustRightInd w:val="0"/>
                    <w:snapToGrid w:val="0"/>
                    <w:rPr>
                      <w:kern w:val="0"/>
                      <w:szCs w:val="21"/>
                    </w:rPr>
                  </w:pPr>
                  <w:r>
                    <w:rPr>
                      <w:kern w:val="0"/>
                      <w:szCs w:val="21"/>
                    </w:rPr>
                    <w:t>规划范围：江苏省金坛华罗庚高新技术产业开发区由华罗庚科技产业园片区（北区）和金东现代产业园片区（南区）2个片区组成，规划总面积34.11km</w:t>
                  </w:r>
                  <w:r>
                    <w:rPr>
                      <w:kern w:val="0"/>
                      <w:szCs w:val="21"/>
                      <w:vertAlign w:val="superscript"/>
                    </w:rPr>
                    <w:t>2</w:t>
                  </w:r>
                  <w:r>
                    <w:rPr>
                      <w:kern w:val="0"/>
                      <w:szCs w:val="21"/>
                    </w:rPr>
                    <w:t>。其中，华罗庚科技产业园片区四至范围：东至银湖路、南至江东大道、西至金湖路、北至金武快速路和南二环路，片区规划面积为31.19km</w:t>
                  </w:r>
                  <w:r>
                    <w:rPr>
                      <w:kern w:val="0"/>
                      <w:szCs w:val="21"/>
                      <w:vertAlign w:val="superscript"/>
                    </w:rPr>
                    <w:t>2</w:t>
                  </w:r>
                  <w:r>
                    <w:rPr>
                      <w:kern w:val="0"/>
                      <w:szCs w:val="21"/>
                    </w:rPr>
                    <w:t>；金东现代产业园片区四至范围为：东至引水河、南至湟里河、西至金湖南路、北至长荡湖北路，片区规划面积为2.92km</w:t>
                  </w:r>
                  <w:r>
                    <w:rPr>
                      <w:kern w:val="0"/>
                      <w:szCs w:val="21"/>
                      <w:vertAlign w:val="superscript"/>
                    </w:rPr>
                    <w:t>2</w:t>
                  </w:r>
                  <w:r>
                    <w:rPr>
                      <w:kern w:val="0"/>
                      <w:szCs w:val="21"/>
                    </w:rPr>
                    <w:t>。</w:t>
                  </w:r>
                </w:p>
              </w:tc>
              <w:tc>
                <w:tcPr>
                  <w:tcW w:w="1710" w:type="dxa"/>
                  <w:vAlign w:val="center"/>
                </w:tcPr>
                <w:p w14:paraId="211BCF8E">
                  <w:pPr>
                    <w:autoSpaceDE w:val="0"/>
                    <w:autoSpaceDN w:val="0"/>
                    <w:adjustRightInd w:val="0"/>
                    <w:snapToGrid w:val="0"/>
                    <w:rPr>
                      <w:kern w:val="0"/>
                      <w:szCs w:val="21"/>
                    </w:rPr>
                  </w:pPr>
                  <w:r>
                    <w:rPr>
                      <w:kern w:val="0"/>
                      <w:szCs w:val="21"/>
                    </w:rPr>
                    <w:t>项目建设地位于</w:t>
                  </w:r>
                  <w:r>
                    <w:rPr>
                      <w:szCs w:val="21"/>
                    </w:rPr>
                    <w:t>江苏省常州市金坛区尧塘街道金博路1号</w:t>
                  </w:r>
                  <w:r>
                    <w:rPr>
                      <w:kern w:val="0"/>
                      <w:szCs w:val="21"/>
                    </w:rPr>
                    <w:t>，位于江苏省金坛华罗庚高新技术产业开发区金东现代产业园片区（南区）规划范围内。</w:t>
                  </w:r>
                </w:p>
              </w:tc>
              <w:tc>
                <w:tcPr>
                  <w:tcW w:w="723" w:type="dxa"/>
                  <w:vAlign w:val="center"/>
                </w:tcPr>
                <w:p w14:paraId="77693830">
                  <w:pPr>
                    <w:autoSpaceDE w:val="0"/>
                    <w:autoSpaceDN w:val="0"/>
                    <w:adjustRightInd w:val="0"/>
                    <w:snapToGrid w:val="0"/>
                    <w:jc w:val="center"/>
                    <w:rPr>
                      <w:kern w:val="0"/>
                      <w:szCs w:val="21"/>
                    </w:rPr>
                  </w:pPr>
                  <w:r>
                    <w:rPr>
                      <w:kern w:val="0"/>
                      <w:szCs w:val="21"/>
                    </w:rPr>
                    <w:t>符合</w:t>
                  </w:r>
                </w:p>
              </w:tc>
            </w:tr>
            <w:tr w14:paraId="33C2AC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87" w:type="dxa"/>
                  <w:vAlign w:val="center"/>
                </w:tcPr>
                <w:p w14:paraId="28E912A6">
                  <w:pPr>
                    <w:autoSpaceDE w:val="0"/>
                    <w:autoSpaceDN w:val="0"/>
                    <w:adjustRightInd w:val="0"/>
                    <w:snapToGrid w:val="0"/>
                    <w:rPr>
                      <w:kern w:val="0"/>
                      <w:szCs w:val="21"/>
                    </w:rPr>
                  </w:pPr>
                  <w:r>
                    <w:rPr>
                      <w:kern w:val="0"/>
                      <w:szCs w:val="21"/>
                    </w:rPr>
                    <w:t>规划时限：规划基准年2021年，规划期限为2022~2035年。其中，近期为2022-2025年，远期为2026-2035年。</w:t>
                  </w:r>
                </w:p>
              </w:tc>
              <w:tc>
                <w:tcPr>
                  <w:tcW w:w="1710" w:type="dxa"/>
                  <w:vAlign w:val="center"/>
                </w:tcPr>
                <w:p w14:paraId="2BCE387C">
                  <w:pPr>
                    <w:autoSpaceDE w:val="0"/>
                    <w:autoSpaceDN w:val="0"/>
                    <w:adjustRightInd w:val="0"/>
                    <w:snapToGrid w:val="0"/>
                    <w:rPr>
                      <w:kern w:val="0"/>
                      <w:szCs w:val="21"/>
                    </w:rPr>
                  </w:pPr>
                  <w:r>
                    <w:rPr>
                      <w:kern w:val="0"/>
                      <w:szCs w:val="21"/>
                    </w:rPr>
                    <w:t>项目建设位于园区规划期内。</w:t>
                  </w:r>
                </w:p>
              </w:tc>
              <w:tc>
                <w:tcPr>
                  <w:tcW w:w="723" w:type="dxa"/>
                  <w:vAlign w:val="center"/>
                </w:tcPr>
                <w:p w14:paraId="33E96939">
                  <w:pPr>
                    <w:autoSpaceDE w:val="0"/>
                    <w:autoSpaceDN w:val="0"/>
                    <w:adjustRightInd w:val="0"/>
                    <w:snapToGrid w:val="0"/>
                    <w:jc w:val="center"/>
                    <w:rPr>
                      <w:kern w:val="0"/>
                      <w:szCs w:val="21"/>
                    </w:rPr>
                  </w:pPr>
                  <w:r>
                    <w:rPr>
                      <w:kern w:val="0"/>
                      <w:szCs w:val="21"/>
                    </w:rPr>
                    <w:t>符合</w:t>
                  </w:r>
                </w:p>
              </w:tc>
            </w:tr>
            <w:tr w14:paraId="2310C0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87" w:type="dxa"/>
                  <w:vAlign w:val="center"/>
                </w:tcPr>
                <w:p w14:paraId="096986E1">
                  <w:pPr>
                    <w:autoSpaceDE w:val="0"/>
                    <w:autoSpaceDN w:val="0"/>
                    <w:adjustRightInd w:val="0"/>
                    <w:snapToGrid w:val="0"/>
                    <w:rPr>
                      <w:kern w:val="0"/>
                      <w:szCs w:val="21"/>
                    </w:rPr>
                  </w:pPr>
                  <w:r>
                    <w:rPr>
                      <w:kern w:val="0"/>
                      <w:szCs w:val="21"/>
                    </w:rPr>
                    <w:t>产业定位：华罗庚科技产业园片区（北区）现状主导产业以智能装备制造、节能环保、新能源汽车及动力电池制造为主，金东现代产业园片区（南区）现状主导产业为橡胶及塑料制品制造、汽车零部件制造、智能装备制造等。华罗庚高新区将依托华罗庚科技产业园片区（北区）、金东现代产业园片区（南区）前期产业发展基础，以“强链、补链、融链”为原则，做强做大新能源汽车、新型基础设施建设两大主导产业，培育打造智能网联汽车“一区一战略产业”，构建“2→1”高新技术产业体系，进一步凸显华罗庚高新区产业特色和优势。同时，加快园区原有产业升级与转型，以“绿色、智能、制造”为主线，从产业链和产业集群入手，发挥链主企业的引领作用，整合优质资源，提升创新研发、产业化、综合集成能力，推动产业纵向延伸、横向联合和跨界整合；以产业集群创新园区建设与发展模式，带动区内原有中小企业转型发展，全面提升园区高质量发展水平。</w:t>
                  </w:r>
                </w:p>
              </w:tc>
              <w:tc>
                <w:tcPr>
                  <w:tcW w:w="1710" w:type="dxa"/>
                  <w:vAlign w:val="center"/>
                </w:tcPr>
                <w:p w14:paraId="23B2D745">
                  <w:pPr>
                    <w:autoSpaceDE w:val="0"/>
                    <w:autoSpaceDN w:val="0"/>
                    <w:adjustRightInd w:val="0"/>
                    <w:snapToGrid w:val="0"/>
                    <w:rPr>
                      <w:kern w:val="0"/>
                      <w:szCs w:val="21"/>
                    </w:rPr>
                  </w:pPr>
                  <w:r>
                    <w:rPr>
                      <w:kern w:val="0"/>
                      <w:szCs w:val="21"/>
                    </w:rPr>
                    <w:t>项目主要从事橡胶零部件生产，产品为新能源汽车配套橡胶功能件，符合金东现代产业园片区产业定位。</w:t>
                  </w:r>
                </w:p>
              </w:tc>
              <w:tc>
                <w:tcPr>
                  <w:tcW w:w="723" w:type="dxa"/>
                  <w:vAlign w:val="center"/>
                </w:tcPr>
                <w:p w14:paraId="60FD34C8">
                  <w:pPr>
                    <w:autoSpaceDE w:val="0"/>
                    <w:autoSpaceDN w:val="0"/>
                    <w:adjustRightInd w:val="0"/>
                    <w:snapToGrid w:val="0"/>
                    <w:jc w:val="center"/>
                    <w:rPr>
                      <w:kern w:val="0"/>
                      <w:szCs w:val="21"/>
                    </w:rPr>
                  </w:pPr>
                  <w:r>
                    <w:rPr>
                      <w:kern w:val="0"/>
                      <w:szCs w:val="21"/>
                    </w:rPr>
                    <w:t>符合</w:t>
                  </w:r>
                </w:p>
              </w:tc>
            </w:tr>
            <w:tr w14:paraId="54656E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87" w:type="dxa"/>
                  <w:vAlign w:val="center"/>
                </w:tcPr>
                <w:p w14:paraId="52C9F0C6">
                  <w:pPr>
                    <w:autoSpaceDE w:val="0"/>
                    <w:autoSpaceDN w:val="0"/>
                    <w:adjustRightInd w:val="0"/>
                    <w:snapToGrid w:val="0"/>
                    <w:rPr>
                      <w:kern w:val="0"/>
                      <w:szCs w:val="21"/>
                    </w:rPr>
                  </w:pPr>
                  <w:r>
                    <w:rPr>
                      <w:kern w:val="0"/>
                      <w:szCs w:val="21"/>
                    </w:rPr>
                    <w:t>空间布局规划：形成“三轴六区，一心多点”的空间结构。三轴：产业中轴（复兴路-汇福路-云湖路-月湖路）、两湖创新集聚轴（金坛大道、钱资荡大道）、常金一体化发展轴（河海大道）；六区：1个创智生态融合区、1个产城融合示范区、1个科技创新区（科创中心）、2个集镇服务区（尧塘-汤庄集镇、水北集镇）、1个产研联动发展区；一心：围绕科创中心板块形成科技创新核心；多点：围绕片区功能形成的生态景观节点、生活服务节点、科技服务节点。</w:t>
                  </w:r>
                </w:p>
              </w:tc>
              <w:tc>
                <w:tcPr>
                  <w:tcW w:w="1710" w:type="dxa"/>
                  <w:vAlign w:val="center"/>
                </w:tcPr>
                <w:p w14:paraId="43315DA0">
                  <w:pPr>
                    <w:autoSpaceDE w:val="0"/>
                    <w:autoSpaceDN w:val="0"/>
                    <w:adjustRightInd w:val="0"/>
                    <w:snapToGrid w:val="0"/>
                    <w:rPr>
                      <w:kern w:val="0"/>
                      <w:szCs w:val="21"/>
                    </w:rPr>
                  </w:pPr>
                  <w:r>
                    <w:rPr>
                      <w:kern w:val="0"/>
                      <w:szCs w:val="21"/>
                    </w:rPr>
                    <w:t>项目建设地点位于空间布局“三轴六区”中集镇服务区内。</w:t>
                  </w:r>
                </w:p>
              </w:tc>
              <w:tc>
                <w:tcPr>
                  <w:tcW w:w="723" w:type="dxa"/>
                  <w:vAlign w:val="center"/>
                </w:tcPr>
                <w:p w14:paraId="1689CC10">
                  <w:pPr>
                    <w:autoSpaceDE w:val="0"/>
                    <w:autoSpaceDN w:val="0"/>
                    <w:adjustRightInd w:val="0"/>
                    <w:snapToGrid w:val="0"/>
                    <w:jc w:val="center"/>
                    <w:rPr>
                      <w:kern w:val="0"/>
                      <w:szCs w:val="21"/>
                    </w:rPr>
                  </w:pPr>
                  <w:r>
                    <w:rPr>
                      <w:kern w:val="0"/>
                      <w:szCs w:val="21"/>
                    </w:rPr>
                    <w:t>符合</w:t>
                  </w:r>
                </w:p>
              </w:tc>
            </w:tr>
            <w:tr w14:paraId="3628AE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87" w:type="dxa"/>
                  <w:vAlign w:val="center"/>
                </w:tcPr>
                <w:p w14:paraId="4319DC23">
                  <w:pPr>
                    <w:autoSpaceDE w:val="0"/>
                    <w:autoSpaceDN w:val="0"/>
                    <w:adjustRightInd w:val="0"/>
                    <w:snapToGrid w:val="0"/>
                    <w:rPr>
                      <w:kern w:val="0"/>
                      <w:szCs w:val="21"/>
                    </w:rPr>
                  </w:pPr>
                  <w:r>
                    <w:rPr>
                      <w:kern w:val="0"/>
                      <w:szCs w:val="21"/>
                    </w:rPr>
                    <w:t>用地规划布局：至规划末期（2035年），华罗庚高新区内建设用地总面积将达到32.48km</w:t>
                  </w:r>
                  <w:r>
                    <w:rPr>
                      <w:kern w:val="0"/>
                      <w:szCs w:val="21"/>
                      <w:vertAlign w:val="superscript"/>
                    </w:rPr>
                    <w:t>2</w:t>
                  </w:r>
                  <w:r>
                    <w:rPr>
                      <w:kern w:val="0"/>
                      <w:szCs w:val="21"/>
                    </w:rPr>
                    <w:t>，占华罗庚高新区总面积的95.2%。金东现代产业园片区内建设用地面积将达到2.797km</w:t>
                  </w:r>
                  <w:r>
                    <w:rPr>
                      <w:kern w:val="0"/>
                      <w:szCs w:val="21"/>
                      <w:vertAlign w:val="superscript"/>
                    </w:rPr>
                    <w:t>2</w:t>
                  </w:r>
                  <w:r>
                    <w:rPr>
                      <w:kern w:val="0"/>
                      <w:szCs w:val="21"/>
                    </w:rPr>
                    <w:t>，规划工业用地面积为0.968km</w:t>
                  </w:r>
                  <w:r>
                    <w:rPr>
                      <w:kern w:val="0"/>
                      <w:szCs w:val="21"/>
                      <w:vertAlign w:val="superscript"/>
                    </w:rPr>
                    <w:t>2</w:t>
                  </w:r>
                  <w:r>
                    <w:rPr>
                      <w:kern w:val="0"/>
                      <w:szCs w:val="21"/>
                    </w:rPr>
                    <w:t>。</w:t>
                  </w:r>
                </w:p>
              </w:tc>
              <w:tc>
                <w:tcPr>
                  <w:tcW w:w="1710" w:type="dxa"/>
                  <w:vAlign w:val="center"/>
                </w:tcPr>
                <w:p w14:paraId="7C0397D7">
                  <w:pPr>
                    <w:autoSpaceDE w:val="0"/>
                    <w:autoSpaceDN w:val="0"/>
                    <w:adjustRightInd w:val="0"/>
                    <w:snapToGrid w:val="0"/>
                    <w:rPr>
                      <w:kern w:val="0"/>
                      <w:szCs w:val="21"/>
                    </w:rPr>
                  </w:pPr>
                  <w:r>
                    <w:rPr>
                      <w:kern w:val="0"/>
                      <w:szCs w:val="21"/>
                    </w:rPr>
                    <w:t>根据企业提供的不动产权证（苏（2016）金坛区不动产权第0003764号），项目用地性质为工业用地，符合金东现代产业园片区用地规划布局。</w:t>
                  </w:r>
                </w:p>
              </w:tc>
              <w:tc>
                <w:tcPr>
                  <w:tcW w:w="723" w:type="dxa"/>
                  <w:vAlign w:val="center"/>
                </w:tcPr>
                <w:p w14:paraId="61B26946">
                  <w:pPr>
                    <w:autoSpaceDE w:val="0"/>
                    <w:autoSpaceDN w:val="0"/>
                    <w:adjustRightInd w:val="0"/>
                    <w:snapToGrid w:val="0"/>
                    <w:jc w:val="center"/>
                    <w:rPr>
                      <w:kern w:val="0"/>
                      <w:szCs w:val="21"/>
                    </w:rPr>
                  </w:pPr>
                  <w:r>
                    <w:rPr>
                      <w:kern w:val="0"/>
                      <w:szCs w:val="21"/>
                    </w:rPr>
                    <w:t>符合</w:t>
                  </w:r>
                </w:p>
              </w:tc>
            </w:tr>
            <w:tr w14:paraId="5EFDA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87" w:type="dxa"/>
                  <w:vAlign w:val="center"/>
                </w:tcPr>
                <w:p w14:paraId="61F34202">
                  <w:pPr>
                    <w:autoSpaceDE w:val="0"/>
                    <w:autoSpaceDN w:val="0"/>
                    <w:adjustRightInd w:val="0"/>
                    <w:snapToGrid w:val="0"/>
                    <w:rPr>
                      <w:kern w:val="0"/>
                      <w:szCs w:val="21"/>
                    </w:rPr>
                  </w:pPr>
                  <w:r>
                    <w:rPr>
                      <w:kern w:val="0"/>
                      <w:szCs w:val="21"/>
                    </w:rPr>
                    <w:t>基础设施规划：①华罗庚高新区将主要由临近的长荡湖水厂进行供水，主要水源为长荡湖。长荡湖水厂位于园区西侧外4.0km处，现状供水能力为20万m</w:t>
                  </w:r>
                  <w:r>
                    <w:rPr>
                      <w:kern w:val="0"/>
                      <w:szCs w:val="21"/>
                      <w:vertAlign w:val="superscript"/>
                    </w:rPr>
                    <w:t>3</w:t>
                  </w:r>
                  <w:r>
                    <w:rPr>
                      <w:kern w:val="0"/>
                      <w:szCs w:val="21"/>
                    </w:rPr>
                    <w:t>/d，规划末期长荡湖水厂供水能力将达到30万m</w:t>
                  </w:r>
                  <w:r>
                    <w:rPr>
                      <w:kern w:val="0"/>
                      <w:szCs w:val="21"/>
                      <w:vertAlign w:val="superscript"/>
                    </w:rPr>
                    <w:t>3</w:t>
                  </w:r>
                  <w:r>
                    <w:rPr>
                      <w:kern w:val="0"/>
                      <w:szCs w:val="21"/>
                    </w:rPr>
                    <w:t>/d，以满足区域整体需求。②园区污水集中处理率达到100%，园区污水将由区外的金坛第二污水厂、金坛工业污水厂和儒林污水厂共同承担处理；实行雨污分流的排水体制。华罗庚科技产业园片区（北区）污水主要送入第二污水处理厂和金坛工业污水厂（在建）处理，金东园现代产业园片区（南区）污水分流进入金坛第二污水厂和儒林污水处理厂处理；雨水采用分散就近排放的原则，高地自排，低地机排。③规划保留220kV水北变，110kV尧塘变、华科变，规划新建220kV南汤变、金东变，110kV镇南变等变电所。④维持现状供气格局，仍以西气东输和川气东送作为气源。⑤园区内现有产业项目对供热需求较小，规划仍以采用现行的分散式供热为主，对有热能需求的企业推广天然气锅炉供热。远期如有大规模供热需求，将根据园区实际情况，进一步规划建设集中供热设施。⑥生活垃圾送入区外金坛垃圾焚烧厂焚烧发电处理，确保生活垃圾无害化处理率达到100%；园区内产生的一般工业固废将外售或生产回用，综合利用率达100%；园区内企业产生的危险废物必须按照规范委托具有资质的单位收集、贮存、利用或处置。园区危险废物产生单位，必须设置危险废物暂时贮存场所，采取防扬散、防流失、防渗漏、防腐蚀措施，危险废物暂存按国家法律规定，最长不得超过一年。</w:t>
                  </w:r>
                </w:p>
              </w:tc>
              <w:tc>
                <w:tcPr>
                  <w:tcW w:w="1710" w:type="dxa"/>
                  <w:vAlign w:val="center"/>
                </w:tcPr>
                <w:p w14:paraId="1F6B3774">
                  <w:pPr>
                    <w:autoSpaceDE w:val="0"/>
                    <w:autoSpaceDN w:val="0"/>
                    <w:adjustRightInd w:val="0"/>
                    <w:snapToGrid w:val="0"/>
                    <w:rPr>
                      <w:kern w:val="0"/>
                      <w:szCs w:val="21"/>
                    </w:rPr>
                  </w:pPr>
                  <w:r>
                    <w:rPr>
                      <w:kern w:val="0"/>
                      <w:szCs w:val="21"/>
                    </w:rPr>
                    <w:t>项目建设地点位于金东现代产业园片区（南区）内，①供水依托市政给水管网；②现有厂区已采用雨污分流制，雨水接入市政雨水管网，纯水制备弃水、冷却塔排水</w:t>
                  </w:r>
                  <w:r>
                    <w:rPr>
                      <w:rFonts w:hint="eastAsia"/>
                      <w:kern w:val="0"/>
                      <w:szCs w:val="21"/>
                    </w:rPr>
                    <w:t>作为清下水排入雨水管网，</w:t>
                  </w:r>
                  <w:r>
                    <w:rPr>
                      <w:kern w:val="0"/>
                      <w:szCs w:val="21"/>
                    </w:rPr>
                    <w:t>生活污水经市政污水管网接管至常州金坛区第二污水处理有限公司集中处理；③供电由市政电网提供；④项目不使用燃气；⑤生产工序设备均采用电力能源；⑥生活垃圾由环卫清运，集中处理；一般工业固废均外售综合利用；危险废物均收集后委托有资质单位处置，厂内已按规范要求建有危险废物仓库，危险废物暂存周期不超过一年。</w:t>
                  </w:r>
                </w:p>
              </w:tc>
              <w:tc>
                <w:tcPr>
                  <w:tcW w:w="723" w:type="dxa"/>
                  <w:vAlign w:val="center"/>
                </w:tcPr>
                <w:p w14:paraId="66065B82">
                  <w:pPr>
                    <w:autoSpaceDE w:val="0"/>
                    <w:autoSpaceDN w:val="0"/>
                    <w:adjustRightInd w:val="0"/>
                    <w:snapToGrid w:val="0"/>
                    <w:jc w:val="center"/>
                    <w:rPr>
                      <w:kern w:val="0"/>
                      <w:szCs w:val="21"/>
                    </w:rPr>
                  </w:pPr>
                  <w:r>
                    <w:rPr>
                      <w:kern w:val="0"/>
                      <w:szCs w:val="21"/>
                    </w:rPr>
                    <w:t>符合</w:t>
                  </w:r>
                </w:p>
              </w:tc>
            </w:tr>
          </w:tbl>
          <w:p w14:paraId="4762A968">
            <w:pPr>
              <w:adjustRightInd w:val="0"/>
              <w:snapToGrid w:val="0"/>
              <w:spacing w:beforeLines="50" w:line="360" w:lineRule="auto"/>
              <w:ind w:firstLine="420" w:firstLineChars="200"/>
              <w:rPr>
                <w:szCs w:val="21"/>
              </w:rPr>
            </w:pPr>
            <w:r>
              <w:rPr>
                <w:szCs w:val="21"/>
              </w:rPr>
              <w:t>扩建项目建设地点位于江苏省常州市金坛区尧塘街道金博路1号，</w:t>
            </w:r>
            <w:r>
              <w:rPr>
                <w:kern w:val="0"/>
                <w:szCs w:val="21"/>
              </w:rPr>
              <w:t>位于江苏省金坛华罗庚高新技术产业开发区金东现代产业园片区（南区）规划范围内，建设地点位于空间布局“三轴六区”中集镇服务区内，项目建设在园区规划期内；项目主要从事橡胶零部件生产，产品为新能源汽车配套橡胶功能件，符合金东现代产业园片区产业定位；根据企业提供的不动产权证（苏（2016）金坛区不动产权第0003764号），用地性质为工业用地，符合金东现代产业园片区用地规划布局；供水依托市政给水管网；现有厂区已采用雨污分流制，雨水接入市政雨水管网，纯水制备弃水、冷却塔排水</w:t>
            </w:r>
            <w:r>
              <w:rPr>
                <w:rFonts w:hint="eastAsia"/>
                <w:kern w:val="0"/>
                <w:szCs w:val="21"/>
              </w:rPr>
              <w:t>作为清下水排入雨水管网，</w:t>
            </w:r>
            <w:r>
              <w:rPr>
                <w:kern w:val="0"/>
                <w:szCs w:val="21"/>
              </w:rPr>
              <w:t>生活污水</w:t>
            </w:r>
            <w:r>
              <w:rPr>
                <w:rFonts w:hint="eastAsia"/>
                <w:kern w:val="0"/>
                <w:szCs w:val="21"/>
              </w:rPr>
              <w:t>一并</w:t>
            </w:r>
            <w:r>
              <w:rPr>
                <w:kern w:val="0"/>
                <w:szCs w:val="21"/>
              </w:rPr>
              <w:t>经市政污水管网接管至常州金坛区第二污水处理有限公司集中处理；供电由市政电网提供；项目不使用燃气，生产工序设备均采用电力能源；生活垃圾由环卫清运，集中处理；一般工业固废均外售综合利用；危险废物均收集后委托有资质单位处置，厂内已按规范要求建有危险废物仓库，危险废物暂存周期不超过一年。</w:t>
            </w:r>
            <w:r>
              <w:rPr>
                <w:szCs w:val="21"/>
              </w:rPr>
              <w:t>因此项目建设符合《江苏省金坛华罗庚高新技术产业开发区开发建设规划（2022-2035）》中相关要求。</w:t>
            </w:r>
          </w:p>
          <w:p w14:paraId="492B73B8">
            <w:pPr>
              <w:adjustRightInd w:val="0"/>
              <w:snapToGrid w:val="0"/>
              <w:spacing w:line="360" w:lineRule="auto"/>
              <w:rPr>
                <w:b/>
                <w:bCs/>
                <w:szCs w:val="21"/>
              </w:rPr>
            </w:pPr>
            <w:r>
              <w:rPr>
                <w:b/>
                <w:bCs/>
                <w:szCs w:val="21"/>
              </w:rPr>
              <w:t>（2）规划环境影响评价相符性分析</w:t>
            </w:r>
          </w:p>
          <w:p w14:paraId="36E16B1E">
            <w:pPr>
              <w:adjustRightInd w:val="0"/>
              <w:snapToGrid w:val="0"/>
              <w:spacing w:line="360" w:lineRule="auto"/>
              <w:ind w:firstLine="420" w:firstLineChars="200"/>
              <w:rPr>
                <w:szCs w:val="21"/>
              </w:rPr>
            </w:pPr>
            <w:r>
              <w:rPr>
                <w:kern w:val="0"/>
                <w:szCs w:val="21"/>
              </w:rPr>
              <w:t>项目与</w:t>
            </w:r>
            <w:r>
              <w:rPr>
                <w:szCs w:val="21"/>
              </w:rPr>
              <w:t>《江苏省金坛华罗庚高新技术产业开发区开发建设规划（2022-2035）环境影响报告书》</w:t>
            </w:r>
            <w:r>
              <w:rPr>
                <w:kern w:val="0"/>
                <w:szCs w:val="21"/>
              </w:rPr>
              <w:t>及</w:t>
            </w:r>
            <w:r>
              <w:rPr>
                <w:szCs w:val="21"/>
              </w:rPr>
              <w:t>《市生态环境局关于江苏省金坛华罗庚高新技术产业开发区开发建设规划（2022-2035）环境影响报告书的审查意见》</w:t>
            </w:r>
            <w:r>
              <w:rPr>
                <w:kern w:val="0"/>
                <w:szCs w:val="21"/>
              </w:rPr>
              <w:t>相符性分析见表1-2。</w:t>
            </w:r>
          </w:p>
          <w:p w14:paraId="46EB128C">
            <w:pPr>
              <w:autoSpaceDE w:val="0"/>
              <w:autoSpaceDN w:val="0"/>
              <w:adjustRightInd w:val="0"/>
              <w:snapToGrid w:val="0"/>
              <w:jc w:val="center"/>
              <w:rPr>
                <w:b/>
                <w:kern w:val="0"/>
                <w:szCs w:val="21"/>
              </w:rPr>
            </w:pPr>
            <w:r>
              <w:rPr>
                <w:b/>
                <w:kern w:val="0"/>
                <w:szCs w:val="21"/>
              </w:rPr>
              <w:t>表1-2  项目与园区发展规划环境影响报告书及审查意见相符性分析</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17"/>
              <w:gridCol w:w="396"/>
              <w:gridCol w:w="2870"/>
              <w:gridCol w:w="2481"/>
              <w:gridCol w:w="856"/>
            </w:tblGrid>
            <w:tr w14:paraId="0537CE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top w:val="single" w:color="auto" w:sz="12" w:space="0"/>
                    <w:left w:val="nil"/>
                  </w:tcBorders>
                  <w:vAlign w:val="center"/>
                </w:tcPr>
                <w:p w14:paraId="4E8F6D38">
                  <w:pPr>
                    <w:autoSpaceDE w:val="0"/>
                    <w:autoSpaceDN w:val="0"/>
                    <w:adjustRightInd w:val="0"/>
                    <w:snapToGrid w:val="0"/>
                    <w:jc w:val="center"/>
                    <w:rPr>
                      <w:b/>
                      <w:kern w:val="0"/>
                      <w:szCs w:val="21"/>
                    </w:rPr>
                  </w:pPr>
                  <w:r>
                    <w:rPr>
                      <w:b/>
                      <w:kern w:val="0"/>
                      <w:szCs w:val="21"/>
                    </w:rPr>
                    <w:t>序号</w:t>
                  </w:r>
                </w:p>
              </w:tc>
              <w:tc>
                <w:tcPr>
                  <w:tcW w:w="3266" w:type="dxa"/>
                  <w:gridSpan w:val="2"/>
                  <w:tcBorders>
                    <w:top w:val="single" w:color="auto" w:sz="12" w:space="0"/>
                  </w:tcBorders>
                  <w:vAlign w:val="center"/>
                </w:tcPr>
                <w:p w14:paraId="63810D42">
                  <w:pPr>
                    <w:autoSpaceDE w:val="0"/>
                    <w:autoSpaceDN w:val="0"/>
                    <w:adjustRightInd w:val="0"/>
                    <w:snapToGrid w:val="0"/>
                    <w:jc w:val="center"/>
                    <w:rPr>
                      <w:b/>
                      <w:kern w:val="0"/>
                      <w:szCs w:val="21"/>
                    </w:rPr>
                  </w:pPr>
                  <w:r>
                    <w:rPr>
                      <w:b/>
                      <w:kern w:val="0"/>
                      <w:szCs w:val="21"/>
                    </w:rPr>
                    <w:t>相关要求</w:t>
                  </w:r>
                </w:p>
              </w:tc>
              <w:tc>
                <w:tcPr>
                  <w:tcW w:w="2481" w:type="dxa"/>
                  <w:tcBorders>
                    <w:top w:val="single" w:color="auto" w:sz="12" w:space="0"/>
                  </w:tcBorders>
                  <w:vAlign w:val="center"/>
                </w:tcPr>
                <w:p w14:paraId="63727A9E">
                  <w:pPr>
                    <w:autoSpaceDE w:val="0"/>
                    <w:autoSpaceDN w:val="0"/>
                    <w:adjustRightInd w:val="0"/>
                    <w:snapToGrid w:val="0"/>
                    <w:jc w:val="center"/>
                    <w:rPr>
                      <w:b/>
                      <w:kern w:val="0"/>
                      <w:szCs w:val="21"/>
                    </w:rPr>
                  </w:pPr>
                  <w:r>
                    <w:rPr>
                      <w:b/>
                      <w:kern w:val="0"/>
                      <w:szCs w:val="21"/>
                    </w:rPr>
                    <w:t>本项目情况</w:t>
                  </w:r>
                </w:p>
              </w:tc>
              <w:tc>
                <w:tcPr>
                  <w:tcW w:w="856" w:type="dxa"/>
                  <w:tcBorders>
                    <w:top w:val="single" w:color="auto" w:sz="12" w:space="0"/>
                    <w:right w:val="nil"/>
                  </w:tcBorders>
                  <w:vAlign w:val="center"/>
                </w:tcPr>
                <w:p w14:paraId="291852E4">
                  <w:pPr>
                    <w:autoSpaceDE w:val="0"/>
                    <w:autoSpaceDN w:val="0"/>
                    <w:adjustRightInd w:val="0"/>
                    <w:snapToGrid w:val="0"/>
                    <w:jc w:val="center"/>
                    <w:rPr>
                      <w:b/>
                      <w:kern w:val="0"/>
                      <w:szCs w:val="21"/>
                    </w:rPr>
                  </w:pPr>
                  <w:r>
                    <w:rPr>
                      <w:b/>
                      <w:kern w:val="0"/>
                      <w:szCs w:val="21"/>
                    </w:rPr>
                    <w:t>相符性</w:t>
                  </w:r>
                </w:p>
              </w:tc>
            </w:tr>
            <w:tr w14:paraId="034FEF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73FA3E62">
                  <w:pPr>
                    <w:autoSpaceDE w:val="0"/>
                    <w:autoSpaceDN w:val="0"/>
                    <w:adjustRightInd w:val="0"/>
                    <w:snapToGrid w:val="0"/>
                    <w:jc w:val="center"/>
                    <w:rPr>
                      <w:kern w:val="0"/>
                      <w:szCs w:val="21"/>
                    </w:rPr>
                  </w:pPr>
                  <w:r>
                    <w:rPr>
                      <w:kern w:val="0"/>
                      <w:szCs w:val="21"/>
                    </w:rPr>
                    <w:t>1</w:t>
                  </w:r>
                </w:p>
              </w:tc>
              <w:tc>
                <w:tcPr>
                  <w:tcW w:w="3266" w:type="dxa"/>
                  <w:gridSpan w:val="2"/>
                  <w:vAlign w:val="center"/>
                </w:tcPr>
                <w:p w14:paraId="3B3391D6">
                  <w:pPr>
                    <w:autoSpaceDE w:val="0"/>
                    <w:autoSpaceDN w:val="0"/>
                    <w:adjustRightInd w:val="0"/>
                    <w:snapToGrid w:val="0"/>
                    <w:rPr>
                      <w:bCs/>
                      <w:kern w:val="0"/>
                      <w:szCs w:val="21"/>
                    </w:rPr>
                  </w:pPr>
                  <w:r>
                    <w:rPr>
                      <w:bCs/>
                      <w:kern w:val="0"/>
                      <w:szCs w:val="21"/>
                    </w:rPr>
                    <w:t>居住区附近的工业用地布设清洁型工业企业，设置不少于30米的空间隔离带，并严格执行入园项目环评的环境防护距离要求。</w:t>
                  </w:r>
                </w:p>
              </w:tc>
              <w:tc>
                <w:tcPr>
                  <w:tcW w:w="2481" w:type="dxa"/>
                  <w:vAlign w:val="center"/>
                </w:tcPr>
                <w:p w14:paraId="4AC68425">
                  <w:pPr>
                    <w:autoSpaceDE w:val="0"/>
                    <w:autoSpaceDN w:val="0"/>
                    <w:adjustRightInd w:val="0"/>
                    <w:snapToGrid w:val="0"/>
                    <w:rPr>
                      <w:bCs/>
                      <w:kern w:val="0"/>
                      <w:szCs w:val="21"/>
                    </w:rPr>
                  </w:pPr>
                  <w:r>
                    <w:rPr>
                      <w:bCs/>
                      <w:kern w:val="0"/>
                      <w:szCs w:val="21"/>
                    </w:rPr>
                    <w:t>项目选址用地位于</w:t>
                  </w:r>
                  <w:r>
                    <w:rPr>
                      <w:kern w:val="0"/>
                      <w:szCs w:val="21"/>
                    </w:rPr>
                    <w:t>金东现代产业园片区（南区）</w:t>
                  </w:r>
                  <w:r>
                    <w:rPr>
                      <w:bCs/>
                      <w:kern w:val="0"/>
                      <w:szCs w:val="21"/>
                    </w:rPr>
                    <w:t>规划的居住区附近，设置不少于30米的空间隔离带，并且将按要求设置环境防护距离。</w:t>
                  </w:r>
                </w:p>
              </w:tc>
              <w:tc>
                <w:tcPr>
                  <w:tcW w:w="856" w:type="dxa"/>
                  <w:tcBorders>
                    <w:right w:val="nil"/>
                  </w:tcBorders>
                  <w:vAlign w:val="center"/>
                </w:tcPr>
                <w:p w14:paraId="2ACA7812">
                  <w:pPr>
                    <w:autoSpaceDE w:val="0"/>
                    <w:autoSpaceDN w:val="0"/>
                    <w:adjustRightInd w:val="0"/>
                    <w:snapToGrid w:val="0"/>
                    <w:jc w:val="center"/>
                    <w:rPr>
                      <w:bCs/>
                      <w:kern w:val="0"/>
                      <w:szCs w:val="21"/>
                    </w:rPr>
                  </w:pPr>
                  <w:r>
                    <w:rPr>
                      <w:bCs/>
                      <w:kern w:val="0"/>
                      <w:szCs w:val="21"/>
                    </w:rPr>
                    <w:t>符合</w:t>
                  </w:r>
                </w:p>
              </w:tc>
            </w:tr>
            <w:tr w14:paraId="03EC91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50E14A46">
                  <w:pPr>
                    <w:autoSpaceDE w:val="0"/>
                    <w:autoSpaceDN w:val="0"/>
                    <w:adjustRightInd w:val="0"/>
                    <w:snapToGrid w:val="0"/>
                    <w:jc w:val="center"/>
                    <w:rPr>
                      <w:kern w:val="0"/>
                      <w:szCs w:val="21"/>
                    </w:rPr>
                  </w:pPr>
                  <w:r>
                    <w:rPr>
                      <w:kern w:val="0"/>
                      <w:szCs w:val="21"/>
                    </w:rPr>
                    <w:t>2</w:t>
                  </w:r>
                </w:p>
              </w:tc>
              <w:tc>
                <w:tcPr>
                  <w:tcW w:w="3266" w:type="dxa"/>
                  <w:gridSpan w:val="2"/>
                  <w:vAlign w:val="center"/>
                </w:tcPr>
                <w:p w14:paraId="3ABF1B56">
                  <w:pPr>
                    <w:autoSpaceDE w:val="0"/>
                    <w:autoSpaceDN w:val="0"/>
                    <w:adjustRightInd w:val="0"/>
                    <w:snapToGrid w:val="0"/>
                    <w:rPr>
                      <w:kern w:val="0"/>
                      <w:szCs w:val="21"/>
                    </w:rPr>
                  </w:pPr>
                  <w:r>
                    <w:rPr>
                      <w:kern w:val="0"/>
                      <w:szCs w:val="21"/>
                    </w:rPr>
                    <w:t>进区项目应严格执行生态环境准入清单和管控要求，并使用天然气、电等清洁能源。</w:t>
                  </w:r>
                </w:p>
              </w:tc>
              <w:tc>
                <w:tcPr>
                  <w:tcW w:w="2481" w:type="dxa"/>
                  <w:vAlign w:val="center"/>
                </w:tcPr>
                <w:p w14:paraId="588A795F">
                  <w:pPr>
                    <w:autoSpaceDE w:val="0"/>
                    <w:autoSpaceDN w:val="0"/>
                    <w:adjustRightInd w:val="0"/>
                    <w:snapToGrid w:val="0"/>
                    <w:rPr>
                      <w:kern w:val="0"/>
                      <w:szCs w:val="21"/>
                    </w:rPr>
                  </w:pPr>
                  <w:r>
                    <w:rPr>
                      <w:kern w:val="0"/>
                      <w:szCs w:val="21"/>
                    </w:rPr>
                    <w:t>项目生产过程中设备采用电力能源，为清洁能源。</w:t>
                  </w:r>
                </w:p>
              </w:tc>
              <w:tc>
                <w:tcPr>
                  <w:tcW w:w="856" w:type="dxa"/>
                  <w:tcBorders>
                    <w:right w:val="nil"/>
                  </w:tcBorders>
                  <w:vAlign w:val="center"/>
                </w:tcPr>
                <w:p w14:paraId="7A8E053E">
                  <w:pPr>
                    <w:autoSpaceDE w:val="0"/>
                    <w:autoSpaceDN w:val="0"/>
                    <w:adjustRightInd w:val="0"/>
                    <w:snapToGrid w:val="0"/>
                    <w:jc w:val="center"/>
                    <w:rPr>
                      <w:kern w:val="0"/>
                      <w:szCs w:val="21"/>
                    </w:rPr>
                  </w:pPr>
                  <w:r>
                    <w:rPr>
                      <w:kern w:val="0"/>
                      <w:szCs w:val="21"/>
                    </w:rPr>
                    <w:t>符合</w:t>
                  </w:r>
                </w:p>
              </w:tc>
            </w:tr>
            <w:tr w14:paraId="357F2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115C1C43">
                  <w:pPr>
                    <w:autoSpaceDE w:val="0"/>
                    <w:autoSpaceDN w:val="0"/>
                    <w:adjustRightInd w:val="0"/>
                    <w:snapToGrid w:val="0"/>
                    <w:jc w:val="center"/>
                    <w:rPr>
                      <w:kern w:val="0"/>
                      <w:szCs w:val="21"/>
                    </w:rPr>
                  </w:pPr>
                  <w:r>
                    <w:rPr>
                      <w:kern w:val="0"/>
                      <w:szCs w:val="21"/>
                    </w:rPr>
                    <w:t>3</w:t>
                  </w:r>
                </w:p>
              </w:tc>
              <w:tc>
                <w:tcPr>
                  <w:tcW w:w="3266" w:type="dxa"/>
                  <w:gridSpan w:val="2"/>
                  <w:vAlign w:val="center"/>
                </w:tcPr>
                <w:p w14:paraId="1B806E5B">
                  <w:pPr>
                    <w:autoSpaceDE w:val="0"/>
                    <w:autoSpaceDN w:val="0"/>
                    <w:adjustRightInd w:val="0"/>
                    <w:snapToGrid w:val="0"/>
                    <w:rPr>
                      <w:kern w:val="0"/>
                      <w:szCs w:val="21"/>
                    </w:rPr>
                  </w:pPr>
                  <w:r>
                    <w:rPr>
                      <w:kern w:val="0"/>
                      <w:szCs w:val="21"/>
                    </w:rPr>
                    <w:t>园区实施雨污分流、清污分流和污水集中处理，重点企业废水应当推行分类收集、分质处理，经预处理达到污水处理厂接管标准后方可接管。加强园区固体废物的集中处理处置，危险废物交由有资质的单位处置。</w:t>
                  </w:r>
                </w:p>
              </w:tc>
              <w:tc>
                <w:tcPr>
                  <w:tcW w:w="2481" w:type="dxa"/>
                  <w:vAlign w:val="center"/>
                </w:tcPr>
                <w:p w14:paraId="2BB8D433">
                  <w:pPr>
                    <w:autoSpaceDE w:val="0"/>
                    <w:autoSpaceDN w:val="0"/>
                    <w:adjustRightInd w:val="0"/>
                    <w:snapToGrid w:val="0"/>
                    <w:rPr>
                      <w:kern w:val="0"/>
                      <w:szCs w:val="21"/>
                    </w:rPr>
                  </w:pPr>
                  <w:r>
                    <w:rPr>
                      <w:kern w:val="0"/>
                      <w:szCs w:val="21"/>
                    </w:rPr>
                    <w:t>项目现有厂区已实施雨污分流，纯水制备弃水、冷却塔排水</w:t>
                  </w:r>
                  <w:r>
                    <w:rPr>
                      <w:rFonts w:hint="eastAsia"/>
                      <w:kern w:val="0"/>
                      <w:szCs w:val="21"/>
                    </w:rPr>
                    <w:t>作为清下水排入雨水管网，</w:t>
                  </w:r>
                  <w:r>
                    <w:rPr>
                      <w:kern w:val="0"/>
                      <w:szCs w:val="21"/>
                    </w:rPr>
                    <w:t>生活污水接管至常州金坛区第二污水处理有限公司集中处理，</w:t>
                  </w:r>
                  <w:r>
                    <w:rPr>
                      <w:rFonts w:hint="eastAsia"/>
                      <w:kern w:val="0"/>
                      <w:szCs w:val="21"/>
                      <w:lang w:val="en-US" w:eastAsia="zh-CN"/>
                    </w:rPr>
                    <w:t>生产废水</w:t>
                  </w:r>
                  <w:r>
                    <w:rPr>
                      <w:kern w:val="0"/>
                      <w:szCs w:val="21"/>
                    </w:rPr>
                    <w:t>经厂区污水处理设施处理后回用，不外排经厂区污水处理设施处理后回用，不外排；项目产生的一般固废均外售综合利用，危险废物均委托有资质单位处置。</w:t>
                  </w:r>
                </w:p>
              </w:tc>
              <w:tc>
                <w:tcPr>
                  <w:tcW w:w="856" w:type="dxa"/>
                  <w:tcBorders>
                    <w:right w:val="nil"/>
                  </w:tcBorders>
                  <w:vAlign w:val="center"/>
                </w:tcPr>
                <w:p w14:paraId="379C5CAE">
                  <w:pPr>
                    <w:autoSpaceDE w:val="0"/>
                    <w:autoSpaceDN w:val="0"/>
                    <w:adjustRightInd w:val="0"/>
                    <w:snapToGrid w:val="0"/>
                    <w:jc w:val="center"/>
                    <w:rPr>
                      <w:kern w:val="0"/>
                      <w:szCs w:val="21"/>
                    </w:rPr>
                  </w:pPr>
                  <w:r>
                    <w:rPr>
                      <w:kern w:val="0"/>
                      <w:szCs w:val="21"/>
                    </w:rPr>
                    <w:t>符合</w:t>
                  </w:r>
                </w:p>
              </w:tc>
            </w:tr>
            <w:tr w14:paraId="6F4F2A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17AAF368">
                  <w:pPr>
                    <w:autoSpaceDE w:val="0"/>
                    <w:autoSpaceDN w:val="0"/>
                    <w:adjustRightInd w:val="0"/>
                    <w:snapToGrid w:val="0"/>
                    <w:jc w:val="center"/>
                    <w:rPr>
                      <w:kern w:val="0"/>
                      <w:szCs w:val="21"/>
                    </w:rPr>
                  </w:pPr>
                  <w:r>
                    <w:rPr>
                      <w:kern w:val="0"/>
                      <w:szCs w:val="21"/>
                    </w:rPr>
                    <w:t>4</w:t>
                  </w:r>
                </w:p>
              </w:tc>
              <w:tc>
                <w:tcPr>
                  <w:tcW w:w="3266" w:type="dxa"/>
                  <w:gridSpan w:val="2"/>
                  <w:vAlign w:val="center"/>
                </w:tcPr>
                <w:p w14:paraId="15CFAEF4">
                  <w:pPr>
                    <w:autoSpaceDE w:val="0"/>
                    <w:autoSpaceDN w:val="0"/>
                    <w:adjustRightInd w:val="0"/>
                    <w:snapToGrid w:val="0"/>
                    <w:rPr>
                      <w:kern w:val="0"/>
                      <w:szCs w:val="21"/>
                    </w:rPr>
                  </w:pPr>
                  <w:r>
                    <w:rPr>
                      <w:kern w:val="0"/>
                      <w:szCs w:val="21"/>
                    </w:rPr>
                    <w:t>加强环境监测管理、环境风险管理和风险防范体系等环境管理制度建设。</w:t>
                  </w:r>
                </w:p>
              </w:tc>
              <w:tc>
                <w:tcPr>
                  <w:tcW w:w="2481" w:type="dxa"/>
                  <w:vAlign w:val="center"/>
                </w:tcPr>
                <w:p w14:paraId="1E0C7735">
                  <w:pPr>
                    <w:autoSpaceDE w:val="0"/>
                    <w:autoSpaceDN w:val="0"/>
                    <w:adjustRightInd w:val="0"/>
                    <w:snapToGrid w:val="0"/>
                    <w:rPr>
                      <w:kern w:val="0"/>
                      <w:szCs w:val="21"/>
                    </w:rPr>
                  </w:pPr>
                  <w:r>
                    <w:rPr>
                      <w:kern w:val="0"/>
                      <w:szCs w:val="21"/>
                    </w:rPr>
                    <w:t>项目将按要求履行例行监测计划，制定环境风险管理制度和风险防范体系。</w:t>
                  </w:r>
                </w:p>
              </w:tc>
              <w:tc>
                <w:tcPr>
                  <w:tcW w:w="856" w:type="dxa"/>
                  <w:tcBorders>
                    <w:right w:val="nil"/>
                  </w:tcBorders>
                  <w:vAlign w:val="center"/>
                </w:tcPr>
                <w:p w14:paraId="4DFFDB89">
                  <w:pPr>
                    <w:autoSpaceDE w:val="0"/>
                    <w:autoSpaceDN w:val="0"/>
                    <w:adjustRightInd w:val="0"/>
                    <w:snapToGrid w:val="0"/>
                    <w:jc w:val="center"/>
                    <w:rPr>
                      <w:kern w:val="0"/>
                      <w:szCs w:val="21"/>
                    </w:rPr>
                  </w:pPr>
                  <w:r>
                    <w:rPr>
                      <w:kern w:val="0"/>
                      <w:szCs w:val="21"/>
                    </w:rPr>
                    <w:t>符合</w:t>
                  </w:r>
                </w:p>
              </w:tc>
            </w:tr>
            <w:tr w14:paraId="3FC3FE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59F4BE17">
                  <w:pPr>
                    <w:autoSpaceDE w:val="0"/>
                    <w:autoSpaceDN w:val="0"/>
                    <w:adjustRightInd w:val="0"/>
                    <w:snapToGrid w:val="0"/>
                    <w:jc w:val="center"/>
                    <w:rPr>
                      <w:kern w:val="0"/>
                      <w:szCs w:val="21"/>
                    </w:rPr>
                  </w:pPr>
                  <w:r>
                    <w:rPr>
                      <w:kern w:val="0"/>
                      <w:szCs w:val="21"/>
                    </w:rPr>
                    <w:t>5</w:t>
                  </w:r>
                </w:p>
              </w:tc>
              <w:tc>
                <w:tcPr>
                  <w:tcW w:w="3266" w:type="dxa"/>
                  <w:gridSpan w:val="2"/>
                  <w:vAlign w:val="center"/>
                </w:tcPr>
                <w:p w14:paraId="70C7AC5D">
                  <w:pPr>
                    <w:autoSpaceDE w:val="0"/>
                    <w:autoSpaceDN w:val="0"/>
                    <w:adjustRightInd w:val="0"/>
                    <w:snapToGrid w:val="0"/>
                    <w:rPr>
                      <w:kern w:val="0"/>
                      <w:szCs w:val="21"/>
                    </w:rPr>
                  </w:pPr>
                  <w:r>
                    <w:rPr>
                      <w:kern w:val="0"/>
                      <w:szCs w:val="21"/>
                    </w:rPr>
                    <w:t>规划中原基本农田在正式获得调整批复前，严格按照永久基本农田进行保护，不得开发，并应当在周边设置一定的空间隔离带，避免产业开发对基本农田的影响。严禁违规占用永久基本农田，贯彻土地管理法、基本农田保护条例有关规定，落实耕地保护目标和永久基本农田保护任务。</w:t>
                  </w:r>
                </w:p>
              </w:tc>
              <w:tc>
                <w:tcPr>
                  <w:tcW w:w="2481" w:type="dxa"/>
                  <w:vAlign w:val="center"/>
                </w:tcPr>
                <w:p w14:paraId="7060C800">
                  <w:pPr>
                    <w:autoSpaceDE w:val="0"/>
                    <w:autoSpaceDN w:val="0"/>
                    <w:adjustRightInd w:val="0"/>
                    <w:snapToGrid w:val="0"/>
                    <w:rPr>
                      <w:kern w:val="0"/>
                      <w:szCs w:val="21"/>
                    </w:rPr>
                  </w:pPr>
                  <w:r>
                    <w:rPr>
                      <w:kern w:val="0"/>
                      <w:szCs w:val="21"/>
                    </w:rPr>
                    <w:t>项目用地性质为工业用地，不占用基本农田。</w:t>
                  </w:r>
                </w:p>
              </w:tc>
              <w:tc>
                <w:tcPr>
                  <w:tcW w:w="856" w:type="dxa"/>
                  <w:tcBorders>
                    <w:right w:val="nil"/>
                  </w:tcBorders>
                  <w:vAlign w:val="center"/>
                </w:tcPr>
                <w:p w14:paraId="6A097849">
                  <w:pPr>
                    <w:autoSpaceDE w:val="0"/>
                    <w:autoSpaceDN w:val="0"/>
                    <w:adjustRightInd w:val="0"/>
                    <w:snapToGrid w:val="0"/>
                    <w:jc w:val="center"/>
                    <w:rPr>
                      <w:kern w:val="0"/>
                      <w:szCs w:val="21"/>
                    </w:rPr>
                  </w:pPr>
                  <w:r>
                    <w:rPr>
                      <w:kern w:val="0"/>
                      <w:szCs w:val="21"/>
                    </w:rPr>
                    <w:t>符合</w:t>
                  </w:r>
                </w:p>
              </w:tc>
            </w:tr>
            <w:tr w14:paraId="1EF715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30E31161">
                  <w:pPr>
                    <w:autoSpaceDE w:val="0"/>
                    <w:autoSpaceDN w:val="0"/>
                    <w:adjustRightInd w:val="0"/>
                    <w:snapToGrid w:val="0"/>
                    <w:jc w:val="center"/>
                    <w:rPr>
                      <w:kern w:val="0"/>
                      <w:szCs w:val="21"/>
                    </w:rPr>
                  </w:pPr>
                  <w:r>
                    <w:rPr>
                      <w:kern w:val="0"/>
                      <w:szCs w:val="21"/>
                    </w:rPr>
                    <w:t>6</w:t>
                  </w:r>
                </w:p>
              </w:tc>
              <w:tc>
                <w:tcPr>
                  <w:tcW w:w="3266" w:type="dxa"/>
                  <w:gridSpan w:val="2"/>
                  <w:vAlign w:val="center"/>
                </w:tcPr>
                <w:p w14:paraId="2D5C3F8B">
                  <w:pPr>
                    <w:autoSpaceDE w:val="0"/>
                    <w:autoSpaceDN w:val="0"/>
                    <w:adjustRightInd w:val="0"/>
                    <w:snapToGrid w:val="0"/>
                    <w:rPr>
                      <w:kern w:val="0"/>
                      <w:szCs w:val="21"/>
                    </w:rPr>
                  </w:pPr>
                  <w:r>
                    <w:rPr>
                      <w:kern w:val="0"/>
                      <w:szCs w:val="21"/>
                    </w:rPr>
                    <w:t>拟入园区的建设项目，应结合《报告书》提出的指导意见做好环境影响评价工作，落实相关要求，加强与规划环评的联动，重点开展工程分析、环境风险评价、污染物允许排放量测算和环保措施的可行性论证等内容，强化环境监测和环境保护相关措施的落实，及时落实环评及“三同时”验收等环保工作。</w:t>
                  </w:r>
                </w:p>
              </w:tc>
              <w:tc>
                <w:tcPr>
                  <w:tcW w:w="2481" w:type="dxa"/>
                  <w:vAlign w:val="center"/>
                </w:tcPr>
                <w:p w14:paraId="33AC5EC7">
                  <w:pPr>
                    <w:autoSpaceDE w:val="0"/>
                    <w:autoSpaceDN w:val="0"/>
                    <w:adjustRightInd w:val="0"/>
                    <w:snapToGrid w:val="0"/>
                    <w:rPr>
                      <w:kern w:val="0"/>
                      <w:szCs w:val="21"/>
                    </w:rPr>
                  </w:pPr>
                  <w:r>
                    <w:rPr>
                      <w:kern w:val="0"/>
                      <w:szCs w:val="21"/>
                    </w:rPr>
                    <w:t>项目正在按要求落实环境影响评价工作，按照要求开展工程分析、环境风险评价、污染物允许排放量测算及环保措施的可行性论证等内容，并制定环境监测计划，提出污染防治可行性措施。</w:t>
                  </w:r>
                </w:p>
              </w:tc>
              <w:tc>
                <w:tcPr>
                  <w:tcW w:w="856" w:type="dxa"/>
                  <w:tcBorders>
                    <w:right w:val="nil"/>
                  </w:tcBorders>
                  <w:vAlign w:val="center"/>
                </w:tcPr>
                <w:p w14:paraId="17FE231B">
                  <w:pPr>
                    <w:autoSpaceDE w:val="0"/>
                    <w:autoSpaceDN w:val="0"/>
                    <w:adjustRightInd w:val="0"/>
                    <w:snapToGrid w:val="0"/>
                    <w:jc w:val="center"/>
                    <w:rPr>
                      <w:kern w:val="0"/>
                      <w:szCs w:val="21"/>
                    </w:rPr>
                  </w:pPr>
                  <w:r>
                    <w:rPr>
                      <w:kern w:val="0"/>
                      <w:szCs w:val="21"/>
                    </w:rPr>
                    <w:t>符合</w:t>
                  </w:r>
                </w:p>
              </w:tc>
            </w:tr>
            <w:tr w14:paraId="28FBC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1DFC59CA">
                  <w:pPr>
                    <w:autoSpaceDE w:val="0"/>
                    <w:autoSpaceDN w:val="0"/>
                    <w:adjustRightInd w:val="0"/>
                    <w:snapToGrid w:val="0"/>
                    <w:jc w:val="center"/>
                    <w:rPr>
                      <w:kern w:val="0"/>
                      <w:szCs w:val="21"/>
                    </w:rPr>
                  </w:pPr>
                  <w:r>
                    <w:rPr>
                      <w:kern w:val="0"/>
                      <w:szCs w:val="21"/>
                    </w:rPr>
                    <w:t>7</w:t>
                  </w:r>
                </w:p>
              </w:tc>
              <w:tc>
                <w:tcPr>
                  <w:tcW w:w="396" w:type="dxa"/>
                  <w:vMerge w:val="restart"/>
                  <w:vAlign w:val="center"/>
                </w:tcPr>
                <w:p w14:paraId="003F952B">
                  <w:pPr>
                    <w:autoSpaceDE w:val="0"/>
                    <w:autoSpaceDN w:val="0"/>
                    <w:adjustRightInd w:val="0"/>
                    <w:snapToGrid w:val="0"/>
                    <w:jc w:val="center"/>
                    <w:rPr>
                      <w:kern w:val="0"/>
                      <w:szCs w:val="21"/>
                    </w:rPr>
                  </w:pPr>
                  <w:r>
                    <w:rPr>
                      <w:kern w:val="0"/>
                      <w:szCs w:val="21"/>
                    </w:rPr>
                    <w:t>准入清单</w:t>
                  </w:r>
                </w:p>
              </w:tc>
              <w:tc>
                <w:tcPr>
                  <w:tcW w:w="2870" w:type="dxa"/>
                  <w:vAlign w:val="center"/>
                </w:tcPr>
                <w:p w14:paraId="0AEE2EF5">
                  <w:pPr>
                    <w:autoSpaceDE w:val="0"/>
                    <w:autoSpaceDN w:val="0"/>
                    <w:adjustRightInd w:val="0"/>
                    <w:snapToGrid w:val="0"/>
                    <w:rPr>
                      <w:kern w:val="0"/>
                      <w:szCs w:val="21"/>
                    </w:rPr>
                  </w:pPr>
                  <w:r>
                    <w:rPr>
                      <w:kern w:val="0"/>
                      <w:szCs w:val="21"/>
                    </w:rPr>
                    <w:t>禁止引入项目：禁止新建独立燃油汽车项目；禁止新建应用普通钢板等传统材料、采用冲压焊接等传统工艺制造车身的独立车身总成的项目；禁止建设纯电镀加工、纯铸造加工项目；不得新建钢铁、煤电、化工、印染项目；不得新增化学合成制药类项目；禁止引入危险化学品仓储企业；禁止建设使用高VOCs含量的溶剂型涂料、油墨、胶黏剂等项目；工业涂装、包装印刷、纺织、木材加工等行业以及涂料、油墨等生产企业的新（改、扩）建项目需满足低（无）VOCs含量限值要求；禁止引入排放重点重金属（铅、汞、镉、铬、砷）的重点行业项目；其它：禁止引入《省生态环境厅关于报送高耗能、高排放项目清单的通知》（苏环便函[2021]903号）中规定的高耗能、高排放项目。</w:t>
                  </w:r>
                </w:p>
              </w:tc>
              <w:tc>
                <w:tcPr>
                  <w:tcW w:w="2481" w:type="dxa"/>
                  <w:vAlign w:val="center"/>
                </w:tcPr>
                <w:p w14:paraId="42B6CF02">
                  <w:pPr>
                    <w:autoSpaceDE w:val="0"/>
                    <w:autoSpaceDN w:val="0"/>
                    <w:adjustRightInd w:val="0"/>
                    <w:snapToGrid w:val="0"/>
                    <w:rPr>
                      <w:kern w:val="0"/>
                      <w:szCs w:val="21"/>
                    </w:rPr>
                  </w:pPr>
                  <w:r>
                    <w:rPr>
                      <w:kern w:val="0"/>
                      <w:szCs w:val="21"/>
                    </w:rPr>
                    <w:t>项目行业类别为</w:t>
                  </w:r>
                  <w:r>
                    <w:rPr>
                      <w:szCs w:val="21"/>
                    </w:rPr>
                    <w:t>橡胶零件制造，</w:t>
                  </w:r>
                  <w:r>
                    <w:rPr>
                      <w:rFonts w:hint="eastAsia"/>
                      <w:szCs w:val="21"/>
                    </w:rPr>
                    <w:t>本项目使用低VOCs含量的水性胶粘剂，根据VOC检测报告（A2250505511101001C）可知VOCs含量为ND（未检出），满足《胶粘剂挥发性有机化合物限量》（GB 33372-2020）中挥发性有机物含量的相关限值要求</w:t>
                  </w:r>
                  <w:r>
                    <w:rPr>
                      <w:szCs w:val="21"/>
                    </w:rPr>
                    <w:t>；不排放重金属污染物、不属于“两高”项目，不属于园区禁止引入项目。</w:t>
                  </w:r>
                </w:p>
              </w:tc>
              <w:tc>
                <w:tcPr>
                  <w:tcW w:w="856" w:type="dxa"/>
                  <w:tcBorders>
                    <w:right w:val="nil"/>
                  </w:tcBorders>
                  <w:vAlign w:val="center"/>
                </w:tcPr>
                <w:p w14:paraId="19354125">
                  <w:pPr>
                    <w:autoSpaceDE w:val="0"/>
                    <w:autoSpaceDN w:val="0"/>
                    <w:adjustRightInd w:val="0"/>
                    <w:snapToGrid w:val="0"/>
                    <w:jc w:val="center"/>
                    <w:rPr>
                      <w:kern w:val="0"/>
                      <w:szCs w:val="21"/>
                    </w:rPr>
                  </w:pPr>
                  <w:r>
                    <w:rPr>
                      <w:kern w:val="0"/>
                      <w:szCs w:val="21"/>
                    </w:rPr>
                    <w:t>符合</w:t>
                  </w:r>
                </w:p>
              </w:tc>
            </w:tr>
            <w:tr w14:paraId="12A279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01678531">
                  <w:pPr>
                    <w:autoSpaceDE w:val="0"/>
                    <w:autoSpaceDN w:val="0"/>
                    <w:adjustRightInd w:val="0"/>
                    <w:snapToGrid w:val="0"/>
                    <w:jc w:val="center"/>
                    <w:rPr>
                      <w:kern w:val="0"/>
                      <w:szCs w:val="21"/>
                    </w:rPr>
                  </w:pPr>
                  <w:r>
                    <w:rPr>
                      <w:kern w:val="0"/>
                      <w:szCs w:val="21"/>
                    </w:rPr>
                    <w:t>8</w:t>
                  </w:r>
                </w:p>
              </w:tc>
              <w:tc>
                <w:tcPr>
                  <w:tcW w:w="396" w:type="dxa"/>
                  <w:vMerge w:val="continue"/>
                  <w:vAlign w:val="center"/>
                </w:tcPr>
                <w:p w14:paraId="3F9C419B">
                  <w:pPr>
                    <w:autoSpaceDE w:val="0"/>
                    <w:autoSpaceDN w:val="0"/>
                    <w:adjustRightInd w:val="0"/>
                    <w:snapToGrid w:val="0"/>
                    <w:rPr>
                      <w:kern w:val="0"/>
                      <w:szCs w:val="21"/>
                    </w:rPr>
                  </w:pPr>
                </w:p>
              </w:tc>
              <w:tc>
                <w:tcPr>
                  <w:tcW w:w="2870" w:type="dxa"/>
                  <w:vAlign w:val="center"/>
                </w:tcPr>
                <w:p w14:paraId="65B5AC4D">
                  <w:pPr>
                    <w:autoSpaceDE w:val="0"/>
                    <w:autoSpaceDN w:val="0"/>
                    <w:adjustRightInd w:val="0"/>
                    <w:snapToGrid w:val="0"/>
                    <w:rPr>
                      <w:kern w:val="0"/>
                      <w:szCs w:val="21"/>
                    </w:rPr>
                  </w:pPr>
                  <w:r>
                    <w:rPr>
                      <w:kern w:val="0"/>
                      <w:szCs w:val="21"/>
                    </w:rPr>
                    <w:t>限制引入项目：限制引入使用不符合VOCs含量限值涂料的喷涂类项目；限制引入对生态破坏较大的工业项目；限制在居民区、学校、居民点等主要敏感目标附近布局排放异味气体、环境风险大、污染严重的企业项目，并充分考虑产业与城市建成区、区内居民点之间的环境防护距离。</w:t>
                  </w:r>
                </w:p>
              </w:tc>
              <w:tc>
                <w:tcPr>
                  <w:tcW w:w="2481" w:type="dxa"/>
                  <w:vAlign w:val="center"/>
                </w:tcPr>
                <w:p w14:paraId="483E6497">
                  <w:pPr>
                    <w:autoSpaceDE w:val="0"/>
                    <w:autoSpaceDN w:val="0"/>
                    <w:adjustRightInd w:val="0"/>
                    <w:snapToGrid w:val="0"/>
                    <w:rPr>
                      <w:kern w:val="0"/>
                      <w:szCs w:val="21"/>
                    </w:rPr>
                  </w:pPr>
                  <w:r>
                    <w:rPr>
                      <w:kern w:val="0"/>
                      <w:szCs w:val="21"/>
                    </w:rPr>
                    <w:t>项目不属于使用涂料的喷涂类项目，污染物排放对生态破坏程度较轻，能够满足环境防护距离要求，不属于园区限制引入项目。</w:t>
                  </w:r>
                </w:p>
              </w:tc>
              <w:tc>
                <w:tcPr>
                  <w:tcW w:w="856" w:type="dxa"/>
                  <w:tcBorders>
                    <w:right w:val="nil"/>
                  </w:tcBorders>
                  <w:vAlign w:val="center"/>
                </w:tcPr>
                <w:p w14:paraId="3E1856EB">
                  <w:pPr>
                    <w:autoSpaceDE w:val="0"/>
                    <w:autoSpaceDN w:val="0"/>
                    <w:adjustRightInd w:val="0"/>
                    <w:snapToGrid w:val="0"/>
                    <w:jc w:val="center"/>
                    <w:rPr>
                      <w:kern w:val="0"/>
                      <w:szCs w:val="21"/>
                    </w:rPr>
                  </w:pPr>
                  <w:r>
                    <w:rPr>
                      <w:kern w:val="0"/>
                      <w:szCs w:val="21"/>
                    </w:rPr>
                    <w:t>符合</w:t>
                  </w:r>
                </w:p>
              </w:tc>
            </w:tr>
            <w:tr w14:paraId="68B7C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36E0E11F">
                  <w:pPr>
                    <w:autoSpaceDE w:val="0"/>
                    <w:autoSpaceDN w:val="0"/>
                    <w:adjustRightInd w:val="0"/>
                    <w:snapToGrid w:val="0"/>
                    <w:jc w:val="center"/>
                    <w:rPr>
                      <w:kern w:val="0"/>
                      <w:szCs w:val="21"/>
                    </w:rPr>
                  </w:pPr>
                  <w:r>
                    <w:rPr>
                      <w:kern w:val="0"/>
                      <w:szCs w:val="21"/>
                    </w:rPr>
                    <w:t>9</w:t>
                  </w:r>
                </w:p>
              </w:tc>
              <w:tc>
                <w:tcPr>
                  <w:tcW w:w="396" w:type="dxa"/>
                  <w:vMerge w:val="continue"/>
                  <w:vAlign w:val="center"/>
                </w:tcPr>
                <w:p w14:paraId="60D71C16">
                  <w:pPr>
                    <w:autoSpaceDE w:val="0"/>
                    <w:autoSpaceDN w:val="0"/>
                    <w:adjustRightInd w:val="0"/>
                    <w:snapToGrid w:val="0"/>
                    <w:rPr>
                      <w:kern w:val="0"/>
                      <w:szCs w:val="21"/>
                    </w:rPr>
                  </w:pPr>
                </w:p>
              </w:tc>
              <w:tc>
                <w:tcPr>
                  <w:tcW w:w="2870" w:type="dxa"/>
                  <w:vAlign w:val="center"/>
                </w:tcPr>
                <w:p w14:paraId="017D5446">
                  <w:pPr>
                    <w:autoSpaceDE w:val="0"/>
                    <w:autoSpaceDN w:val="0"/>
                    <w:adjustRightInd w:val="0"/>
                    <w:snapToGrid w:val="0"/>
                    <w:rPr>
                      <w:kern w:val="0"/>
                      <w:szCs w:val="21"/>
                    </w:rPr>
                  </w:pPr>
                  <w:r>
                    <w:rPr>
                      <w:kern w:val="0"/>
                      <w:szCs w:val="21"/>
                    </w:rPr>
                    <w:t>空间管控要求：水域及绿地，禁止一切与环境保护功能无关的建设活动；钱资东河、尧塘河沿岸河道范围内（两岸堤防背水坡堤脚外10m）禁止建设妨碍行洪的建筑物、构筑物；禁止引进不能满足环评测算出的环境防护距离，或环评事故风险防范和应急措施难以落实到位的项目；严格遵照《中华人民共和国基本农田保护条例》要求，加强区内基本农田保护，在土地规划调整到位之前，禁止任何形式的基本农田开发；符合金坛区“三区三线”管控要求。</w:t>
                  </w:r>
                </w:p>
              </w:tc>
              <w:tc>
                <w:tcPr>
                  <w:tcW w:w="2481" w:type="dxa"/>
                  <w:vAlign w:val="center"/>
                </w:tcPr>
                <w:p w14:paraId="0611B207">
                  <w:pPr>
                    <w:autoSpaceDE w:val="0"/>
                    <w:autoSpaceDN w:val="0"/>
                    <w:adjustRightInd w:val="0"/>
                    <w:snapToGrid w:val="0"/>
                    <w:rPr>
                      <w:kern w:val="0"/>
                      <w:szCs w:val="21"/>
                    </w:rPr>
                  </w:pPr>
                  <w:r>
                    <w:rPr>
                      <w:kern w:val="0"/>
                      <w:szCs w:val="21"/>
                    </w:rPr>
                    <w:t>项目用地性质为工业用地，不涉及水域及绿地；不在河道沿岸范围内；能够满足环评测算出的环境防护距离要求，将按要求落实事故风险防范和应急措施；项目建设区域不涉及基本农田；符合金坛区“三区三线”管控要求。</w:t>
                  </w:r>
                </w:p>
              </w:tc>
              <w:tc>
                <w:tcPr>
                  <w:tcW w:w="856" w:type="dxa"/>
                  <w:tcBorders>
                    <w:right w:val="nil"/>
                  </w:tcBorders>
                  <w:vAlign w:val="center"/>
                </w:tcPr>
                <w:p w14:paraId="498DCD7D">
                  <w:pPr>
                    <w:autoSpaceDE w:val="0"/>
                    <w:autoSpaceDN w:val="0"/>
                    <w:adjustRightInd w:val="0"/>
                    <w:snapToGrid w:val="0"/>
                    <w:jc w:val="center"/>
                    <w:rPr>
                      <w:kern w:val="0"/>
                      <w:szCs w:val="21"/>
                    </w:rPr>
                  </w:pPr>
                  <w:r>
                    <w:rPr>
                      <w:kern w:val="0"/>
                      <w:szCs w:val="21"/>
                    </w:rPr>
                    <w:t>符合</w:t>
                  </w:r>
                </w:p>
              </w:tc>
            </w:tr>
            <w:tr w14:paraId="399723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33C53203">
                  <w:pPr>
                    <w:autoSpaceDE w:val="0"/>
                    <w:autoSpaceDN w:val="0"/>
                    <w:adjustRightInd w:val="0"/>
                    <w:snapToGrid w:val="0"/>
                    <w:jc w:val="center"/>
                    <w:rPr>
                      <w:kern w:val="0"/>
                      <w:szCs w:val="21"/>
                    </w:rPr>
                  </w:pPr>
                  <w:r>
                    <w:rPr>
                      <w:kern w:val="0"/>
                      <w:szCs w:val="21"/>
                    </w:rPr>
                    <w:t>10</w:t>
                  </w:r>
                </w:p>
              </w:tc>
              <w:tc>
                <w:tcPr>
                  <w:tcW w:w="396" w:type="dxa"/>
                  <w:vMerge w:val="continue"/>
                  <w:vAlign w:val="center"/>
                </w:tcPr>
                <w:p w14:paraId="24E27E5D">
                  <w:pPr>
                    <w:autoSpaceDE w:val="0"/>
                    <w:autoSpaceDN w:val="0"/>
                    <w:adjustRightInd w:val="0"/>
                    <w:snapToGrid w:val="0"/>
                    <w:rPr>
                      <w:kern w:val="0"/>
                      <w:szCs w:val="21"/>
                    </w:rPr>
                  </w:pPr>
                </w:p>
              </w:tc>
              <w:tc>
                <w:tcPr>
                  <w:tcW w:w="2870" w:type="dxa"/>
                  <w:vAlign w:val="center"/>
                </w:tcPr>
                <w:p w14:paraId="170588B3">
                  <w:pPr>
                    <w:autoSpaceDE w:val="0"/>
                    <w:autoSpaceDN w:val="0"/>
                    <w:adjustRightInd w:val="0"/>
                    <w:snapToGrid w:val="0"/>
                    <w:rPr>
                      <w:kern w:val="0"/>
                      <w:szCs w:val="21"/>
                    </w:rPr>
                  </w:pPr>
                  <w:r>
                    <w:rPr>
                      <w:kern w:val="0"/>
                      <w:szCs w:val="21"/>
                    </w:rPr>
                    <w:t>污染物排放管控：颗粒物、二氧化硫、氮氧化物、VOCs作为总量控制因子，根据省、市上级要求，进行现役源2倍削减量替代或关闭类项目1.5倍削减量替代；规划实施后华罗庚高新区范围内所有新、改、扩建涉重金属重点行业项目必须遵守重点重金属污染物排放“减量置换”或“等量替换”的原则；太湖流域三级保护区内，在工业集聚区新建、改建、扩建排放含磷、氮等污染物的战略性新兴产业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w:t>
                  </w:r>
                </w:p>
              </w:tc>
              <w:tc>
                <w:tcPr>
                  <w:tcW w:w="2481" w:type="dxa"/>
                  <w:vAlign w:val="center"/>
                </w:tcPr>
                <w:p w14:paraId="437E57D7">
                  <w:pPr>
                    <w:autoSpaceDE w:val="0"/>
                    <w:autoSpaceDN w:val="0"/>
                    <w:adjustRightInd w:val="0"/>
                    <w:snapToGrid w:val="0"/>
                    <w:rPr>
                      <w:kern w:val="0"/>
                      <w:szCs w:val="21"/>
                    </w:rPr>
                  </w:pPr>
                  <w:r>
                    <w:rPr>
                      <w:kern w:val="0"/>
                      <w:szCs w:val="21"/>
                    </w:rPr>
                    <w:t>项目废气污染因子颗粒物、挥发性有机物等将按要求申请总量；项目不排放重点重金属污染物，不排放含磷、氮污染物的生产废水。</w:t>
                  </w:r>
                </w:p>
              </w:tc>
              <w:tc>
                <w:tcPr>
                  <w:tcW w:w="856" w:type="dxa"/>
                  <w:tcBorders>
                    <w:right w:val="nil"/>
                  </w:tcBorders>
                  <w:vAlign w:val="center"/>
                </w:tcPr>
                <w:p w14:paraId="6781FE14">
                  <w:pPr>
                    <w:autoSpaceDE w:val="0"/>
                    <w:autoSpaceDN w:val="0"/>
                    <w:adjustRightInd w:val="0"/>
                    <w:snapToGrid w:val="0"/>
                    <w:jc w:val="center"/>
                    <w:rPr>
                      <w:kern w:val="0"/>
                      <w:szCs w:val="21"/>
                    </w:rPr>
                  </w:pPr>
                  <w:r>
                    <w:rPr>
                      <w:kern w:val="0"/>
                      <w:szCs w:val="21"/>
                    </w:rPr>
                    <w:t>符合</w:t>
                  </w:r>
                </w:p>
              </w:tc>
            </w:tr>
            <w:tr w14:paraId="453940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1CD0F37D">
                  <w:pPr>
                    <w:autoSpaceDE w:val="0"/>
                    <w:autoSpaceDN w:val="0"/>
                    <w:adjustRightInd w:val="0"/>
                    <w:snapToGrid w:val="0"/>
                    <w:jc w:val="center"/>
                    <w:rPr>
                      <w:kern w:val="0"/>
                      <w:szCs w:val="21"/>
                    </w:rPr>
                  </w:pPr>
                  <w:r>
                    <w:rPr>
                      <w:kern w:val="0"/>
                      <w:szCs w:val="21"/>
                    </w:rPr>
                    <w:t>11</w:t>
                  </w:r>
                </w:p>
              </w:tc>
              <w:tc>
                <w:tcPr>
                  <w:tcW w:w="396" w:type="dxa"/>
                  <w:vMerge w:val="continue"/>
                  <w:vAlign w:val="center"/>
                </w:tcPr>
                <w:p w14:paraId="093415D0">
                  <w:pPr>
                    <w:autoSpaceDE w:val="0"/>
                    <w:autoSpaceDN w:val="0"/>
                    <w:adjustRightInd w:val="0"/>
                    <w:snapToGrid w:val="0"/>
                    <w:rPr>
                      <w:kern w:val="0"/>
                      <w:szCs w:val="21"/>
                    </w:rPr>
                  </w:pPr>
                </w:p>
              </w:tc>
              <w:tc>
                <w:tcPr>
                  <w:tcW w:w="2870" w:type="dxa"/>
                  <w:vAlign w:val="center"/>
                </w:tcPr>
                <w:p w14:paraId="46315A81">
                  <w:pPr>
                    <w:autoSpaceDE w:val="0"/>
                    <w:autoSpaceDN w:val="0"/>
                    <w:adjustRightInd w:val="0"/>
                    <w:snapToGrid w:val="0"/>
                    <w:rPr>
                      <w:kern w:val="0"/>
                      <w:szCs w:val="21"/>
                    </w:rPr>
                  </w:pPr>
                  <w:r>
                    <w:rPr>
                      <w:kern w:val="0"/>
                      <w:szCs w:val="21"/>
                    </w:rPr>
                    <w:t>环境风险防控：建立有效的安全防范体系，制定风险应急救援措施，一旦发生事故确保各项应急救援快速高效有序启动，减缓事故蔓延范围，最大限度减轻风险事故造成的损失。</w:t>
                  </w:r>
                </w:p>
              </w:tc>
              <w:tc>
                <w:tcPr>
                  <w:tcW w:w="2481" w:type="dxa"/>
                  <w:vAlign w:val="center"/>
                </w:tcPr>
                <w:p w14:paraId="5A86B8C1">
                  <w:pPr>
                    <w:autoSpaceDE w:val="0"/>
                    <w:autoSpaceDN w:val="0"/>
                    <w:adjustRightInd w:val="0"/>
                    <w:snapToGrid w:val="0"/>
                    <w:rPr>
                      <w:kern w:val="0"/>
                      <w:szCs w:val="21"/>
                    </w:rPr>
                  </w:pPr>
                  <w:r>
                    <w:rPr>
                      <w:kern w:val="0"/>
                      <w:szCs w:val="21"/>
                    </w:rPr>
                    <w:t>建设单位已建设安全防范体系，并制定风险应急救援措施，可及时有效对事故作出响应，减少事故影响。</w:t>
                  </w:r>
                </w:p>
              </w:tc>
              <w:tc>
                <w:tcPr>
                  <w:tcW w:w="856" w:type="dxa"/>
                  <w:tcBorders>
                    <w:right w:val="nil"/>
                  </w:tcBorders>
                  <w:vAlign w:val="center"/>
                </w:tcPr>
                <w:p w14:paraId="5FA01005">
                  <w:pPr>
                    <w:autoSpaceDE w:val="0"/>
                    <w:autoSpaceDN w:val="0"/>
                    <w:adjustRightInd w:val="0"/>
                    <w:snapToGrid w:val="0"/>
                    <w:jc w:val="center"/>
                    <w:rPr>
                      <w:kern w:val="0"/>
                      <w:szCs w:val="21"/>
                    </w:rPr>
                  </w:pPr>
                  <w:r>
                    <w:rPr>
                      <w:kern w:val="0"/>
                      <w:szCs w:val="21"/>
                    </w:rPr>
                    <w:t>符合</w:t>
                  </w:r>
                </w:p>
              </w:tc>
            </w:tr>
            <w:tr w14:paraId="71A8E6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7" w:type="dxa"/>
                  <w:tcBorders>
                    <w:left w:val="nil"/>
                  </w:tcBorders>
                  <w:vAlign w:val="center"/>
                </w:tcPr>
                <w:p w14:paraId="6252C0CA">
                  <w:pPr>
                    <w:autoSpaceDE w:val="0"/>
                    <w:autoSpaceDN w:val="0"/>
                    <w:adjustRightInd w:val="0"/>
                    <w:snapToGrid w:val="0"/>
                    <w:jc w:val="center"/>
                    <w:rPr>
                      <w:kern w:val="0"/>
                      <w:szCs w:val="21"/>
                    </w:rPr>
                  </w:pPr>
                  <w:r>
                    <w:rPr>
                      <w:kern w:val="0"/>
                      <w:szCs w:val="21"/>
                    </w:rPr>
                    <w:t>12</w:t>
                  </w:r>
                </w:p>
              </w:tc>
              <w:tc>
                <w:tcPr>
                  <w:tcW w:w="396" w:type="dxa"/>
                  <w:vMerge w:val="continue"/>
                  <w:vAlign w:val="center"/>
                </w:tcPr>
                <w:p w14:paraId="43316775">
                  <w:pPr>
                    <w:autoSpaceDE w:val="0"/>
                    <w:autoSpaceDN w:val="0"/>
                    <w:adjustRightInd w:val="0"/>
                    <w:snapToGrid w:val="0"/>
                    <w:rPr>
                      <w:kern w:val="0"/>
                      <w:szCs w:val="21"/>
                    </w:rPr>
                  </w:pPr>
                </w:p>
              </w:tc>
              <w:tc>
                <w:tcPr>
                  <w:tcW w:w="2870" w:type="dxa"/>
                  <w:vAlign w:val="center"/>
                </w:tcPr>
                <w:p w14:paraId="7C5457A7">
                  <w:pPr>
                    <w:autoSpaceDE w:val="0"/>
                    <w:autoSpaceDN w:val="0"/>
                    <w:adjustRightInd w:val="0"/>
                    <w:snapToGrid w:val="0"/>
                    <w:rPr>
                      <w:kern w:val="0"/>
                      <w:szCs w:val="21"/>
                    </w:rPr>
                  </w:pPr>
                  <w:r>
                    <w:rPr>
                      <w:kern w:val="0"/>
                      <w:szCs w:val="21"/>
                    </w:rPr>
                    <w:t>资源开发利用效率：大力倡导使用清洁能源；提升废水资源化技术，提高水资源回用率；禁止销售使用燃料为“Ⅲ类”，具体包括：煤炭及其制品；石油焦、油页岩、原油、重油、渣油、煤焦油；非专用锅炉或未配置高效除尘设施的专用锅炉燃用的生物质成型燃料；国家规定的其它高污染燃料。</w:t>
                  </w:r>
                </w:p>
              </w:tc>
              <w:tc>
                <w:tcPr>
                  <w:tcW w:w="2481" w:type="dxa"/>
                  <w:vAlign w:val="center"/>
                </w:tcPr>
                <w:p w14:paraId="4316885B">
                  <w:pPr>
                    <w:autoSpaceDE w:val="0"/>
                    <w:autoSpaceDN w:val="0"/>
                    <w:adjustRightInd w:val="0"/>
                    <w:snapToGrid w:val="0"/>
                    <w:rPr>
                      <w:kern w:val="0"/>
                      <w:szCs w:val="21"/>
                    </w:rPr>
                  </w:pPr>
                  <w:r>
                    <w:rPr>
                      <w:kern w:val="0"/>
                      <w:szCs w:val="21"/>
                    </w:rPr>
                    <w:t>项目生产设备采用电力能源，为清洁能源；</w:t>
                  </w:r>
                  <w:r>
                    <w:rPr>
                      <w:rFonts w:hint="eastAsia"/>
                      <w:kern w:val="0"/>
                      <w:szCs w:val="21"/>
                      <w:lang w:val="en-US" w:eastAsia="zh-CN"/>
                    </w:rPr>
                    <w:t>生产废水</w:t>
                  </w:r>
                  <w:r>
                    <w:rPr>
                      <w:kern w:val="0"/>
                      <w:szCs w:val="21"/>
                    </w:rPr>
                    <w:t>经厂区污水处理设施处理后回用，不外排；不销售及使用燃料。</w:t>
                  </w:r>
                </w:p>
              </w:tc>
              <w:tc>
                <w:tcPr>
                  <w:tcW w:w="856" w:type="dxa"/>
                  <w:tcBorders>
                    <w:right w:val="nil"/>
                  </w:tcBorders>
                  <w:vAlign w:val="center"/>
                </w:tcPr>
                <w:p w14:paraId="0B38187C">
                  <w:pPr>
                    <w:autoSpaceDE w:val="0"/>
                    <w:autoSpaceDN w:val="0"/>
                    <w:adjustRightInd w:val="0"/>
                    <w:snapToGrid w:val="0"/>
                    <w:jc w:val="center"/>
                    <w:rPr>
                      <w:kern w:val="0"/>
                      <w:szCs w:val="21"/>
                    </w:rPr>
                  </w:pPr>
                </w:p>
              </w:tc>
            </w:tr>
          </w:tbl>
          <w:p w14:paraId="516B3DFD">
            <w:pPr>
              <w:adjustRightInd w:val="0"/>
              <w:snapToGrid w:val="0"/>
              <w:spacing w:beforeLines="50" w:line="360" w:lineRule="auto"/>
              <w:ind w:firstLine="420" w:firstLineChars="200"/>
              <w:rPr>
                <w:kern w:val="0"/>
                <w:szCs w:val="21"/>
              </w:rPr>
            </w:pPr>
            <w:r>
              <w:rPr>
                <w:szCs w:val="21"/>
              </w:rPr>
              <w:t>项目生产过程中设备采用电力能源；</w:t>
            </w:r>
            <w:r>
              <w:rPr>
                <w:kern w:val="0"/>
                <w:szCs w:val="21"/>
              </w:rPr>
              <w:t>项目现有厂区已实施雨污分流，纯水制备弃水、冷却塔排水</w:t>
            </w:r>
            <w:r>
              <w:rPr>
                <w:rFonts w:hint="eastAsia"/>
                <w:kern w:val="0"/>
                <w:szCs w:val="21"/>
              </w:rPr>
              <w:t>作为清下水排入雨水管网，</w:t>
            </w:r>
            <w:r>
              <w:rPr>
                <w:kern w:val="0"/>
                <w:szCs w:val="21"/>
              </w:rPr>
              <w:t>生活污水接管至常州金坛区第二污水处理有限公司集中处理，</w:t>
            </w:r>
            <w:r>
              <w:rPr>
                <w:rFonts w:hint="eastAsia"/>
                <w:kern w:val="0"/>
                <w:szCs w:val="21"/>
                <w:lang w:val="en-US" w:eastAsia="zh-CN"/>
              </w:rPr>
              <w:t>生产废水</w:t>
            </w:r>
            <w:r>
              <w:rPr>
                <w:kern w:val="0"/>
                <w:szCs w:val="21"/>
              </w:rPr>
              <w:t>经厂区污水处理设施处理后回用，不外排；项目产生的一般固废均外售综合利用，危险废物均委托有资质单位处置；选址用地性质为工业用地，不占用基本农田，</w:t>
            </w:r>
            <w:r>
              <w:rPr>
                <w:bCs/>
                <w:kern w:val="0"/>
                <w:szCs w:val="21"/>
              </w:rPr>
              <w:t>项目所在地位于</w:t>
            </w:r>
            <w:r>
              <w:rPr>
                <w:kern w:val="0"/>
                <w:szCs w:val="21"/>
              </w:rPr>
              <w:t>金东现代产业园片区（南区）</w:t>
            </w:r>
            <w:r>
              <w:rPr>
                <w:bCs/>
                <w:kern w:val="0"/>
                <w:szCs w:val="21"/>
              </w:rPr>
              <w:t>规划的居住区附近，厂界边界能满足与居住区保持不少于30米的空间隔离带的要求，</w:t>
            </w:r>
            <w:r>
              <w:rPr>
                <w:kern w:val="0"/>
                <w:szCs w:val="21"/>
              </w:rPr>
              <w:t>不涉及水域及绿地，不在河道沿岸范围内，符合金坛区“三区三线”管控要求；将按要求履行例行监测计划，制定环境风险管理制度和风险防范体系、落实事故应急措施；项目正在按要求落实环境影响评价工作，按照要求开展工程分析、环境风险评价、污染物允许排放量测算及环保措施的可行性论证等内容，并制定环境监测计划，提出污染防治可行性措施。</w:t>
            </w:r>
          </w:p>
          <w:p w14:paraId="66D8F3B0">
            <w:pPr>
              <w:adjustRightInd w:val="0"/>
              <w:snapToGrid w:val="0"/>
              <w:spacing w:line="360" w:lineRule="auto"/>
              <w:ind w:firstLine="420" w:firstLineChars="200"/>
              <w:rPr>
                <w:kern w:val="0"/>
                <w:szCs w:val="21"/>
              </w:rPr>
            </w:pPr>
            <w:r>
              <w:rPr>
                <w:kern w:val="0"/>
                <w:szCs w:val="21"/>
              </w:rPr>
              <w:t>项目行业类别为</w:t>
            </w:r>
            <w:r>
              <w:rPr>
                <w:szCs w:val="21"/>
              </w:rPr>
              <w:t>橡胶零件制造，拟采用的胶粘剂满足</w:t>
            </w:r>
            <w:r>
              <w:t>《胶粘剂挥发性有机化合物限量》（GB 33372-2020）</w:t>
            </w:r>
            <w:r>
              <w:rPr>
                <w:szCs w:val="21"/>
              </w:rPr>
              <w:t>中挥发性有机物含量的相关限值要求；不排放重金属污染物、不属于“两高”项目</w:t>
            </w:r>
            <w:r>
              <w:rPr>
                <w:kern w:val="0"/>
                <w:szCs w:val="21"/>
              </w:rPr>
              <w:t>，污染物排放对生态破坏程度较轻，将按要求设置环境防护距离，且能够满足环评测算出的环境防护距离要求</w:t>
            </w:r>
            <w:r>
              <w:rPr>
                <w:szCs w:val="21"/>
              </w:rPr>
              <w:t>，不属于园区禁止及限制引入项目</w:t>
            </w:r>
            <w:r>
              <w:rPr>
                <w:kern w:val="0"/>
                <w:szCs w:val="21"/>
              </w:rPr>
              <w:t>；项目废气污染因子颗粒物、非甲烷总烃等将按要求申请总量；不排放重点重金属污染物，不排放含磷、氮污染物的生产废水，不销售及使用燃料。因此项目建设符合</w:t>
            </w:r>
            <w:r>
              <w:rPr>
                <w:szCs w:val="21"/>
              </w:rPr>
              <w:t>《江苏省金坛华罗庚高新技术产业开发区开发建设规划（2022-2035）环境影响报告书》</w:t>
            </w:r>
            <w:r>
              <w:rPr>
                <w:kern w:val="0"/>
                <w:szCs w:val="21"/>
              </w:rPr>
              <w:t>及</w:t>
            </w:r>
            <w:r>
              <w:rPr>
                <w:szCs w:val="21"/>
              </w:rPr>
              <w:t>《市生态环境局关于江苏省金坛华罗庚高新技术产业开发区开发建设规划（2022-2035）环境影响报告书的审查意见》中相关要求。</w:t>
            </w:r>
          </w:p>
        </w:tc>
      </w:tr>
      <w:tr w14:paraId="500A1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611" w:type="dxa"/>
            <w:vAlign w:val="center"/>
          </w:tcPr>
          <w:p w14:paraId="65F1F359">
            <w:pPr>
              <w:autoSpaceDE w:val="0"/>
              <w:autoSpaceDN w:val="0"/>
              <w:adjustRightInd w:val="0"/>
              <w:snapToGrid w:val="0"/>
              <w:jc w:val="center"/>
              <w:rPr>
                <w:kern w:val="0"/>
                <w:szCs w:val="21"/>
              </w:rPr>
            </w:pPr>
            <w:r>
              <w:rPr>
                <w:kern w:val="0"/>
                <w:szCs w:val="21"/>
              </w:rPr>
              <w:t>其他符合性分析</w:t>
            </w:r>
          </w:p>
        </w:tc>
        <w:tc>
          <w:tcPr>
            <w:tcW w:w="7334" w:type="dxa"/>
            <w:gridSpan w:val="3"/>
            <w:vAlign w:val="center"/>
          </w:tcPr>
          <w:p w14:paraId="44F4049E">
            <w:pPr>
              <w:adjustRightInd w:val="0"/>
              <w:snapToGrid w:val="0"/>
              <w:spacing w:line="360" w:lineRule="auto"/>
              <w:rPr>
                <w:b/>
                <w:bCs/>
                <w:szCs w:val="21"/>
              </w:rPr>
            </w:pPr>
            <w:r>
              <w:rPr>
                <w:b/>
                <w:bCs/>
                <w:szCs w:val="21"/>
              </w:rPr>
              <w:t>1、产业政策相符性分析</w:t>
            </w:r>
          </w:p>
          <w:p w14:paraId="226CD26E">
            <w:pPr>
              <w:adjustRightInd w:val="0"/>
              <w:snapToGrid w:val="0"/>
              <w:spacing w:line="360" w:lineRule="auto"/>
              <w:ind w:firstLine="420" w:firstLineChars="200"/>
              <w:rPr>
                <w:szCs w:val="21"/>
              </w:rPr>
            </w:pPr>
            <w:r>
              <w:rPr>
                <w:szCs w:val="21"/>
              </w:rPr>
              <w:t>项目主要从事</w:t>
            </w:r>
            <w:r>
              <w:rPr>
                <w:kern w:val="0"/>
                <w:szCs w:val="21"/>
              </w:rPr>
              <w:t>橡胶零部件生产</w:t>
            </w:r>
            <w:r>
              <w:rPr>
                <w:szCs w:val="21"/>
              </w:rPr>
              <w:t>，行业类别为[C2913] 橡胶零件制造，对照《产业结构调整指导目录（2024年本）》，项目不属于其限制类或淘汰类项目，属于允许建设项目；不属于《中共江苏省委办公厅江苏省人民政府办公厅关于加快全省化工钢铁煤电行业转型升级高质量发展的实施意见》（苏办发〔2018〕32号）附件3中“江苏省产业结构调整限制、淘汰和禁止目录”；不属于《江苏省太湖流域禁止和限制的产业产品目录（2024年本）》中限制类、淘汰类或禁止类项目；不属于《江苏省“两高”项目管理目录（202</w:t>
            </w:r>
            <w:r>
              <w:rPr>
                <w:rFonts w:hint="eastAsia"/>
                <w:szCs w:val="21"/>
                <w:lang w:val="en-US" w:eastAsia="zh-CN"/>
              </w:rPr>
              <w:t>5</w:t>
            </w:r>
            <w:r>
              <w:rPr>
                <w:szCs w:val="21"/>
              </w:rPr>
              <w:t>年版）》中“两高”项目；不属于《环境保护综合名录（2021年版）》中“高污染”和“高污染、高环境风险”类别项目；不属于《江苏省太湖流域禁止和限制的产业产品目录（2024年本）》中禁止和限制的项目；也不属于其他相关法律法规要求淘汰和限制的项目，符合国家和地方产业政策。</w:t>
            </w:r>
          </w:p>
          <w:p w14:paraId="0C051569">
            <w:pPr>
              <w:adjustRightInd w:val="0"/>
              <w:snapToGrid w:val="0"/>
              <w:spacing w:line="360" w:lineRule="auto"/>
              <w:rPr>
                <w:b/>
                <w:bCs/>
                <w:szCs w:val="21"/>
              </w:rPr>
            </w:pPr>
            <w:r>
              <w:rPr>
                <w:b/>
                <w:bCs/>
                <w:szCs w:val="21"/>
              </w:rPr>
              <w:t>2、规划选址合理性分析</w:t>
            </w:r>
          </w:p>
          <w:p w14:paraId="4FDE8A31">
            <w:pPr>
              <w:adjustRightInd w:val="0"/>
              <w:snapToGrid w:val="0"/>
              <w:spacing w:line="360" w:lineRule="auto"/>
              <w:ind w:firstLine="420" w:firstLineChars="200"/>
              <w:rPr>
                <w:szCs w:val="21"/>
              </w:rPr>
            </w:pPr>
            <w:r>
              <w:rPr>
                <w:szCs w:val="21"/>
              </w:rPr>
              <w:t>（1）项目建设地点位于江苏省常州市金坛区尧塘街道金博路1号，根据</w:t>
            </w:r>
            <w:r>
              <w:rPr>
                <w:kern w:val="0"/>
                <w:szCs w:val="21"/>
              </w:rPr>
              <w:t>苏（2016）金坛区不动产权第0003764号</w:t>
            </w:r>
            <w:r>
              <w:rPr>
                <w:szCs w:val="21"/>
              </w:rPr>
              <w:t>不动产权证，项目用地为工业用地；对照《江苏省金坛华罗庚高新技术产业开发区近期及远期用地规划图》，项目用地地块均规划为工业用地。项目不属于《自然资源要素支撑产业高质量发展指导目录（2024年本）》（〔2024〕273号）中的限制类及禁止类项目，不属于《市场准入负面清单（2025年版）》中的禁止准入类，为许可准入类项目，且项目周边范围内无矿床、文物古迹和军事设施，能够达到环保准入、投入强度、消防安全等相关规定，因此项目选址合理。</w:t>
            </w:r>
          </w:p>
          <w:p w14:paraId="130AD3A8">
            <w:pPr>
              <w:adjustRightInd w:val="0"/>
              <w:snapToGrid w:val="0"/>
              <w:spacing w:line="360" w:lineRule="auto"/>
              <w:ind w:firstLine="420" w:firstLineChars="200"/>
            </w:pPr>
            <w:r>
              <w:rPr>
                <w:szCs w:val="21"/>
              </w:rPr>
              <w:t>（2）根据《自然资源部关于在全国开展“三区三线”划定工作的函》（自然资函〔2022〕47号）《中华人民共和国土地管理法实施条例》（2021年修订）及《江苏省国土空间规划》（2021-2035年）等要求：“发挥各地区比较优势，统筹划定落实‘三区三线’（‘三区’是指农业空间、生态空间、城镇空间三种类型的国土空间；‘三线’是指对应划定的耕地和永久基本农田、生态保护红线、城镇开发边界三条控制线），将‘三区三线’作为调整经济结构、规划产业发展、推进城镇化不可逾越的红线；按照耕地和永久基本农田、生态保护红线、城镇开发边界的顺序，在国土空间规划中统筹划定落实三条控制线；统筹布局农业、生态、城镇等功能空间，划定落实永久基本农田、生态保护红线和城镇开发边界”。</w:t>
            </w:r>
          </w:p>
          <w:p w14:paraId="4E0CA602">
            <w:pPr>
              <w:pStyle w:val="8"/>
              <w:adjustRightInd w:val="0"/>
              <w:snapToGrid w:val="0"/>
              <w:spacing w:line="360" w:lineRule="auto"/>
              <w:ind w:firstLine="420" w:firstLineChars="200"/>
              <w:rPr>
                <w:szCs w:val="21"/>
              </w:rPr>
            </w:pPr>
            <w:r>
              <w:rPr>
                <w:szCs w:val="21"/>
              </w:rPr>
              <w:t>《常州市国土空间总体规划（2021—2035年）》于2025年1月13日取得《国务院关于〈常州市国土空间总体规划（2021—2035年）〉的批复》（国函〔2025〕9号），对照《常州市金坛区国土空间规划图》，项目用地地块为建设用地，不在规划永久基本农田及一般农地区范围内，不占用农业用地；建设项目区域与国家级生态保护红线范围及江苏省生态空间管控区域范围均无交集，不涉及金坛区内的生态红线区域；本项目地块不在城镇开发边界内，但本次仅在现有已建厂房内新增设备进行生产，不涉及厂房新建，若后期规划重新调整用地性质，企业承诺将无条件配合新一轮规划要求。故因此项目用地与国土空间规划及“三区三线”要求不相违背。</w:t>
            </w:r>
          </w:p>
          <w:p w14:paraId="0237A46A">
            <w:pPr>
              <w:adjustRightInd w:val="0"/>
              <w:snapToGrid w:val="0"/>
              <w:spacing w:line="360" w:lineRule="auto"/>
              <w:rPr>
                <w:b/>
                <w:bCs/>
                <w:szCs w:val="21"/>
              </w:rPr>
            </w:pPr>
            <w:r>
              <w:rPr>
                <w:b/>
                <w:bCs/>
                <w:szCs w:val="21"/>
              </w:rPr>
              <w:t>3、三线一单相符性</w:t>
            </w:r>
          </w:p>
          <w:p w14:paraId="009FEBA5">
            <w:pPr>
              <w:spacing w:line="360" w:lineRule="auto"/>
              <w:ind w:firstLine="422" w:firstLineChars="200"/>
              <w:rPr>
                <w:b/>
                <w:bCs/>
                <w:szCs w:val="21"/>
              </w:rPr>
            </w:pPr>
            <w:r>
              <w:rPr>
                <w:b/>
                <w:bCs/>
                <w:szCs w:val="21"/>
              </w:rPr>
              <w:t>（1）生态管控红线</w:t>
            </w:r>
          </w:p>
          <w:p w14:paraId="55927BB2">
            <w:pPr>
              <w:spacing w:line="360" w:lineRule="auto"/>
              <w:ind w:firstLine="420" w:firstLineChars="200"/>
              <w:rPr>
                <w:szCs w:val="21"/>
              </w:rPr>
            </w:pPr>
            <w:r>
              <w:rPr>
                <w:szCs w:val="21"/>
              </w:rPr>
              <w:t>根据《省政府关于印发江苏省生态空间管控区域规划的通知》（苏政发[2020]1号）和《江苏省国家级生态保护红线规划》（苏政发[2018]74号），对照江苏省生态空间保护区域分布图，项目建设区域与国家级生态保护红线范围及江苏省生态空间管控区域范围均无交集，距项目厂界最近生态空间管控区域为长荡湖（金坛区）重要湿地，距项目厂界最近距离为2.2km。因此项目建设不涉及金坛区内的生态红线区域，不会导致金坛区辖区内生态红线区域服务功能下降，故本项目的建设符合《江苏省生态空间管控区域规划》（苏政发[2020]1号）和《江苏省国家级生态保护红线规划》（苏政发[2018]74号）相关要求。</w:t>
            </w:r>
          </w:p>
          <w:p w14:paraId="130BDF83">
            <w:pPr>
              <w:pStyle w:val="8"/>
              <w:adjustRightInd w:val="0"/>
              <w:snapToGrid w:val="0"/>
              <w:spacing w:line="360" w:lineRule="auto"/>
              <w:ind w:firstLine="422" w:firstLineChars="200"/>
              <w:rPr>
                <w:b/>
                <w:bCs/>
                <w:szCs w:val="21"/>
              </w:rPr>
            </w:pPr>
            <w:r>
              <w:rPr>
                <w:b/>
                <w:bCs/>
                <w:szCs w:val="21"/>
              </w:rPr>
              <w:t>（2）环境质量底线</w:t>
            </w:r>
          </w:p>
          <w:p w14:paraId="15A1379F">
            <w:pPr>
              <w:spacing w:line="360" w:lineRule="auto"/>
              <w:ind w:firstLine="420" w:firstLineChars="200"/>
              <w:rPr>
                <w:szCs w:val="21"/>
                <w:lang w:val="zh-TW"/>
              </w:rPr>
            </w:pPr>
            <w:r>
              <w:rPr>
                <w:szCs w:val="21"/>
              </w:rPr>
              <w:t>环境空气：根据《2024年常州市生态环境状况公报》，2024</w:t>
            </w:r>
            <w:r>
              <w:rPr>
                <w:szCs w:val="21"/>
                <w:lang w:val="zh-TW"/>
              </w:rPr>
              <w:t>年，全市空气质量优良天数</w:t>
            </w:r>
            <w:r>
              <w:rPr>
                <w:szCs w:val="21"/>
              </w:rPr>
              <w:t>293</w:t>
            </w:r>
            <w:r>
              <w:rPr>
                <w:szCs w:val="21"/>
                <w:lang w:val="zh-TW"/>
              </w:rPr>
              <w:t>天，优良率</w:t>
            </w:r>
            <w:r>
              <w:rPr>
                <w:szCs w:val="21"/>
              </w:rPr>
              <w:t>80.1</w:t>
            </w:r>
            <w:r>
              <w:rPr>
                <w:szCs w:val="21"/>
                <w:lang w:val="zh-TW"/>
              </w:rPr>
              <w:t>%。全市</w:t>
            </w:r>
            <w:r>
              <w:rPr>
                <w:szCs w:val="21"/>
              </w:rPr>
              <w:t>环境空气中细颗粒物、可吸入颗粒物、二氧化硫、二氧化氮年均浓度分别为32</w:t>
            </w:r>
            <w:r>
              <w:rPr>
                <w:szCs w:val="21"/>
                <w:lang w:val="zh-TW"/>
              </w:rPr>
              <w:t>μ</w:t>
            </w:r>
            <w:r>
              <w:rPr>
                <w:szCs w:val="21"/>
              </w:rPr>
              <w:t>g</w:t>
            </w:r>
            <w:r>
              <w:rPr>
                <w:szCs w:val="21"/>
                <w:lang w:val="zh-TW"/>
              </w:rPr>
              <w:t>/</w:t>
            </w:r>
            <w:r>
              <w:rPr>
                <w:szCs w:val="21"/>
              </w:rPr>
              <w:t>m</w:t>
            </w:r>
            <w:r>
              <w:rPr>
                <w:szCs w:val="21"/>
                <w:vertAlign w:val="superscript"/>
              </w:rPr>
              <w:t>3</w:t>
            </w:r>
            <w:r>
              <w:rPr>
                <w:szCs w:val="21"/>
                <w:lang w:val="zh-TW"/>
              </w:rPr>
              <w:t>、</w:t>
            </w:r>
            <w:r>
              <w:rPr>
                <w:szCs w:val="21"/>
              </w:rPr>
              <w:t>52</w:t>
            </w:r>
            <w:r>
              <w:rPr>
                <w:szCs w:val="21"/>
                <w:lang w:val="zh-TW"/>
              </w:rPr>
              <w:t>μ</w:t>
            </w:r>
            <w:r>
              <w:rPr>
                <w:szCs w:val="21"/>
              </w:rPr>
              <w:t>g</w:t>
            </w:r>
            <w:r>
              <w:rPr>
                <w:szCs w:val="21"/>
                <w:lang w:val="zh-TW"/>
              </w:rPr>
              <w:t>/</w:t>
            </w:r>
            <w:r>
              <w:rPr>
                <w:szCs w:val="21"/>
              </w:rPr>
              <w:t>m</w:t>
            </w:r>
            <w:r>
              <w:rPr>
                <w:szCs w:val="21"/>
                <w:vertAlign w:val="superscript"/>
              </w:rPr>
              <w:t>3</w:t>
            </w:r>
            <w:r>
              <w:rPr>
                <w:szCs w:val="21"/>
                <w:lang w:val="zh-TW"/>
              </w:rPr>
              <w:t>、</w:t>
            </w:r>
            <w:r>
              <w:rPr>
                <w:szCs w:val="21"/>
              </w:rPr>
              <w:t>8</w:t>
            </w:r>
            <w:r>
              <w:rPr>
                <w:szCs w:val="21"/>
                <w:lang w:val="zh-TW"/>
              </w:rPr>
              <w:t>μ</w:t>
            </w:r>
            <w:r>
              <w:rPr>
                <w:szCs w:val="21"/>
              </w:rPr>
              <w:t>g</w:t>
            </w:r>
            <w:r>
              <w:rPr>
                <w:szCs w:val="21"/>
                <w:lang w:val="zh-TW"/>
              </w:rPr>
              <w:t>/</w:t>
            </w:r>
            <w:r>
              <w:rPr>
                <w:szCs w:val="21"/>
              </w:rPr>
              <w:t>m</w:t>
            </w:r>
            <w:r>
              <w:rPr>
                <w:szCs w:val="21"/>
                <w:vertAlign w:val="superscript"/>
              </w:rPr>
              <w:t>3</w:t>
            </w:r>
            <w:r>
              <w:rPr>
                <w:szCs w:val="21"/>
                <w:lang w:val="zh-TW"/>
              </w:rPr>
              <w:t>和</w:t>
            </w:r>
            <w:r>
              <w:rPr>
                <w:szCs w:val="21"/>
              </w:rPr>
              <w:t>26</w:t>
            </w:r>
            <w:r>
              <w:rPr>
                <w:szCs w:val="21"/>
                <w:lang w:val="zh-TW"/>
              </w:rPr>
              <w:t>μ</w:t>
            </w:r>
            <w:r>
              <w:rPr>
                <w:szCs w:val="21"/>
              </w:rPr>
              <w:t>g</w:t>
            </w:r>
            <w:r>
              <w:rPr>
                <w:szCs w:val="21"/>
                <w:lang w:val="zh-TW"/>
              </w:rPr>
              <w:t>/</w:t>
            </w:r>
            <w:r>
              <w:rPr>
                <w:szCs w:val="21"/>
              </w:rPr>
              <w:t>m</w:t>
            </w:r>
            <w:r>
              <w:rPr>
                <w:szCs w:val="21"/>
                <w:vertAlign w:val="superscript"/>
              </w:rPr>
              <w:t>3</w:t>
            </w:r>
            <w:r>
              <w:rPr>
                <w:szCs w:val="21"/>
              </w:rPr>
              <w:t>；</w:t>
            </w:r>
            <w:r>
              <w:rPr>
                <w:szCs w:val="21"/>
                <w:lang w:val="zh-TW"/>
              </w:rPr>
              <w:t>一氧化碳</w:t>
            </w:r>
            <w:r>
              <w:rPr>
                <w:szCs w:val="21"/>
              </w:rPr>
              <w:t>日均值的第95百分位数和臭氧日最大8小时滑动平均值的第90百分位数浓度分别为1.1mg/m</w:t>
            </w:r>
            <w:r>
              <w:rPr>
                <w:szCs w:val="21"/>
                <w:vertAlign w:val="superscript"/>
              </w:rPr>
              <w:t>3</w:t>
            </w:r>
            <w:r>
              <w:rPr>
                <w:szCs w:val="21"/>
              </w:rPr>
              <w:t>和168</w:t>
            </w:r>
            <w:r>
              <w:rPr>
                <w:szCs w:val="21"/>
                <w:lang w:val="zh-TW"/>
              </w:rPr>
              <w:t>μ</w:t>
            </w:r>
            <w:r>
              <w:rPr>
                <w:szCs w:val="21"/>
              </w:rPr>
              <w:t>g</w:t>
            </w:r>
            <w:r>
              <w:rPr>
                <w:szCs w:val="21"/>
                <w:lang w:val="zh-TW"/>
              </w:rPr>
              <w:t>/</w:t>
            </w:r>
            <w:r>
              <w:rPr>
                <w:szCs w:val="21"/>
              </w:rPr>
              <w:t>m</w:t>
            </w:r>
            <w:r>
              <w:rPr>
                <w:szCs w:val="21"/>
                <w:vertAlign w:val="superscript"/>
              </w:rPr>
              <w:t>3</w:t>
            </w:r>
            <w:r>
              <w:rPr>
                <w:szCs w:val="21"/>
              </w:rPr>
              <w:t>。</w:t>
            </w:r>
          </w:p>
          <w:p w14:paraId="29FF3ADD">
            <w:pPr>
              <w:spacing w:line="360" w:lineRule="auto"/>
              <w:ind w:firstLine="420" w:firstLineChars="200"/>
              <w:rPr>
                <w:szCs w:val="21"/>
              </w:rPr>
            </w:pPr>
            <w:r>
              <w:rPr>
                <w:szCs w:val="21"/>
              </w:rPr>
              <w:t>PM</w:t>
            </w:r>
            <w:r>
              <w:rPr>
                <w:szCs w:val="21"/>
                <w:vertAlign w:val="subscript"/>
              </w:rPr>
              <w:t>2.5</w:t>
            </w:r>
            <w:r>
              <w:rPr>
                <w:szCs w:val="21"/>
              </w:rPr>
              <w:t>日平均第95百分位数、O</w:t>
            </w:r>
            <w:r>
              <w:rPr>
                <w:szCs w:val="21"/>
                <w:vertAlign w:val="subscript"/>
              </w:rPr>
              <w:t>3</w:t>
            </w:r>
            <w:r>
              <w:rPr>
                <w:szCs w:val="21"/>
              </w:rPr>
              <w:t>日最大8小时滑动平均值的第90百分位数超过《环境空气质量标准》（GB3095-2012）中二级标准，项目所在区域2024年环境空气质量不达标。</w:t>
            </w:r>
          </w:p>
          <w:p w14:paraId="45AEBB3C">
            <w:pPr>
              <w:pStyle w:val="73"/>
              <w:snapToGrid w:val="0"/>
              <w:spacing w:after="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根据《常州市空气质量持续改善行动计划实施方案》（常政发〔2024〕51号），在落实调整优化产业结构、加快能源清洁低碳转型、加强面源污染治理、健全大气环境管理体系、完善生态环境经济政策等大气污染防治措施的情况下，区域环境空气质量可以得到改善。</w:t>
            </w:r>
          </w:p>
          <w:p w14:paraId="50C3C7CE">
            <w:pPr>
              <w:pStyle w:val="73"/>
              <w:spacing w:after="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水环境：本项目污水受纳水体尧塘河2个断面各监测因子均能满足《地表水环境质量标准》（GB3838-2002）III类水标准要求。</w:t>
            </w:r>
          </w:p>
          <w:p w14:paraId="060C0DF5">
            <w:pPr>
              <w:pStyle w:val="80"/>
              <w:adjustRightInd/>
              <w:snapToGrid/>
              <w:ind w:firstLine="420"/>
              <w:jc w:val="both"/>
              <w:rPr>
                <w:kern w:val="2"/>
                <w:sz w:val="21"/>
                <w:szCs w:val="21"/>
              </w:rPr>
            </w:pPr>
            <w:r>
              <w:rPr>
                <w:kern w:val="2"/>
                <w:sz w:val="21"/>
                <w:szCs w:val="21"/>
              </w:rPr>
              <w:t>该项目运营过程中会产生一定的污染物，如废气、废水、固废，采取相应的污染防治措施后，在达标的基础上选用处理效率和可靠性高的处理工艺。设备生产噪声在采取隔声、减振、距离衰减等措施后厂界可达标；</w:t>
            </w:r>
            <w:r>
              <w:rPr>
                <w:rFonts w:hint="eastAsia"/>
                <w:kern w:val="2"/>
                <w:sz w:val="21"/>
                <w:szCs w:val="21"/>
              </w:rPr>
              <w:t>1#车间的</w:t>
            </w:r>
            <w:r>
              <w:rPr>
                <w:kern w:val="2"/>
                <w:sz w:val="21"/>
                <w:szCs w:val="21"/>
              </w:rPr>
              <w:t>挤出、硫化、二次硫化废气</w:t>
            </w:r>
            <w:r>
              <w:rPr>
                <w:rFonts w:hint="eastAsia"/>
                <w:kern w:val="2"/>
                <w:sz w:val="21"/>
                <w:szCs w:val="21"/>
              </w:rPr>
              <w:t>分别</w:t>
            </w:r>
            <w:r>
              <w:rPr>
                <w:kern w:val="2"/>
                <w:sz w:val="21"/>
                <w:szCs w:val="21"/>
              </w:rPr>
              <w:t>经碱喷淋+</w:t>
            </w:r>
            <w:r>
              <w:rPr>
                <w:sz w:val="21"/>
                <w:szCs w:val="21"/>
              </w:rPr>
              <w:t>除雾装置+</w:t>
            </w:r>
            <w:r>
              <w:rPr>
                <w:kern w:val="2"/>
                <w:sz w:val="21"/>
                <w:szCs w:val="21"/>
              </w:rPr>
              <w:t>二级活性炭吸附装置处理</w:t>
            </w:r>
            <w:r>
              <w:rPr>
                <w:sz w:val="21"/>
                <w:szCs w:val="21"/>
              </w:rPr>
              <w:t>后</w:t>
            </w:r>
            <w:r>
              <w:rPr>
                <w:rFonts w:hint="eastAsia"/>
                <w:sz w:val="21"/>
                <w:szCs w:val="21"/>
              </w:rPr>
              <w:t>汇总</w:t>
            </w:r>
            <w:r>
              <w:rPr>
                <w:sz w:val="21"/>
                <w:szCs w:val="21"/>
              </w:rPr>
              <w:t>经15m高1#排气筒排放</w:t>
            </w:r>
            <w:r>
              <w:rPr>
                <w:rFonts w:hint="eastAsia"/>
                <w:sz w:val="21"/>
                <w:szCs w:val="21"/>
              </w:rPr>
              <w:t>；</w:t>
            </w:r>
            <w:r>
              <w:rPr>
                <w:rFonts w:hint="eastAsia"/>
                <w:kern w:val="2"/>
                <w:sz w:val="21"/>
                <w:szCs w:val="21"/>
              </w:rPr>
              <w:t>4#车间的</w:t>
            </w:r>
            <w:r>
              <w:rPr>
                <w:kern w:val="2"/>
                <w:sz w:val="21"/>
                <w:szCs w:val="21"/>
              </w:rPr>
              <w:t>硫化、二次硫化废气</w:t>
            </w:r>
            <w:r>
              <w:rPr>
                <w:rFonts w:hint="eastAsia"/>
                <w:kern w:val="2"/>
                <w:sz w:val="21"/>
                <w:szCs w:val="21"/>
              </w:rPr>
              <w:t>分别</w:t>
            </w:r>
            <w:r>
              <w:rPr>
                <w:kern w:val="2"/>
                <w:sz w:val="21"/>
                <w:szCs w:val="21"/>
              </w:rPr>
              <w:t>经碱喷淋+</w:t>
            </w:r>
            <w:r>
              <w:rPr>
                <w:sz w:val="21"/>
                <w:szCs w:val="21"/>
              </w:rPr>
              <w:t>除雾装置+</w:t>
            </w:r>
            <w:r>
              <w:rPr>
                <w:kern w:val="2"/>
                <w:sz w:val="21"/>
                <w:szCs w:val="21"/>
              </w:rPr>
              <w:t>二级活性炭吸附装置处理</w:t>
            </w:r>
            <w:r>
              <w:rPr>
                <w:sz w:val="21"/>
                <w:szCs w:val="21"/>
              </w:rPr>
              <w:t>后</w:t>
            </w:r>
            <w:r>
              <w:rPr>
                <w:rFonts w:hint="eastAsia"/>
                <w:sz w:val="21"/>
                <w:szCs w:val="21"/>
              </w:rPr>
              <w:t>汇总</w:t>
            </w:r>
            <w:r>
              <w:rPr>
                <w:sz w:val="21"/>
                <w:szCs w:val="21"/>
              </w:rPr>
              <w:t>经15m高3#排气筒排放；抛丸/喷砂粉尘经各自配套的滤芯</w:t>
            </w:r>
            <w:r>
              <w:rPr>
                <w:kern w:val="2"/>
                <w:sz w:val="21"/>
                <w:szCs w:val="21"/>
              </w:rPr>
              <w:t>脉冲反吹除尘装置处理后，合并至一根</w:t>
            </w:r>
            <w:r>
              <w:rPr>
                <w:sz w:val="21"/>
                <w:szCs w:val="21"/>
              </w:rPr>
              <w:t>15m高</w:t>
            </w:r>
            <w:r>
              <w:rPr>
                <w:kern w:val="2"/>
                <w:sz w:val="21"/>
                <w:szCs w:val="21"/>
              </w:rPr>
              <w:t>5#排气筒排放；配料、密炼、</w:t>
            </w:r>
            <w:r>
              <w:rPr>
                <w:sz w:val="21"/>
                <w:szCs w:val="21"/>
              </w:rPr>
              <w:t>混炼、返炼</w:t>
            </w:r>
            <w:r>
              <w:rPr>
                <w:rFonts w:hint="eastAsia"/>
                <w:sz w:val="21"/>
                <w:szCs w:val="21"/>
              </w:rPr>
              <w:t>、挤出</w:t>
            </w:r>
            <w:r>
              <w:rPr>
                <w:sz w:val="21"/>
                <w:szCs w:val="21"/>
              </w:rPr>
              <w:t>废气经收集后</w:t>
            </w:r>
            <w:r>
              <w:rPr>
                <w:rFonts w:hint="eastAsia"/>
                <w:kern w:val="2"/>
                <w:sz w:val="21"/>
                <w:szCs w:val="21"/>
              </w:rPr>
              <w:t>分别经</w:t>
            </w:r>
            <w:r>
              <w:rPr>
                <w:kern w:val="2"/>
                <w:sz w:val="21"/>
                <w:szCs w:val="21"/>
              </w:rPr>
              <w:t>布袋集尘脉冲反吹除尘装置+二级活性炭吸附装置处理后分别经15m高8#排气筒排放；喷、浸、涂胶废气及干燥废气经二级活性炭吸附装置处理后，经15m高</w:t>
            </w:r>
            <w:r>
              <w:rPr>
                <w:rFonts w:hint="eastAsia"/>
                <w:kern w:val="2"/>
                <w:sz w:val="21"/>
                <w:szCs w:val="21"/>
              </w:rPr>
              <w:t>6</w:t>
            </w:r>
            <w:r>
              <w:rPr>
                <w:kern w:val="2"/>
                <w:sz w:val="21"/>
                <w:szCs w:val="21"/>
              </w:rPr>
              <w:t>#排气筒排放</w:t>
            </w:r>
            <w:r>
              <w:rPr>
                <w:rFonts w:hint="eastAsia"/>
                <w:kern w:val="2"/>
                <w:sz w:val="21"/>
                <w:szCs w:val="21"/>
              </w:rPr>
              <w:t>；现有项目：3配料粉尘、密炼粉尘、混炼废气、返炼废气这四股废气经过各自的捕集装置后进布袋除尘器+二级活性炭吸附装置处理后，经15m高2#排气筒排放；配料粉尘、密炼粉尘、混炼废气、返炼废气、挤出废气这五股废气经过各自的捕集装置后进布袋除尘器+二级活性炭吸附装置处理后，经15m高7#排气筒排放；</w:t>
            </w:r>
            <w:r>
              <w:rPr>
                <w:kern w:val="2"/>
                <w:sz w:val="21"/>
                <w:szCs w:val="21"/>
              </w:rPr>
              <w:t>电泳后烘干废气经管道抽送至二级活性炭吸附装置</w:t>
            </w:r>
            <w:r>
              <w:rPr>
                <w:rFonts w:hint="eastAsia"/>
                <w:kern w:val="2"/>
                <w:sz w:val="21"/>
                <w:szCs w:val="21"/>
              </w:rPr>
              <w:t>后经</w:t>
            </w:r>
            <w:r>
              <w:rPr>
                <w:kern w:val="2"/>
                <w:sz w:val="21"/>
                <w:szCs w:val="21"/>
              </w:rPr>
              <w:t>15m</w:t>
            </w:r>
            <w:r>
              <w:rPr>
                <w:rFonts w:hint="eastAsia"/>
                <w:kern w:val="2"/>
                <w:sz w:val="21"/>
                <w:szCs w:val="21"/>
              </w:rPr>
              <w:t>高</w:t>
            </w:r>
            <w:r>
              <w:rPr>
                <w:kern w:val="2"/>
                <w:sz w:val="21"/>
                <w:szCs w:val="21"/>
              </w:rPr>
              <w:t>9#排气筒</w:t>
            </w:r>
            <w:r>
              <w:rPr>
                <w:rFonts w:hint="eastAsia"/>
                <w:kern w:val="2"/>
                <w:sz w:val="21"/>
                <w:szCs w:val="21"/>
              </w:rPr>
              <w:t>排放。</w:t>
            </w:r>
            <w:r>
              <w:rPr>
                <w:kern w:val="2"/>
                <w:sz w:val="21"/>
                <w:szCs w:val="21"/>
              </w:rPr>
              <w:t>废气污染物经收集处理后排放量较低，对大气环境影响较小；纯水制备弃水、冷却塔排水</w:t>
            </w:r>
            <w:r>
              <w:rPr>
                <w:rFonts w:hint="eastAsia"/>
                <w:kern w:val="2"/>
                <w:sz w:val="21"/>
                <w:szCs w:val="21"/>
              </w:rPr>
              <w:t>作为清下水排入雨水管网，</w:t>
            </w:r>
            <w:r>
              <w:rPr>
                <w:kern w:val="2"/>
                <w:sz w:val="21"/>
                <w:szCs w:val="21"/>
              </w:rPr>
              <w:t>新增生活污水</w:t>
            </w:r>
            <w:r>
              <w:rPr>
                <w:rFonts w:hint="eastAsia"/>
                <w:kern w:val="2"/>
                <w:sz w:val="21"/>
                <w:szCs w:val="21"/>
              </w:rPr>
              <w:t>经</w:t>
            </w:r>
            <w:r>
              <w:rPr>
                <w:kern w:val="2"/>
                <w:sz w:val="21"/>
                <w:szCs w:val="21"/>
              </w:rPr>
              <w:t>厂区已建管网接管至</w:t>
            </w:r>
            <w:r>
              <w:rPr>
                <w:kern w:val="0"/>
                <w:sz w:val="21"/>
                <w:szCs w:val="21"/>
              </w:rPr>
              <w:t>常州金坛区第二污水处理有限公司</w:t>
            </w:r>
            <w:r>
              <w:rPr>
                <w:kern w:val="2"/>
                <w:sz w:val="21"/>
                <w:szCs w:val="21"/>
              </w:rPr>
              <w:t>集中处理，生产废水经处理后回用，不外排，对地表水环境影响较小；固体废物均按照要求暂存于固废仓库后委托相关单位进行妥善处置。上述措施确保拟建项目污染物排放对环境的影响降到最低，不会突破环境质量底线，改变区域环境功能区。</w:t>
            </w:r>
          </w:p>
          <w:p w14:paraId="6603A272">
            <w:pPr>
              <w:adjustRightInd w:val="0"/>
              <w:snapToGrid w:val="0"/>
              <w:spacing w:line="360" w:lineRule="auto"/>
              <w:ind w:firstLine="422" w:firstLineChars="200"/>
              <w:rPr>
                <w:b/>
                <w:bCs/>
                <w:szCs w:val="21"/>
              </w:rPr>
            </w:pPr>
            <w:r>
              <w:rPr>
                <w:b/>
                <w:bCs/>
                <w:szCs w:val="21"/>
              </w:rPr>
              <w:t>（3）资源利用上线</w:t>
            </w:r>
          </w:p>
          <w:p w14:paraId="2CF4C88B">
            <w:pPr>
              <w:pStyle w:val="8"/>
              <w:adjustRightInd w:val="0"/>
              <w:snapToGrid w:val="0"/>
              <w:spacing w:line="360" w:lineRule="auto"/>
              <w:ind w:firstLine="420" w:firstLineChars="200"/>
              <w:rPr>
                <w:szCs w:val="21"/>
              </w:rPr>
            </w:pPr>
            <w:r>
              <w:rPr>
                <w:szCs w:val="21"/>
              </w:rPr>
              <w:t>扩建项目主要从事橡胶功能件生产，运营过程中用水主要为员工生活用水、冷却循环用水、纯水制备用水、模具清洗用水、清洗用水、喷淋塔用水，由当地市政管网供给；用电由当地市政供电统一供应；项目用地为工业用地，利用现有厂区内已建车间进行建设，不新增用地，不占用新的土地资源；因此项目建设不会突破当地资源利用上线。</w:t>
            </w:r>
          </w:p>
          <w:p w14:paraId="2F138CF0">
            <w:pPr>
              <w:pStyle w:val="8"/>
              <w:adjustRightInd w:val="0"/>
              <w:snapToGrid w:val="0"/>
              <w:spacing w:line="360" w:lineRule="auto"/>
              <w:ind w:firstLine="422" w:firstLineChars="200"/>
              <w:rPr>
                <w:b/>
                <w:bCs/>
                <w:szCs w:val="21"/>
              </w:rPr>
            </w:pPr>
            <w:r>
              <w:rPr>
                <w:b/>
                <w:bCs/>
                <w:szCs w:val="21"/>
              </w:rPr>
              <w:t>（4）环境准入负面清单</w:t>
            </w:r>
          </w:p>
          <w:p w14:paraId="5FA7AD5A">
            <w:pPr>
              <w:adjustRightInd w:val="0"/>
              <w:snapToGrid w:val="0"/>
              <w:spacing w:line="360" w:lineRule="auto"/>
              <w:ind w:firstLine="420" w:firstLineChars="200"/>
              <w:rPr>
                <w:szCs w:val="21"/>
              </w:rPr>
            </w:pPr>
            <w:r>
              <w:rPr>
                <w:szCs w:val="21"/>
              </w:rPr>
              <w:t>金坛区尚未颁布环境准入负面清单，本次环评对照国家、地方相关产业政策、《市场准入负面清单（2025年版）》（发改体改规〔2025〕466号）、《长江经济带发展负面清单指南（试行，2022年版）》、《&lt;长江经济带发展负面清单指南（试行，2022年版）&gt;江苏省实施细则》（苏长江办发[2022]55号）等文件分析，详见表1-3、表1-4及表1-5。</w:t>
            </w:r>
          </w:p>
          <w:p w14:paraId="04B17E06">
            <w:pPr>
              <w:pStyle w:val="8"/>
              <w:adjustRightInd w:val="0"/>
              <w:snapToGrid w:val="0"/>
              <w:jc w:val="center"/>
              <w:rPr>
                <w:b/>
                <w:bCs/>
                <w:szCs w:val="21"/>
              </w:rPr>
            </w:pPr>
            <w:r>
              <w:rPr>
                <w:b/>
                <w:bCs/>
                <w:szCs w:val="21"/>
              </w:rPr>
              <w:t>表1-3  市场准入负面清单</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3"/>
              <w:gridCol w:w="5720"/>
              <w:gridCol w:w="934"/>
            </w:tblGrid>
            <w:tr w14:paraId="102BD0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0" w:type="pct"/>
                  <w:tcBorders>
                    <w:top w:val="single" w:color="auto" w:sz="12" w:space="0"/>
                    <w:left w:val="nil"/>
                    <w:bottom w:val="single" w:color="auto" w:sz="4" w:space="0"/>
                    <w:right w:val="single" w:color="auto" w:sz="4" w:space="0"/>
                  </w:tcBorders>
                  <w:vAlign w:val="center"/>
                </w:tcPr>
                <w:p w14:paraId="5CC21478">
                  <w:pPr>
                    <w:snapToGrid w:val="0"/>
                    <w:ind w:right="63" w:rightChars="30"/>
                    <w:jc w:val="center"/>
                    <w:rPr>
                      <w:b/>
                      <w:bCs/>
                      <w:szCs w:val="21"/>
                    </w:rPr>
                  </w:pPr>
                  <w:r>
                    <w:rPr>
                      <w:b/>
                      <w:bCs/>
                      <w:szCs w:val="21"/>
                    </w:rPr>
                    <w:t>序号</w:t>
                  </w:r>
                </w:p>
              </w:tc>
              <w:tc>
                <w:tcPr>
                  <w:tcW w:w="3962" w:type="pct"/>
                  <w:tcBorders>
                    <w:top w:val="single" w:color="auto" w:sz="12" w:space="0"/>
                    <w:left w:val="single" w:color="auto" w:sz="4" w:space="0"/>
                    <w:bottom w:val="single" w:color="auto" w:sz="4" w:space="0"/>
                    <w:right w:val="single" w:color="auto" w:sz="4" w:space="0"/>
                  </w:tcBorders>
                  <w:vAlign w:val="center"/>
                </w:tcPr>
                <w:p w14:paraId="29B7AFCB">
                  <w:pPr>
                    <w:snapToGrid w:val="0"/>
                    <w:ind w:right="63" w:rightChars="30"/>
                    <w:jc w:val="center"/>
                    <w:rPr>
                      <w:b/>
                      <w:bCs/>
                      <w:szCs w:val="21"/>
                    </w:rPr>
                  </w:pPr>
                  <w:r>
                    <w:rPr>
                      <w:b/>
                      <w:bCs/>
                      <w:szCs w:val="21"/>
                    </w:rPr>
                    <w:t>禁止准入类</w:t>
                  </w:r>
                </w:p>
              </w:tc>
              <w:tc>
                <w:tcPr>
                  <w:tcW w:w="647" w:type="pct"/>
                  <w:tcBorders>
                    <w:top w:val="single" w:color="auto" w:sz="12" w:space="0"/>
                    <w:left w:val="single" w:color="auto" w:sz="4" w:space="0"/>
                    <w:bottom w:val="single" w:color="auto" w:sz="4" w:space="0"/>
                    <w:right w:val="nil"/>
                  </w:tcBorders>
                  <w:vAlign w:val="center"/>
                </w:tcPr>
                <w:p w14:paraId="2E4BA3D9">
                  <w:pPr>
                    <w:snapToGrid w:val="0"/>
                    <w:ind w:right="63" w:rightChars="30"/>
                    <w:jc w:val="center"/>
                    <w:rPr>
                      <w:b/>
                      <w:bCs/>
                      <w:szCs w:val="21"/>
                    </w:rPr>
                  </w:pPr>
                  <w:r>
                    <w:rPr>
                      <w:b/>
                      <w:bCs/>
                      <w:szCs w:val="21"/>
                    </w:rPr>
                    <w:t>是否属于</w:t>
                  </w:r>
                </w:p>
              </w:tc>
            </w:tr>
            <w:tr w14:paraId="042430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0" w:type="pct"/>
                  <w:tcBorders>
                    <w:top w:val="single" w:color="auto" w:sz="4" w:space="0"/>
                    <w:left w:val="nil"/>
                    <w:bottom w:val="single" w:color="auto" w:sz="4" w:space="0"/>
                    <w:right w:val="single" w:color="auto" w:sz="4" w:space="0"/>
                  </w:tcBorders>
                  <w:vAlign w:val="center"/>
                </w:tcPr>
                <w:p w14:paraId="2003B290">
                  <w:pPr>
                    <w:snapToGrid w:val="0"/>
                    <w:ind w:right="63" w:rightChars="30"/>
                    <w:jc w:val="center"/>
                    <w:rPr>
                      <w:bCs/>
                      <w:szCs w:val="21"/>
                    </w:rPr>
                  </w:pPr>
                  <w:r>
                    <w:rPr>
                      <w:bCs/>
                      <w:szCs w:val="21"/>
                    </w:rPr>
                    <w:t>1</w:t>
                  </w:r>
                </w:p>
              </w:tc>
              <w:tc>
                <w:tcPr>
                  <w:tcW w:w="3962" w:type="pct"/>
                  <w:tcBorders>
                    <w:top w:val="single" w:color="auto" w:sz="4" w:space="0"/>
                    <w:left w:val="single" w:color="auto" w:sz="4" w:space="0"/>
                    <w:bottom w:val="single" w:color="auto" w:sz="4" w:space="0"/>
                    <w:right w:val="single" w:color="auto" w:sz="4" w:space="0"/>
                  </w:tcBorders>
                  <w:vAlign w:val="center"/>
                </w:tcPr>
                <w:p w14:paraId="6904B599">
                  <w:pPr>
                    <w:adjustRightInd w:val="0"/>
                    <w:snapToGrid w:val="0"/>
                    <w:rPr>
                      <w:bCs/>
                      <w:szCs w:val="21"/>
                    </w:rPr>
                  </w:pPr>
                  <w:r>
                    <w:rPr>
                      <w:bCs/>
                      <w:szCs w:val="21"/>
                    </w:rPr>
                    <w:t>法律、法规、国务院决定等明确设立且与市场准入相关的禁止性规定</w:t>
                  </w:r>
                </w:p>
              </w:tc>
              <w:tc>
                <w:tcPr>
                  <w:tcW w:w="647" w:type="pct"/>
                  <w:tcBorders>
                    <w:top w:val="single" w:color="auto" w:sz="4" w:space="0"/>
                    <w:left w:val="single" w:color="auto" w:sz="4" w:space="0"/>
                    <w:bottom w:val="single" w:color="auto" w:sz="4" w:space="0"/>
                    <w:right w:val="nil"/>
                  </w:tcBorders>
                  <w:vAlign w:val="center"/>
                </w:tcPr>
                <w:p w14:paraId="32B9D965">
                  <w:pPr>
                    <w:snapToGrid w:val="0"/>
                    <w:ind w:right="63" w:rightChars="30"/>
                    <w:jc w:val="center"/>
                    <w:rPr>
                      <w:bCs/>
                      <w:szCs w:val="21"/>
                    </w:rPr>
                  </w:pPr>
                  <w:r>
                    <w:rPr>
                      <w:bCs/>
                      <w:szCs w:val="21"/>
                    </w:rPr>
                    <w:t>不属于</w:t>
                  </w:r>
                </w:p>
              </w:tc>
            </w:tr>
            <w:tr w14:paraId="5EDC7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0" w:type="pct"/>
                  <w:tcBorders>
                    <w:top w:val="single" w:color="auto" w:sz="4" w:space="0"/>
                    <w:left w:val="nil"/>
                    <w:bottom w:val="single" w:color="auto" w:sz="4" w:space="0"/>
                    <w:right w:val="single" w:color="auto" w:sz="4" w:space="0"/>
                  </w:tcBorders>
                  <w:vAlign w:val="center"/>
                </w:tcPr>
                <w:p w14:paraId="2399709B">
                  <w:pPr>
                    <w:snapToGrid w:val="0"/>
                    <w:ind w:right="63" w:rightChars="30"/>
                    <w:jc w:val="center"/>
                    <w:rPr>
                      <w:bCs/>
                      <w:szCs w:val="21"/>
                    </w:rPr>
                  </w:pPr>
                  <w:r>
                    <w:rPr>
                      <w:bCs/>
                      <w:szCs w:val="21"/>
                    </w:rPr>
                    <w:t>2</w:t>
                  </w:r>
                </w:p>
              </w:tc>
              <w:tc>
                <w:tcPr>
                  <w:tcW w:w="3962" w:type="pct"/>
                  <w:tcBorders>
                    <w:top w:val="single" w:color="auto" w:sz="4" w:space="0"/>
                    <w:left w:val="single" w:color="auto" w:sz="4" w:space="0"/>
                    <w:bottom w:val="single" w:color="auto" w:sz="4" w:space="0"/>
                    <w:right w:val="single" w:color="auto" w:sz="4" w:space="0"/>
                  </w:tcBorders>
                  <w:vAlign w:val="center"/>
                </w:tcPr>
                <w:p w14:paraId="1A60728E">
                  <w:pPr>
                    <w:adjustRightInd w:val="0"/>
                    <w:snapToGrid w:val="0"/>
                    <w:rPr>
                      <w:bCs/>
                      <w:szCs w:val="21"/>
                    </w:rPr>
                  </w:pPr>
                  <w:r>
                    <w:rPr>
                      <w:bCs/>
                      <w:szCs w:val="21"/>
                    </w:rPr>
                    <w:t>国家产业政策明令淘汰和限制的产品、技术、工艺、设备及行为（《产业结构调整指导目录》中的淘汰类项目，禁止投资；限制类项目，禁止新建；禁止投资建设《汽车产业投资管理规定》所列的汽车投资禁止类事项）</w:t>
                  </w:r>
                </w:p>
              </w:tc>
              <w:tc>
                <w:tcPr>
                  <w:tcW w:w="647" w:type="pct"/>
                  <w:tcBorders>
                    <w:top w:val="single" w:color="auto" w:sz="4" w:space="0"/>
                    <w:left w:val="single" w:color="auto" w:sz="4" w:space="0"/>
                    <w:bottom w:val="single" w:color="auto" w:sz="4" w:space="0"/>
                    <w:right w:val="nil"/>
                  </w:tcBorders>
                  <w:vAlign w:val="center"/>
                </w:tcPr>
                <w:p w14:paraId="587B1AC6">
                  <w:pPr>
                    <w:snapToGrid w:val="0"/>
                    <w:ind w:right="63" w:rightChars="30"/>
                    <w:jc w:val="center"/>
                    <w:rPr>
                      <w:bCs/>
                      <w:szCs w:val="21"/>
                    </w:rPr>
                  </w:pPr>
                  <w:r>
                    <w:rPr>
                      <w:bCs/>
                      <w:szCs w:val="21"/>
                    </w:rPr>
                    <w:t>不属于</w:t>
                  </w:r>
                </w:p>
              </w:tc>
            </w:tr>
            <w:tr w14:paraId="27EE7A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0" w:type="pct"/>
                  <w:tcBorders>
                    <w:top w:val="single" w:color="auto" w:sz="4" w:space="0"/>
                    <w:left w:val="nil"/>
                    <w:bottom w:val="single" w:color="auto" w:sz="4" w:space="0"/>
                    <w:right w:val="single" w:color="auto" w:sz="4" w:space="0"/>
                  </w:tcBorders>
                  <w:vAlign w:val="center"/>
                </w:tcPr>
                <w:p w14:paraId="4899FA8A">
                  <w:pPr>
                    <w:snapToGrid w:val="0"/>
                    <w:ind w:right="63" w:rightChars="30"/>
                    <w:jc w:val="center"/>
                    <w:rPr>
                      <w:bCs/>
                      <w:szCs w:val="21"/>
                    </w:rPr>
                  </w:pPr>
                  <w:r>
                    <w:rPr>
                      <w:bCs/>
                      <w:szCs w:val="21"/>
                    </w:rPr>
                    <w:t>3</w:t>
                  </w:r>
                </w:p>
              </w:tc>
              <w:tc>
                <w:tcPr>
                  <w:tcW w:w="3962" w:type="pct"/>
                  <w:tcBorders>
                    <w:top w:val="single" w:color="auto" w:sz="4" w:space="0"/>
                    <w:left w:val="single" w:color="auto" w:sz="4" w:space="0"/>
                    <w:bottom w:val="single" w:color="auto" w:sz="4" w:space="0"/>
                    <w:right w:val="single" w:color="auto" w:sz="4" w:space="0"/>
                  </w:tcBorders>
                  <w:vAlign w:val="center"/>
                </w:tcPr>
                <w:p w14:paraId="2C906A39">
                  <w:pPr>
                    <w:adjustRightInd w:val="0"/>
                    <w:snapToGrid w:val="0"/>
                    <w:rPr>
                      <w:bCs/>
                      <w:szCs w:val="21"/>
                    </w:rPr>
                  </w:pPr>
                  <w:r>
                    <w:rPr>
                      <w:bCs/>
                      <w:szCs w:val="21"/>
                    </w:rPr>
                    <w:t>不符合主体功能区建设要求的各类开发活动（地方国家重点生态功能区产业准入负面清单（或禁止限制目录）、农产品主产区产业准入负面清单（或禁止限制目录）所列有关事项）</w:t>
                  </w:r>
                </w:p>
              </w:tc>
              <w:tc>
                <w:tcPr>
                  <w:tcW w:w="647" w:type="pct"/>
                  <w:tcBorders>
                    <w:top w:val="single" w:color="auto" w:sz="4" w:space="0"/>
                    <w:left w:val="single" w:color="auto" w:sz="4" w:space="0"/>
                    <w:bottom w:val="single" w:color="auto" w:sz="4" w:space="0"/>
                    <w:right w:val="nil"/>
                  </w:tcBorders>
                  <w:vAlign w:val="center"/>
                </w:tcPr>
                <w:p w14:paraId="2B251F73">
                  <w:pPr>
                    <w:snapToGrid w:val="0"/>
                    <w:ind w:right="63" w:rightChars="30"/>
                    <w:jc w:val="center"/>
                    <w:rPr>
                      <w:bCs/>
                      <w:szCs w:val="21"/>
                    </w:rPr>
                  </w:pPr>
                  <w:r>
                    <w:rPr>
                      <w:bCs/>
                      <w:szCs w:val="21"/>
                    </w:rPr>
                    <w:t>不属于</w:t>
                  </w:r>
                </w:p>
              </w:tc>
            </w:tr>
            <w:tr w14:paraId="593B4B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0" w:type="pct"/>
                  <w:tcBorders>
                    <w:top w:val="single" w:color="auto" w:sz="4" w:space="0"/>
                    <w:left w:val="nil"/>
                    <w:bottom w:val="single" w:color="auto" w:sz="4" w:space="0"/>
                    <w:right w:val="single" w:color="auto" w:sz="4" w:space="0"/>
                  </w:tcBorders>
                  <w:vAlign w:val="center"/>
                </w:tcPr>
                <w:p w14:paraId="4FD8ADBE">
                  <w:pPr>
                    <w:snapToGrid w:val="0"/>
                    <w:ind w:right="63" w:rightChars="30"/>
                    <w:jc w:val="center"/>
                    <w:rPr>
                      <w:bCs/>
                      <w:szCs w:val="21"/>
                    </w:rPr>
                  </w:pPr>
                  <w:r>
                    <w:rPr>
                      <w:bCs/>
                      <w:szCs w:val="21"/>
                    </w:rPr>
                    <w:t>4</w:t>
                  </w:r>
                </w:p>
              </w:tc>
              <w:tc>
                <w:tcPr>
                  <w:tcW w:w="3962" w:type="pct"/>
                  <w:tcBorders>
                    <w:top w:val="single" w:color="auto" w:sz="4" w:space="0"/>
                    <w:left w:val="single" w:color="auto" w:sz="4" w:space="0"/>
                    <w:bottom w:val="single" w:color="auto" w:sz="4" w:space="0"/>
                    <w:right w:val="single" w:color="auto" w:sz="4" w:space="0"/>
                  </w:tcBorders>
                  <w:vAlign w:val="center"/>
                </w:tcPr>
                <w:p w14:paraId="24712E4B">
                  <w:pPr>
                    <w:adjustRightInd w:val="0"/>
                    <w:snapToGrid w:val="0"/>
                    <w:rPr>
                      <w:bCs/>
                      <w:szCs w:val="21"/>
                    </w:rPr>
                  </w:pPr>
                  <w:r>
                    <w:rPr>
                      <w:kern w:val="0"/>
                      <w:szCs w:val="21"/>
                    </w:rPr>
                    <w:t>禁止违规开展金融相关经营活动</w:t>
                  </w:r>
                </w:p>
              </w:tc>
              <w:tc>
                <w:tcPr>
                  <w:tcW w:w="647" w:type="pct"/>
                  <w:tcBorders>
                    <w:top w:val="single" w:color="auto" w:sz="4" w:space="0"/>
                    <w:left w:val="single" w:color="auto" w:sz="4" w:space="0"/>
                    <w:bottom w:val="single" w:color="auto" w:sz="4" w:space="0"/>
                    <w:right w:val="nil"/>
                  </w:tcBorders>
                  <w:vAlign w:val="center"/>
                </w:tcPr>
                <w:p w14:paraId="31C47132">
                  <w:pPr>
                    <w:snapToGrid w:val="0"/>
                    <w:ind w:right="63" w:rightChars="30"/>
                    <w:jc w:val="center"/>
                    <w:rPr>
                      <w:bCs/>
                      <w:szCs w:val="21"/>
                    </w:rPr>
                  </w:pPr>
                  <w:r>
                    <w:rPr>
                      <w:bCs/>
                      <w:szCs w:val="21"/>
                    </w:rPr>
                    <w:t>不属于</w:t>
                  </w:r>
                </w:p>
              </w:tc>
            </w:tr>
            <w:tr w14:paraId="38D6F7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0" w:type="pct"/>
                  <w:tcBorders>
                    <w:top w:val="single" w:color="auto" w:sz="4" w:space="0"/>
                    <w:left w:val="nil"/>
                    <w:bottom w:val="single" w:color="auto" w:sz="4" w:space="0"/>
                    <w:right w:val="single" w:color="auto" w:sz="4" w:space="0"/>
                  </w:tcBorders>
                  <w:vAlign w:val="center"/>
                </w:tcPr>
                <w:p w14:paraId="6FF21784">
                  <w:pPr>
                    <w:snapToGrid w:val="0"/>
                    <w:ind w:right="63" w:rightChars="30"/>
                    <w:jc w:val="center"/>
                    <w:rPr>
                      <w:bCs/>
                      <w:szCs w:val="21"/>
                    </w:rPr>
                  </w:pPr>
                  <w:r>
                    <w:rPr>
                      <w:bCs/>
                      <w:szCs w:val="21"/>
                    </w:rPr>
                    <w:t>5</w:t>
                  </w:r>
                </w:p>
              </w:tc>
              <w:tc>
                <w:tcPr>
                  <w:tcW w:w="3962" w:type="pct"/>
                  <w:tcBorders>
                    <w:top w:val="single" w:color="auto" w:sz="4" w:space="0"/>
                    <w:left w:val="single" w:color="auto" w:sz="4" w:space="0"/>
                    <w:bottom w:val="single" w:color="auto" w:sz="4" w:space="0"/>
                    <w:right w:val="single" w:color="auto" w:sz="4" w:space="0"/>
                  </w:tcBorders>
                  <w:vAlign w:val="center"/>
                </w:tcPr>
                <w:p w14:paraId="68A8E771">
                  <w:pPr>
                    <w:adjustRightInd w:val="0"/>
                    <w:snapToGrid w:val="0"/>
                    <w:rPr>
                      <w:bCs/>
                      <w:szCs w:val="21"/>
                    </w:rPr>
                  </w:pPr>
                  <w:r>
                    <w:rPr>
                      <w:kern w:val="0"/>
                      <w:szCs w:val="21"/>
                    </w:rPr>
                    <w:t>禁止违规开展互联网相关经营活动</w:t>
                  </w:r>
                </w:p>
              </w:tc>
              <w:tc>
                <w:tcPr>
                  <w:tcW w:w="647" w:type="pct"/>
                  <w:tcBorders>
                    <w:top w:val="single" w:color="auto" w:sz="4" w:space="0"/>
                    <w:left w:val="single" w:color="auto" w:sz="4" w:space="0"/>
                    <w:bottom w:val="single" w:color="auto" w:sz="4" w:space="0"/>
                    <w:right w:val="nil"/>
                  </w:tcBorders>
                  <w:vAlign w:val="center"/>
                </w:tcPr>
                <w:p w14:paraId="5D598AC0">
                  <w:pPr>
                    <w:snapToGrid w:val="0"/>
                    <w:ind w:right="63" w:rightChars="30"/>
                    <w:jc w:val="center"/>
                    <w:rPr>
                      <w:bCs/>
                      <w:szCs w:val="21"/>
                    </w:rPr>
                  </w:pPr>
                  <w:r>
                    <w:rPr>
                      <w:bCs/>
                      <w:szCs w:val="21"/>
                    </w:rPr>
                    <w:t>不属于</w:t>
                  </w:r>
                </w:p>
              </w:tc>
            </w:tr>
            <w:tr w14:paraId="391B0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0" w:type="pct"/>
                  <w:tcBorders>
                    <w:top w:val="single" w:color="auto" w:sz="4" w:space="0"/>
                    <w:left w:val="nil"/>
                    <w:right w:val="single" w:color="auto" w:sz="4" w:space="0"/>
                  </w:tcBorders>
                  <w:vAlign w:val="center"/>
                </w:tcPr>
                <w:p w14:paraId="2BBD1135">
                  <w:pPr>
                    <w:snapToGrid w:val="0"/>
                    <w:ind w:right="63" w:rightChars="30"/>
                    <w:jc w:val="center"/>
                    <w:rPr>
                      <w:bCs/>
                      <w:szCs w:val="21"/>
                    </w:rPr>
                  </w:pPr>
                  <w:r>
                    <w:rPr>
                      <w:bCs/>
                      <w:szCs w:val="21"/>
                    </w:rPr>
                    <w:t>6</w:t>
                  </w:r>
                </w:p>
              </w:tc>
              <w:tc>
                <w:tcPr>
                  <w:tcW w:w="3962" w:type="pct"/>
                  <w:tcBorders>
                    <w:top w:val="single" w:color="auto" w:sz="4" w:space="0"/>
                    <w:left w:val="single" w:color="auto" w:sz="4" w:space="0"/>
                    <w:right w:val="single" w:color="auto" w:sz="4" w:space="0"/>
                  </w:tcBorders>
                  <w:vAlign w:val="center"/>
                </w:tcPr>
                <w:p w14:paraId="3179EA8A">
                  <w:pPr>
                    <w:adjustRightInd w:val="0"/>
                    <w:snapToGrid w:val="0"/>
                    <w:rPr>
                      <w:kern w:val="0"/>
                      <w:szCs w:val="21"/>
                    </w:rPr>
                  </w:pPr>
                  <w:r>
                    <w:rPr>
                      <w:kern w:val="0"/>
                      <w:szCs w:val="21"/>
                    </w:rPr>
                    <w:t>禁止违规开展新闻传媒相关业务</w:t>
                  </w:r>
                </w:p>
              </w:tc>
              <w:tc>
                <w:tcPr>
                  <w:tcW w:w="647" w:type="pct"/>
                  <w:tcBorders>
                    <w:top w:val="single" w:color="auto" w:sz="4" w:space="0"/>
                    <w:left w:val="single" w:color="auto" w:sz="4" w:space="0"/>
                    <w:right w:val="nil"/>
                  </w:tcBorders>
                  <w:vAlign w:val="center"/>
                </w:tcPr>
                <w:p w14:paraId="2D1A4240">
                  <w:pPr>
                    <w:snapToGrid w:val="0"/>
                    <w:ind w:right="63" w:rightChars="30"/>
                    <w:jc w:val="center"/>
                    <w:rPr>
                      <w:bCs/>
                      <w:szCs w:val="21"/>
                    </w:rPr>
                  </w:pPr>
                  <w:r>
                    <w:rPr>
                      <w:bCs/>
                      <w:szCs w:val="21"/>
                    </w:rPr>
                    <w:t>不属于</w:t>
                  </w:r>
                </w:p>
              </w:tc>
            </w:tr>
          </w:tbl>
          <w:p w14:paraId="59CDFFA8">
            <w:pPr>
              <w:adjustRightInd w:val="0"/>
              <w:snapToGrid w:val="0"/>
              <w:spacing w:beforeLines="50"/>
              <w:jc w:val="center"/>
              <w:rPr>
                <w:b/>
                <w:bCs/>
                <w:szCs w:val="21"/>
              </w:rPr>
            </w:pPr>
            <w:r>
              <w:rPr>
                <w:b/>
                <w:bCs/>
                <w:szCs w:val="21"/>
              </w:rPr>
              <w:t>表1-4  长江经济带发展负面清单指南（试行，2022版）</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04"/>
              <w:gridCol w:w="5702"/>
              <w:gridCol w:w="814"/>
            </w:tblGrid>
            <w:tr w14:paraId="313AC4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237BF8A7">
                  <w:pPr>
                    <w:adjustRightInd w:val="0"/>
                    <w:snapToGrid w:val="0"/>
                    <w:jc w:val="center"/>
                    <w:rPr>
                      <w:b/>
                      <w:szCs w:val="21"/>
                    </w:rPr>
                  </w:pPr>
                  <w:r>
                    <w:rPr>
                      <w:b/>
                      <w:szCs w:val="21"/>
                    </w:rPr>
                    <w:t>序号</w:t>
                  </w:r>
                </w:p>
              </w:tc>
              <w:tc>
                <w:tcPr>
                  <w:tcW w:w="5702" w:type="dxa"/>
                  <w:vAlign w:val="center"/>
                </w:tcPr>
                <w:p w14:paraId="0ECF0965">
                  <w:pPr>
                    <w:adjustRightInd w:val="0"/>
                    <w:snapToGrid w:val="0"/>
                    <w:jc w:val="center"/>
                    <w:rPr>
                      <w:b/>
                      <w:szCs w:val="21"/>
                    </w:rPr>
                  </w:pPr>
                  <w:r>
                    <w:rPr>
                      <w:b/>
                      <w:szCs w:val="21"/>
                    </w:rPr>
                    <w:t>文件要求</w:t>
                  </w:r>
                </w:p>
              </w:tc>
              <w:tc>
                <w:tcPr>
                  <w:tcW w:w="814" w:type="dxa"/>
                  <w:vAlign w:val="center"/>
                </w:tcPr>
                <w:p w14:paraId="2C9329F3">
                  <w:pPr>
                    <w:adjustRightInd w:val="0"/>
                    <w:snapToGrid w:val="0"/>
                    <w:jc w:val="center"/>
                    <w:rPr>
                      <w:b/>
                      <w:szCs w:val="21"/>
                    </w:rPr>
                  </w:pPr>
                  <w:r>
                    <w:rPr>
                      <w:b/>
                      <w:szCs w:val="21"/>
                    </w:rPr>
                    <w:t>是否属于</w:t>
                  </w:r>
                </w:p>
              </w:tc>
            </w:tr>
            <w:tr w14:paraId="00EBD3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5E911FAD">
                  <w:pPr>
                    <w:adjustRightInd w:val="0"/>
                    <w:snapToGrid w:val="0"/>
                    <w:jc w:val="center"/>
                    <w:rPr>
                      <w:szCs w:val="21"/>
                    </w:rPr>
                  </w:pPr>
                  <w:r>
                    <w:rPr>
                      <w:szCs w:val="21"/>
                    </w:rPr>
                    <w:t>1</w:t>
                  </w:r>
                </w:p>
              </w:tc>
              <w:tc>
                <w:tcPr>
                  <w:tcW w:w="5702" w:type="dxa"/>
                  <w:vAlign w:val="center"/>
                </w:tcPr>
                <w:p w14:paraId="233BB9CF">
                  <w:pPr>
                    <w:adjustRightInd w:val="0"/>
                    <w:snapToGrid w:val="0"/>
                    <w:rPr>
                      <w:szCs w:val="21"/>
                    </w:rPr>
                  </w:pPr>
                  <w:r>
                    <w:rPr>
                      <w:szCs w:val="21"/>
                    </w:rPr>
                    <w:t>禁止建设不符合全国和省级港口布局规划以及港口总体规划的码头项目，禁止建设不符合《长江干线过江通道布局规划》的过长江通道项目。</w:t>
                  </w:r>
                </w:p>
              </w:tc>
              <w:tc>
                <w:tcPr>
                  <w:tcW w:w="814" w:type="dxa"/>
                  <w:vAlign w:val="center"/>
                </w:tcPr>
                <w:p w14:paraId="09B88F59">
                  <w:pPr>
                    <w:adjustRightInd w:val="0"/>
                    <w:snapToGrid w:val="0"/>
                    <w:jc w:val="center"/>
                    <w:rPr>
                      <w:szCs w:val="21"/>
                    </w:rPr>
                  </w:pPr>
                  <w:r>
                    <w:rPr>
                      <w:szCs w:val="21"/>
                    </w:rPr>
                    <w:t>不属于</w:t>
                  </w:r>
                </w:p>
              </w:tc>
            </w:tr>
            <w:tr w14:paraId="025587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06D8F798">
                  <w:pPr>
                    <w:adjustRightInd w:val="0"/>
                    <w:snapToGrid w:val="0"/>
                    <w:jc w:val="center"/>
                    <w:rPr>
                      <w:szCs w:val="21"/>
                    </w:rPr>
                  </w:pPr>
                  <w:r>
                    <w:rPr>
                      <w:szCs w:val="21"/>
                    </w:rPr>
                    <w:t>2</w:t>
                  </w:r>
                </w:p>
              </w:tc>
              <w:tc>
                <w:tcPr>
                  <w:tcW w:w="5702" w:type="dxa"/>
                  <w:vAlign w:val="center"/>
                </w:tcPr>
                <w:p w14:paraId="63F5E1EA">
                  <w:pPr>
                    <w:adjustRightInd w:val="0"/>
                    <w:snapToGrid w:val="0"/>
                    <w:rPr>
                      <w:szCs w:val="21"/>
                    </w:rPr>
                  </w:pPr>
                  <w:r>
                    <w:rPr>
                      <w:szCs w:val="21"/>
                    </w:rPr>
                    <w:t>禁止在自然保护区核心区、缓冲区的岸线和河段范围内投资建设旅游和生产经营项目。禁止在风景名胜区核心景区的岸线和河段范围内投资建设与风景名胜资源保护无关的项目。</w:t>
                  </w:r>
                </w:p>
              </w:tc>
              <w:tc>
                <w:tcPr>
                  <w:tcW w:w="814" w:type="dxa"/>
                  <w:vAlign w:val="center"/>
                </w:tcPr>
                <w:p w14:paraId="4990A748">
                  <w:pPr>
                    <w:adjustRightInd w:val="0"/>
                    <w:snapToGrid w:val="0"/>
                    <w:jc w:val="center"/>
                    <w:rPr>
                      <w:szCs w:val="21"/>
                    </w:rPr>
                  </w:pPr>
                  <w:r>
                    <w:rPr>
                      <w:szCs w:val="21"/>
                    </w:rPr>
                    <w:t>不属于</w:t>
                  </w:r>
                </w:p>
              </w:tc>
            </w:tr>
            <w:tr w14:paraId="15F900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5435474A">
                  <w:pPr>
                    <w:adjustRightInd w:val="0"/>
                    <w:snapToGrid w:val="0"/>
                    <w:jc w:val="center"/>
                    <w:rPr>
                      <w:szCs w:val="21"/>
                    </w:rPr>
                  </w:pPr>
                  <w:r>
                    <w:rPr>
                      <w:szCs w:val="21"/>
                    </w:rPr>
                    <w:t>3</w:t>
                  </w:r>
                </w:p>
              </w:tc>
              <w:tc>
                <w:tcPr>
                  <w:tcW w:w="5702" w:type="dxa"/>
                  <w:vAlign w:val="center"/>
                </w:tcPr>
                <w:p w14:paraId="0E1354D8">
                  <w:pPr>
                    <w:adjustRightInd w:val="0"/>
                    <w:snapToGrid w:val="0"/>
                    <w:rPr>
                      <w:szCs w:val="21"/>
                    </w:rPr>
                  </w:pPr>
                  <w:r>
                    <w:rPr>
                      <w:szCs w:val="21"/>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814" w:type="dxa"/>
                  <w:vAlign w:val="center"/>
                </w:tcPr>
                <w:p w14:paraId="5D60B713">
                  <w:pPr>
                    <w:adjustRightInd w:val="0"/>
                    <w:snapToGrid w:val="0"/>
                    <w:jc w:val="center"/>
                    <w:rPr>
                      <w:szCs w:val="21"/>
                    </w:rPr>
                  </w:pPr>
                  <w:r>
                    <w:rPr>
                      <w:szCs w:val="21"/>
                    </w:rPr>
                    <w:t>不属于</w:t>
                  </w:r>
                </w:p>
              </w:tc>
            </w:tr>
            <w:tr w14:paraId="32230B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64965DF1">
                  <w:pPr>
                    <w:adjustRightInd w:val="0"/>
                    <w:snapToGrid w:val="0"/>
                    <w:jc w:val="center"/>
                    <w:rPr>
                      <w:szCs w:val="21"/>
                    </w:rPr>
                  </w:pPr>
                  <w:r>
                    <w:rPr>
                      <w:szCs w:val="21"/>
                    </w:rPr>
                    <w:t>4</w:t>
                  </w:r>
                </w:p>
              </w:tc>
              <w:tc>
                <w:tcPr>
                  <w:tcW w:w="5702" w:type="dxa"/>
                  <w:vAlign w:val="center"/>
                </w:tcPr>
                <w:p w14:paraId="340B8CC9">
                  <w:pPr>
                    <w:adjustRightInd w:val="0"/>
                    <w:snapToGrid w:val="0"/>
                    <w:rPr>
                      <w:szCs w:val="21"/>
                    </w:rPr>
                  </w:pPr>
                  <w:r>
                    <w:rPr>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814" w:type="dxa"/>
                  <w:vAlign w:val="center"/>
                </w:tcPr>
                <w:p w14:paraId="633BCC97">
                  <w:pPr>
                    <w:adjustRightInd w:val="0"/>
                    <w:snapToGrid w:val="0"/>
                    <w:jc w:val="center"/>
                    <w:rPr>
                      <w:szCs w:val="21"/>
                    </w:rPr>
                  </w:pPr>
                  <w:r>
                    <w:rPr>
                      <w:szCs w:val="21"/>
                    </w:rPr>
                    <w:t>不属于</w:t>
                  </w:r>
                </w:p>
              </w:tc>
            </w:tr>
            <w:tr w14:paraId="55783C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171C6159">
                  <w:pPr>
                    <w:adjustRightInd w:val="0"/>
                    <w:snapToGrid w:val="0"/>
                    <w:jc w:val="center"/>
                    <w:rPr>
                      <w:szCs w:val="21"/>
                    </w:rPr>
                  </w:pPr>
                  <w:r>
                    <w:rPr>
                      <w:szCs w:val="21"/>
                    </w:rPr>
                    <w:t>5</w:t>
                  </w:r>
                </w:p>
              </w:tc>
              <w:tc>
                <w:tcPr>
                  <w:tcW w:w="5702" w:type="dxa"/>
                  <w:vAlign w:val="center"/>
                </w:tcPr>
                <w:p w14:paraId="741D0CCC">
                  <w:pPr>
                    <w:adjustRightInd w:val="0"/>
                    <w:snapToGrid w:val="0"/>
                    <w:rPr>
                      <w:szCs w:val="21"/>
                    </w:rPr>
                  </w:pPr>
                  <w:r>
                    <w:rPr>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814" w:type="dxa"/>
                  <w:vAlign w:val="center"/>
                </w:tcPr>
                <w:p w14:paraId="6BB51121">
                  <w:pPr>
                    <w:adjustRightInd w:val="0"/>
                    <w:snapToGrid w:val="0"/>
                    <w:jc w:val="center"/>
                    <w:rPr>
                      <w:szCs w:val="21"/>
                    </w:rPr>
                  </w:pPr>
                  <w:r>
                    <w:rPr>
                      <w:szCs w:val="21"/>
                    </w:rPr>
                    <w:t>不属于</w:t>
                  </w:r>
                </w:p>
              </w:tc>
            </w:tr>
            <w:tr w14:paraId="4BE91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182D7A82">
                  <w:pPr>
                    <w:adjustRightInd w:val="0"/>
                    <w:snapToGrid w:val="0"/>
                    <w:jc w:val="center"/>
                    <w:rPr>
                      <w:szCs w:val="21"/>
                    </w:rPr>
                  </w:pPr>
                  <w:r>
                    <w:rPr>
                      <w:szCs w:val="21"/>
                    </w:rPr>
                    <w:t>6</w:t>
                  </w:r>
                </w:p>
              </w:tc>
              <w:tc>
                <w:tcPr>
                  <w:tcW w:w="5702" w:type="dxa"/>
                  <w:vAlign w:val="center"/>
                </w:tcPr>
                <w:p w14:paraId="59B8FDBB">
                  <w:pPr>
                    <w:adjustRightInd w:val="0"/>
                    <w:snapToGrid w:val="0"/>
                    <w:rPr>
                      <w:szCs w:val="21"/>
                    </w:rPr>
                  </w:pPr>
                  <w:r>
                    <w:rPr>
                      <w:szCs w:val="21"/>
                    </w:rPr>
                    <w:t>禁止未经许可在长江干支流及湖泊新设、改设或扩大排污口。</w:t>
                  </w:r>
                </w:p>
              </w:tc>
              <w:tc>
                <w:tcPr>
                  <w:tcW w:w="814" w:type="dxa"/>
                  <w:vAlign w:val="center"/>
                </w:tcPr>
                <w:p w14:paraId="3F248854">
                  <w:pPr>
                    <w:adjustRightInd w:val="0"/>
                    <w:snapToGrid w:val="0"/>
                    <w:jc w:val="center"/>
                    <w:rPr>
                      <w:szCs w:val="21"/>
                    </w:rPr>
                  </w:pPr>
                  <w:r>
                    <w:rPr>
                      <w:szCs w:val="21"/>
                    </w:rPr>
                    <w:t>不属于</w:t>
                  </w:r>
                </w:p>
              </w:tc>
            </w:tr>
            <w:tr w14:paraId="36DAED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5F10D8E7">
                  <w:pPr>
                    <w:adjustRightInd w:val="0"/>
                    <w:snapToGrid w:val="0"/>
                    <w:jc w:val="center"/>
                    <w:rPr>
                      <w:szCs w:val="21"/>
                    </w:rPr>
                  </w:pPr>
                  <w:r>
                    <w:rPr>
                      <w:szCs w:val="21"/>
                    </w:rPr>
                    <w:t>7</w:t>
                  </w:r>
                </w:p>
              </w:tc>
              <w:tc>
                <w:tcPr>
                  <w:tcW w:w="5702" w:type="dxa"/>
                  <w:vAlign w:val="center"/>
                </w:tcPr>
                <w:p w14:paraId="76CB0183">
                  <w:pPr>
                    <w:adjustRightInd w:val="0"/>
                    <w:snapToGrid w:val="0"/>
                    <w:rPr>
                      <w:szCs w:val="21"/>
                    </w:rPr>
                  </w:pPr>
                  <w:r>
                    <w:rPr>
                      <w:szCs w:val="21"/>
                    </w:rPr>
                    <w:t>禁止在“一江一口两湖七河”和332个水生生物保护区开展生产性捕捞。</w:t>
                  </w:r>
                </w:p>
              </w:tc>
              <w:tc>
                <w:tcPr>
                  <w:tcW w:w="814" w:type="dxa"/>
                  <w:vAlign w:val="center"/>
                </w:tcPr>
                <w:p w14:paraId="31787522">
                  <w:pPr>
                    <w:adjustRightInd w:val="0"/>
                    <w:snapToGrid w:val="0"/>
                    <w:jc w:val="center"/>
                    <w:rPr>
                      <w:szCs w:val="21"/>
                    </w:rPr>
                  </w:pPr>
                  <w:r>
                    <w:rPr>
                      <w:szCs w:val="21"/>
                    </w:rPr>
                    <w:t>不属于</w:t>
                  </w:r>
                </w:p>
              </w:tc>
            </w:tr>
            <w:tr w14:paraId="6F143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276F3B3B">
                  <w:pPr>
                    <w:adjustRightInd w:val="0"/>
                    <w:snapToGrid w:val="0"/>
                    <w:jc w:val="center"/>
                    <w:rPr>
                      <w:szCs w:val="21"/>
                    </w:rPr>
                  </w:pPr>
                  <w:r>
                    <w:rPr>
                      <w:szCs w:val="21"/>
                    </w:rPr>
                    <w:t>8</w:t>
                  </w:r>
                </w:p>
              </w:tc>
              <w:tc>
                <w:tcPr>
                  <w:tcW w:w="5702" w:type="dxa"/>
                  <w:vAlign w:val="center"/>
                </w:tcPr>
                <w:p w14:paraId="13EFBE69">
                  <w:pPr>
                    <w:adjustRightInd w:val="0"/>
                    <w:snapToGrid w:val="0"/>
                    <w:rPr>
                      <w:szCs w:val="21"/>
                    </w:rPr>
                  </w:pPr>
                  <w:r>
                    <w:rPr>
                      <w:szCs w:val="21"/>
                    </w:rPr>
                    <w:t>禁止在长江千支流、重要湖泊岸线一公里范围内新建、扩建化工园区和化工项目。禁止在长江于流岸线三公里范围内和重要支流岸线一公里范围内新建、改建、扩建尾矿库、冶炼渣库和磷石膏库，以提升安全、生态环境保护水平为目的的改建除外。</w:t>
                  </w:r>
                </w:p>
              </w:tc>
              <w:tc>
                <w:tcPr>
                  <w:tcW w:w="814" w:type="dxa"/>
                  <w:vAlign w:val="center"/>
                </w:tcPr>
                <w:p w14:paraId="0AF390FC">
                  <w:pPr>
                    <w:adjustRightInd w:val="0"/>
                    <w:snapToGrid w:val="0"/>
                    <w:jc w:val="center"/>
                    <w:rPr>
                      <w:szCs w:val="21"/>
                    </w:rPr>
                  </w:pPr>
                  <w:r>
                    <w:rPr>
                      <w:szCs w:val="21"/>
                    </w:rPr>
                    <w:t>不属于</w:t>
                  </w:r>
                </w:p>
              </w:tc>
            </w:tr>
            <w:tr w14:paraId="11CAD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007611B2">
                  <w:pPr>
                    <w:adjustRightInd w:val="0"/>
                    <w:snapToGrid w:val="0"/>
                    <w:jc w:val="center"/>
                    <w:rPr>
                      <w:szCs w:val="21"/>
                    </w:rPr>
                  </w:pPr>
                  <w:r>
                    <w:rPr>
                      <w:szCs w:val="21"/>
                    </w:rPr>
                    <w:t>9</w:t>
                  </w:r>
                </w:p>
              </w:tc>
              <w:tc>
                <w:tcPr>
                  <w:tcW w:w="5702" w:type="dxa"/>
                  <w:vAlign w:val="center"/>
                </w:tcPr>
                <w:p w14:paraId="6BF002D8">
                  <w:pPr>
                    <w:adjustRightInd w:val="0"/>
                    <w:snapToGrid w:val="0"/>
                    <w:rPr>
                      <w:szCs w:val="21"/>
                    </w:rPr>
                  </w:pPr>
                  <w:r>
                    <w:rPr>
                      <w:szCs w:val="21"/>
                    </w:rPr>
                    <w:t>禁止在合规园区外新建、扩建钢铁、石化、化工、焦化、建材、有色、制浆造纸等高污染项目。</w:t>
                  </w:r>
                </w:p>
              </w:tc>
              <w:tc>
                <w:tcPr>
                  <w:tcW w:w="814" w:type="dxa"/>
                  <w:vAlign w:val="center"/>
                </w:tcPr>
                <w:p w14:paraId="145C2DAA">
                  <w:pPr>
                    <w:adjustRightInd w:val="0"/>
                    <w:snapToGrid w:val="0"/>
                    <w:jc w:val="center"/>
                    <w:rPr>
                      <w:szCs w:val="21"/>
                    </w:rPr>
                  </w:pPr>
                  <w:r>
                    <w:rPr>
                      <w:szCs w:val="21"/>
                    </w:rPr>
                    <w:t>不属于</w:t>
                  </w:r>
                </w:p>
              </w:tc>
            </w:tr>
            <w:tr w14:paraId="19880D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4DF514E4">
                  <w:pPr>
                    <w:adjustRightInd w:val="0"/>
                    <w:snapToGrid w:val="0"/>
                    <w:jc w:val="center"/>
                    <w:rPr>
                      <w:szCs w:val="21"/>
                    </w:rPr>
                  </w:pPr>
                  <w:r>
                    <w:rPr>
                      <w:szCs w:val="21"/>
                    </w:rPr>
                    <w:t>10</w:t>
                  </w:r>
                </w:p>
              </w:tc>
              <w:tc>
                <w:tcPr>
                  <w:tcW w:w="5702" w:type="dxa"/>
                  <w:vAlign w:val="center"/>
                </w:tcPr>
                <w:p w14:paraId="0FE86690">
                  <w:pPr>
                    <w:adjustRightInd w:val="0"/>
                    <w:snapToGrid w:val="0"/>
                    <w:rPr>
                      <w:szCs w:val="21"/>
                    </w:rPr>
                  </w:pPr>
                  <w:r>
                    <w:rPr>
                      <w:szCs w:val="21"/>
                    </w:rPr>
                    <w:t>禁止新建、扩建不符合国家石化、现代煤化工等产业布局规划的项目。</w:t>
                  </w:r>
                </w:p>
              </w:tc>
              <w:tc>
                <w:tcPr>
                  <w:tcW w:w="814" w:type="dxa"/>
                  <w:vAlign w:val="center"/>
                </w:tcPr>
                <w:p w14:paraId="1F73FBE4">
                  <w:pPr>
                    <w:adjustRightInd w:val="0"/>
                    <w:snapToGrid w:val="0"/>
                    <w:jc w:val="center"/>
                    <w:rPr>
                      <w:szCs w:val="21"/>
                    </w:rPr>
                  </w:pPr>
                  <w:r>
                    <w:rPr>
                      <w:szCs w:val="21"/>
                    </w:rPr>
                    <w:t>不属于</w:t>
                  </w:r>
                </w:p>
              </w:tc>
            </w:tr>
            <w:tr w14:paraId="4AE94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3549F0CB">
                  <w:pPr>
                    <w:adjustRightInd w:val="0"/>
                    <w:snapToGrid w:val="0"/>
                    <w:jc w:val="center"/>
                    <w:rPr>
                      <w:szCs w:val="21"/>
                    </w:rPr>
                  </w:pPr>
                  <w:r>
                    <w:rPr>
                      <w:szCs w:val="21"/>
                    </w:rPr>
                    <w:t>11</w:t>
                  </w:r>
                </w:p>
              </w:tc>
              <w:tc>
                <w:tcPr>
                  <w:tcW w:w="5702" w:type="dxa"/>
                  <w:vAlign w:val="center"/>
                </w:tcPr>
                <w:p w14:paraId="592E1CFD">
                  <w:pPr>
                    <w:adjustRightInd w:val="0"/>
                    <w:snapToGrid w:val="0"/>
                    <w:rPr>
                      <w:szCs w:val="21"/>
                    </w:rPr>
                  </w:pPr>
                  <w:r>
                    <w:rPr>
                      <w:szCs w:val="21"/>
                    </w:rPr>
                    <w:t>禁止新建、扩建法律法规和相关政策明令禁止的落后产能项目。禁止新建、扩建不符合国家产能置换要求的严重过剩产能行业的项目。禁止新建、扩建不符合要求的高耗能高排放项目。</w:t>
                  </w:r>
                </w:p>
              </w:tc>
              <w:tc>
                <w:tcPr>
                  <w:tcW w:w="814" w:type="dxa"/>
                  <w:vAlign w:val="center"/>
                </w:tcPr>
                <w:p w14:paraId="7D62FB58">
                  <w:pPr>
                    <w:adjustRightInd w:val="0"/>
                    <w:snapToGrid w:val="0"/>
                    <w:jc w:val="center"/>
                    <w:rPr>
                      <w:szCs w:val="21"/>
                    </w:rPr>
                  </w:pPr>
                  <w:r>
                    <w:rPr>
                      <w:szCs w:val="21"/>
                    </w:rPr>
                    <w:t>不属于</w:t>
                  </w:r>
                </w:p>
              </w:tc>
            </w:tr>
            <w:tr w14:paraId="5B5EA1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4" w:type="dxa"/>
                  <w:vAlign w:val="center"/>
                </w:tcPr>
                <w:p w14:paraId="3307B54B">
                  <w:pPr>
                    <w:adjustRightInd w:val="0"/>
                    <w:snapToGrid w:val="0"/>
                    <w:jc w:val="center"/>
                    <w:rPr>
                      <w:szCs w:val="21"/>
                    </w:rPr>
                  </w:pPr>
                  <w:r>
                    <w:rPr>
                      <w:szCs w:val="21"/>
                    </w:rPr>
                    <w:t>12</w:t>
                  </w:r>
                </w:p>
              </w:tc>
              <w:tc>
                <w:tcPr>
                  <w:tcW w:w="5702" w:type="dxa"/>
                  <w:vAlign w:val="center"/>
                </w:tcPr>
                <w:p w14:paraId="18000080">
                  <w:pPr>
                    <w:adjustRightInd w:val="0"/>
                    <w:snapToGrid w:val="0"/>
                    <w:rPr>
                      <w:szCs w:val="21"/>
                    </w:rPr>
                  </w:pPr>
                  <w:r>
                    <w:rPr>
                      <w:szCs w:val="21"/>
                    </w:rPr>
                    <w:t>法律法规及相关政策文件有更加严格规定的从其规定。</w:t>
                  </w:r>
                </w:p>
              </w:tc>
              <w:tc>
                <w:tcPr>
                  <w:tcW w:w="814" w:type="dxa"/>
                  <w:vAlign w:val="center"/>
                </w:tcPr>
                <w:p w14:paraId="19B92BB1">
                  <w:pPr>
                    <w:adjustRightInd w:val="0"/>
                    <w:snapToGrid w:val="0"/>
                    <w:jc w:val="center"/>
                    <w:rPr>
                      <w:szCs w:val="21"/>
                    </w:rPr>
                  </w:pPr>
                  <w:r>
                    <w:rPr>
                      <w:szCs w:val="21"/>
                    </w:rPr>
                    <w:t>不属于</w:t>
                  </w:r>
                </w:p>
              </w:tc>
            </w:tr>
          </w:tbl>
          <w:p w14:paraId="42673205">
            <w:pPr>
              <w:adjustRightInd w:val="0"/>
              <w:snapToGrid w:val="0"/>
              <w:spacing w:beforeLines="50"/>
              <w:jc w:val="center"/>
              <w:rPr>
                <w:b/>
                <w:bCs/>
                <w:szCs w:val="21"/>
              </w:rPr>
            </w:pPr>
            <w:r>
              <w:rPr>
                <w:b/>
                <w:bCs/>
                <w:szCs w:val="21"/>
              </w:rPr>
              <w:t>表1-5  长江经济带发展负面清单指南江苏省实施细则</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42"/>
              <w:gridCol w:w="3927"/>
              <w:gridCol w:w="1907"/>
              <w:gridCol w:w="744"/>
            </w:tblGrid>
            <w:tr w14:paraId="040459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0B6E9809">
                  <w:pPr>
                    <w:adjustRightInd w:val="0"/>
                    <w:snapToGrid w:val="0"/>
                    <w:jc w:val="center"/>
                    <w:rPr>
                      <w:b/>
                      <w:szCs w:val="21"/>
                    </w:rPr>
                  </w:pPr>
                  <w:r>
                    <w:rPr>
                      <w:b/>
                      <w:szCs w:val="21"/>
                    </w:rPr>
                    <w:t>序号</w:t>
                  </w:r>
                </w:p>
              </w:tc>
              <w:tc>
                <w:tcPr>
                  <w:tcW w:w="3927" w:type="dxa"/>
                  <w:vAlign w:val="center"/>
                </w:tcPr>
                <w:p w14:paraId="7F91C4DF">
                  <w:pPr>
                    <w:adjustRightInd w:val="0"/>
                    <w:snapToGrid w:val="0"/>
                    <w:jc w:val="center"/>
                    <w:rPr>
                      <w:b/>
                      <w:szCs w:val="21"/>
                    </w:rPr>
                  </w:pPr>
                  <w:r>
                    <w:rPr>
                      <w:b/>
                      <w:szCs w:val="21"/>
                    </w:rPr>
                    <w:t>文件要求</w:t>
                  </w:r>
                </w:p>
              </w:tc>
              <w:tc>
                <w:tcPr>
                  <w:tcW w:w="1907" w:type="dxa"/>
                  <w:vAlign w:val="center"/>
                </w:tcPr>
                <w:p w14:paraId="6442012D">
                  <w:pPr>
                    <w:adjustRightInd w:val="0"/>
                    <w:snapToGrid w:val="0"/>
                    <w:jc w:val="center"/>
                    <w:rPr>
                      <w:b/>
                      <w:szCs w:val="21"/>
                    </w:rPr>
                  </w:pPr>
                  <w:r>
                    <w:rPr>
                      <w:b/>
                      <w:szCs w:val="21"/>
                    </w:rPr>
                    <w:t>本项目相关内容</w:t>
                  </w:r>
                </w:p>
              </w:tc>
              <w:tc>
                <w:tcPr>
                  <w:tcW w:w="744" w:type="dxa"/>
                  <w:vAlign w:val="center"/>
                </w:tcPr>
                <w:p w14:paraId="090DF91E">
                  <w:pPr>
                    <w:adjustRightInd w:val="0"/>
                    <w:snapToGrid w:val="0"/>
                    <w:jc w:val="center"/>
                    <w:rPr>
                      <w:b/>
                      <w:szCs w:val="21"/>
                    </w:rPr>
                  </w:pPr>
                  <w:r>
                    <w:rPr>
                      <w:b/>
                      <w:szCs w:val="21"/>
                    </w:rPr>
                    <w:t>相符性</w:t>
                  </w:r>
                </w:p>
              </w:tc>
            </w:tr>
            <w:tr w14:paraId="1B0CF4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23AFA1B5">
                  <w:pPr>
                    <w:adjustRightInd w:val="0"/>
                    <w:snapToGrid w:val="0"/>
                    <w:jc w:val="center"/>
                    <w:rPr>
                      <w:szCs w:val="21"/>
                    </w:rPr>
                  </w:pPr>
                  <w:r>
                    <w:rPr>
                      <w:szCs w:val="21"/>
                    </w:rPr>
                    <w:t>1</w:t>
                  </w:r>
                </w:p>
              </w:tc>
              <w:tc>
                <w:tcPr>
                  <w:tcW w:w="3927" w:type="dxa"/>
                  <w:vAlign w:val="center"/>
                </w:tcPr>
                <w:p w14:paraId="3CE24D68">
                  <w:pPr>
                    <w:adjustRightInd w:val="0"/>
                    <w:snapToGrid w:val="0"/>
                    <w:rPr>
                      <w:szCs w:val="21"/>
                    </w:rPr>
                  </w:pPr>
                  <w:r>
                    <w:rPr>
                      <w:szCs w:val="21"/>
                    </w:rPr>
                    <w:t>禁止在距离长江干支流岸线一公里范围内新建、扩建化工园区和化工项目。</w:t>
                  </w:r>
                </w:p>
              </w:tc>
              <w:tc>
                <w:tcPr>
                  <w:tcW w:w="1907" w:type="dxa"/>
                  <w:vMerge w:val="restart"/>
                  <w:vAlign w:val="center"/>
                </w:tcPr>
                <w:p w14:paraId="32B08D21">
                  <w:pPr>
                    <w:adjustRightInd w:val="0"/>
                    <w:snapToGrid w:val="0"/>
                    <w:rPr>
                      <w:szCs w:val="21"/>
                    </w:rPr>
                  </w:pPr>
                  <w:r>
                    <w:rPr>
                      <w:szCs w:val="21"/>
                    </w:rPr>
                    <w:t>项目位于江苏省常州市金坛区尧塘街道金博路1号，不在长江干支流、重要湖泊岸线一公里范围内，不在长江干流岸线三公里范围及重要支流岸线一公里范围内，未开展《江苏省太湖水污染防治条例》禁止的投资建设活动。</w:t>
                  </w:r>
                </w:p>
              </w:tc>
              <w:tc>
                <w:tcPr>
                  <w:tcW w:w="744" w:type="dxa"/>
                  <w:vMerge w:val="restart"/>
                  <w:vAlign w:val="center"/>
                </w:tcPr>
                <w:p w14:paraId="0F9C952F">
                  <w:pPr>
                    <w:adjustRightInd w:val="0"/>
                    <w:snapToGrid w:val="0"/>
                    <w:jc w:val="center"/>
                    <w:rPr>
                      <w:szCs w:val="21"/>
                    </w:rPr>
                  </w:pPr>
                  <w:r>
                    <w:rPr>
                      <w:szCs w:val="21"/>
                    </w:rPr>
                    <w:t>相符</w:t>
                  </w:r>
                </w:p>
              </w:tc>
            </w:tr>
            <w:tr w14:paraId="3B44CD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1B6DC50B">
                  <w:pPr>
                    <w:adjustRightInd w:val="0"/>
                    <w:snapToGrid w:val="0"/>
                    <w:jc w:val="center"/>
                    <w:rPr>
                      <w:szCs w:val="21"/>
                    </w:rPr>
                  </w:pPr>
                  <w:r>
                    <w:rPr>
                      <w:szCs w:val="21"/>
                    </w:rPr>
                    <w:t>2</w:t>
                  </w:r>
                </w:p>
              </w:tc>
              <w:tc>
                <w:tcPr>
                  <w:tcW w:w="3927" w:type="dxa"/>
                  <w:vAlign w:val="center"/>
                </w:tcPr>
                <w:p w14:paraId="1687206A">
                  <w:pPr>
                    <w:adjustRightInd w:val="0"/>
                    <w:snapToGrid w:val="0"/>
                    <w:rPr>
                      <w:szCs w:val="21"/>
                    </w:rPr>
                  </w:pPr>
                  <w:r>
                    <w:rPr>
                      <w:szCs w:val="21"/>
                    </w:rPr>
                    <w:t>禁止在长江干流岸线三公里范围内新建、改建、扩建尾矿库、冶炼渣库和磷石膏库，以提升安全、生态环境保护水平为目的的改建除外。</w:t>
                  </w:r>
                </w:p>
              </w:tc>
              <w:tc>
                <w:tcPr>
                  <w:tcW w:w="1907" w:type="dxa"/>
                  <w:vMerge w:val="continue"/>
                  <w:vAlign w:val="center"/>
                </w:tcPr>
                <w:p w14:paraId="5F3C8681">
                  <w:pPr>
                    <w:adjustRightInd w:val="0"/>
                    <w:snapToGrid w:val="0"/>
                    <w:rPr>
                      <w:szCs w:val="21"/>
                    </w:rPr>
                  </w:pPr>
                </w:p>
              </w:tc>
              <w:tc>
                <w:tcPr>
                  <w:tcW w:w="744" w:type="dxa"/>
                  <w:vMerge w:val="continue"/>
                  <w:vAlign w:val="center"/>
                </w:tcPr>
                <w:p w14:paraId="19DDA806">
                  <w:pPr>
                    <w:adjustRightInd w:val="0"/>
                    <w:snapToGrid w:val="0"/>
                    <w:jc w:val="center"/>
                    <w:rPr>
                      <w:szCs w:val="21"/>
                    </w:rPr>
                  </w:pPr>
                </w:p>
              </w:tc>
            </w:tr>
            <w:tr w14:paraId="0EF25C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4B639A93">
                  <w:pPr>
                    <w:adjustRightInd w:val="0"/>
                    <w:snapToGrid w:val="0"/>
                    <w:jc w:val="center"/>
                    <w:rPr>
                      <w:szCs w:val="21"/>
                    </w:rPr>
                  </w:pPr>
                  <w:r>
                    <w:rPr>
                      <w:szCs w:val="21"/>
                    </w:rPr>
                    <w:t>3</w:t>
                  </w:r>
                </w:p>
              </w:tc>
              <w:tc>
                <w:tcPr>
                  <w:tcW w:w="3927" w:type="dxa"/>
                  <w:vAlign w:val="center"/>
                </w:tcPr>
                <w:p w14:paraId="68081946">
                  <w:pPr>
                    <w:adjustRightInd w:val="0"/>
                    <w:snapToGrid w:val="0"/>
                    <w:rPr>
                      <w:szCs w:val="21"/>
                    </w:rPr>
                  </w:pPr>
                  <w:r>
                    <w:rPr>
                      <w:szCs w:val="21"/>
                    </w:rPr>
                    <w:t>禁止在太湖流域一、二、三级保护区内开展《江苏省太湖水污染防治条例》禁止的投资建设活动。</w:t>
                  </w:r>
                </w:p>
              </w:tc>
              <w:tc>
                <w:tcPr>
                  <w:tcW w:w="1907" w:type="dxa"/>
                  <w:vMerge w:val="continue"/>
                  <w:vAlign w:val="center"/>
                </w:tcPr>
                <w:p w14:paraId="15E36F11">
                  <w:pPr>
                    <w:adjustRightInd w:val="0"/>
                    <w:snapToGrid w:val="0"/>
                    <w:rPr>
                      <w:szCs w:val="21"/>
                    </w:rPr>
                  </w:pPr>
                </w:p>
              </w:tc>
              <w:tc>
                <w:tcPr>
                  <w:tcW w:w="744" w:type="dxa"/>
                  <w:vMerge w:val="continue"/>
                  <w:vAlign w:val="center"/>
                </w:tcPr>
                <w:p w14:paraId="0918E733">
                  <w:pPr>
                    <w:adjustRightInd w:val="0"/>
                    <w:snapToGrid w:val="0"/>
                    <w:jc w:val="center"/>
                    <w:rPr>
                      <w:szCs w:val="21"/>
                    </w:rPr>
                  </w:pPr>
                </w:p>
              </w:tc>
            </w:tr>
            <w:tr w14:paraId="38CEBA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44B36347">
                  <w:pPr>
                    <w:adjustRightInd w:val="0"/>
                    <w:snapToGrid w:val="0"/>
                    <w:jc w:val="center"/>
                    <w:rPr>
                      <w:szCs w:val="21"/>
                    </w:rPr>
                  </w:pPr>
                  <w:r>
                    <w:rPr>
                      <w:szCs w:val="21"/>
                    </w:rPr>
                    <w:t>4</w:t>
                  </w:r>
                </w:p>
              </w:tc>
              <w:tc>
                <w:tcPr>
                  <w:tcW w:w="3927" w:type="dxa"/>
                  <w:vAlign w:val="center"/>
                </w:tcPr>
                <w:p w14:paraId="0D334B27">
                  <w:pPr>
                    <w:adjustRightInd w:val="0"/>
                    <w:snapToGrid w:val="0"/>
                    <w:rPr>
                      <w:szCs w:val="21"/>
                    </w:rPr>
                  </w:pPr>
                  <w:r>
                    <w:rPr>
                      <w:szCs w:val="21"/>
                    </w:rPr>
                    <w:t>禁止在沿江地区新建、扩建未纳入国家和省布局规划的燃煤发电项目。</w:t>
                  </w:r>
                </w:p>
              </w:tc>
              <w:tc>
                <w:tcPr>
                  <w:tcW w:w="1907" w:type="dxa"/>
                  <w:vAlign w:val="center"/>
                </w:tcPr>
                <w:p w14:paraId="65DB906D">
                  <w:pPr>
                    <w:adjustRightInd w:val="0"/>
                    <w:snapToGrid w:val="0"/>
                    <w:rPr>
                      <w:szCs w:val="21"/>
                    </w:rPr>
                  </w:pPr>
                  <w:r>
                    <w:rPr>
                      <w:szCs w:val="21"/>
                    </w:rPr>
                    <w:t>项目不属于燃煤发电项目。</w:t>
                  </w:r>
                </w:p>
              </w:tc>
              <w:tc>
                <w:tcPr>
                  <w:tcW w:w="744" w:type="dxa"/>
                  <w:vAlign w:val="center"/>
                </w:tcPr>
                <w:p w14:paraId="0EC3C3DA">
                  <w:pPr>
                    <w:adjustRightInd w:val="0"/>
                    <w:snapToGrid w:val="0"/>
                    <w:jc w:val="center"/>
                    <w:rPr>
                      <w:szCs w:val="21"/>
                    </w:rPr>
                  </w:pPr>
                  <w:r>
                    <w:rPr>
                      <w:szCs w:val="21"/>
                    </w:rPr>
                    <w:t>相符</w:t>
                  </w:r>
                </w:p>
              </w:tc>
            </w:tr>
            <w:tr w14:paraId="3199CB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77112AC8">
                  <w:pPr>
                    <w:adjustRightInd w:val="0"/>
                    <w:snapToGrid w:val="0"/>
                    <w:jc w:val="center"/>
                    <w:rPr>
                      <w:szCs w:val="21"/>
                    </w:rPr>
                  </w:pPr>
                  <w:r>
                    <w:rPr>
                      <w:szCs w:val="21"/>
                    </w:rPr>
                    <w:t>5</w:t>
                  </w:r>
                </w:p>
              </w:tc>
              <w:tc>
                <w:tcPr>
                  <w:tcW w:w="3927" w:type="dxa"/>
                  <w:vAlign w:val="center"/>
                </w:tcPr>
                <w:p w14:paraId="22C4D23B">
                  <w:pPr>
                    <w:adjustRightInd w:val="0"/>
                    <w:snapToGrid w:val="0"/>
                    <w:rPr>
                      <w:szCs w:val="21"/>
                    </w:rPr>
                  </w:pPr>
                  <w:r>
                    <w:rPr>
                      <w:szCs w:val="21"/>
                    </w:rPr>
                    <w:t>禁止在合规园区外新建、扩建钢铁、石化、化工、焦化、建材、有色、制浆造纸等高污染项目。合规园区名录按照《〈长江经济带发展负面清单指南（试行，2022年版）〉江苏省实施细则合规园区名录》执行。</w:t>
                  </w:r>
                </w:p>
              </w:tc>
              <w:tc>
                <w:tcPr>
                  <w:tcW w:w="1907" w:type="dxa"/>
                  <w:vAlign w:val="center"/>
                </w:tcPr>
                <w:p w14:paraId="052FBF47">
                  <w:pPr>
                    <w:adjustRightInd w:val="0"/>
                    <w:snapToGrid w:val="0"/>
                    <w:rPr>
                      <w:szCs w:val="21"/>
                    </w:rPr>
                  </w:pPr>
                  <w:r>
                    <w:rPr>
                      <w:szCs w:val="21"/>
                    </w:rPr>
                    <w:t>项目行业类别不属于以上高污染项目。</w:t>
                  </w:r>
                </w:p>
              </w:tc>
              <w:tc>
                <w:tcPr>
                  <w:tcW w:w="744" w:type="dxa"/>
                  <w:vAlign w:val="center"/>
                </w:tcPr>
                <w:p w14:paraId="49DC3E9B">
                  <w:pPr>
                    <w:adjustRightInd w:val="0"/>
                    <w:snapToGrid w:val="0"/>
                    <w:jc w:val="center"/>
                    <w:rPr>
                      <w:szCs w:val="21"/>
                    </w:rPr>
                  </w:pPr>
                  <w:r>
                    <w:rPr>
                      <w:szCs w:val="21"/>
                    </w:rPr>
                    <w:t>相符</w:t>
                  </w:r>
                </w:p>
              </w:tc>
            </w:tr>
            <w:tr w14:paraId="4FD87A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276A4427">
                  <w:pPr>
                    <w:adjustRightInd w:val="0"/>
                    <w:snapToGrid w:val="0"/>
                    <w:jc w:val="center"/>
                    <w:rPr>
                      <w:szCs w:val="21"/>
                    </w:rPr>
                  </w:pPr>
                  <w:r>
                    <w:rPr>
                      <w:szCs w:val="21"/>
                    </w:rPr>
                    <w:t>6</w:t>
                  </w:r>
                </w:p>
              </w:tc>
              <w:tc>
                <w:tcPr>
                  <w:tcW w:w="3927" w:type="dxa"/>
                  <w:vAlign w:val="center"/>
                </w:tcPr>
                <w:p w14:paraId="1733BD88">
                  <w:pPr>
                    <w:adjustRightInd w:val="0"/>
                    <w:snapToGrid w:val="0"/>
                    <w:rPr>
                      <w:szCs w:val="21"/>
                    </w:rPr>
                  </w:pPr>
                  <w:r>
                    <w:rPr>
                      <w:szCs w:val="21"/>
                    </w:rPr>
                    <w:t>禁止在取消化工定位的园区(集中区)内新建化工项目。</w:t>
                  </w:r>
                </w:p>
              </w:tc>
              <w:tc>
                <w:tcPr>
                  <w:tcW w:w="1907" w:type="dxa"/>
                  <w:vMerge w:val="restart"/>
                  <w:vAlign w:val="center"/>
                </w:tcPr>
                <w:p w14:paraId="44A83CA1">
                  <w:pPr>
                    <w:adjustRightInd w:val="0"/>
                    <w:snapToGrid w:val="0"/>
                    <w:rPr>
                      <w:szCs w:val="21"/>
                    </w:rPr>
                  </w:pPr>
                  <w:r>
                    <w:rPr>
                      <w:szCs w:val="21"/>
                    </w:rPr>
                    <w:t>项目不属于化工项目，项目周边无化工企业。</w:t>
                  </w:r>
                </w:p>
              </w:tc>
              <w:tc>
                <w:tcPr>
                  <w:tcW w:w="744" w:type="dxa"/>
                  <w:vMerge w:val="restart"/>
                  <w:vAlign w:val="center"/>
                </w:tcPr>
                <w:p w14:paraId="6BCD98D0">
                  <w:pPr>
                    <w:adjustRightInd w:val="0"/>
                    <w:snapToGrid w:val="0"/>
                    <w:jc w:val="center"/>
                    <w:rPr>
                      <w:szCs w:val="21"/>
                    </w:rPr>
                  </w:pPr>
                  <w:r>
                    <w:rPr>
                      <w:szCs w:val="21"/>
                    </w:rPr>
                    <w:t>相符</w:t>
                  </w:r>
                </w:p>
              </w:tc>
            </w:tr>
            <w:tr w14:paraId="27FA69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0CF1CC8E">
                  <w:pPr>
                    <w:adjustRightInd w:val="0"/>
                    <w:snapToGrid w:val="0"/>
                    <w:jc w:val="center"/>
                    <w:rPr>
                      <w:szCs w:val="21"/>
                    </w:rPr>
                  </w:pPr>
                  <w:r>
                    <w:rPr>
                      <w:szCs w:val="21"/>
                    </w:rPr>
                    <w:t>7</w:t>
                  </w:r>
                </w:p>
              </w:tc>
              <w:tc>
                <w:tcPr>
                  <w:tcW w:w="3927" w:type="dxa"/>
                  <w:vAlign w:val="center"/>
                </w:tcPr>
                <w:p w14:paraId="3372C512">
                  <w:pPr>
                    <w:adjustRightInd w:val="0"/>
                    <w:snapToGrid w:val="0"/>
                    <w:rPr>
                      <w:szCs w:val="21"/>
                    </w:rPr>
                  </w:pPr>
                  <w:r>
                    <w:rPr>
                      <w:szCs w:val="21"/>
                    </w:rPr>
                    <w:t>禁止在化工企业周边建设不符合安全距离规定的劳动。</w:t>
                  </w:r>
                </w:p>
              </w:tc>
              <w:tc>
                <w:tcPr>
                  <w:tcW w:w="1907" w:type="dxa"/>
                  <w:vMerge w:val="continue"/>
                  <w:vAlign w:val="center"/>
                </w:tcPr>
                <w:p w14:paraId="3A903128">
                  <w:pPr>
                    <w:adjustRightInd w:val="0"/>
                    <w:snapToGrid w:val="0"/>
                    <w:rPr>
                      <w:szCs w:val="21"/>
                    </w:rPr>
                  </w:pPr>
                </w:p>
              </w:tc>
              <w:tc>
                <w:tcPr>
                  <w:tcW w:w="744" w:type="dxa"/>
                  <w:vMerge w:val="continue"/>
                  <w:vAlign w:val="center"/>
                </w:tcPr>
                <w:p w14:paraId="4BB1FCE6">
                  <w:pPr>
                    <w:adjustRightInd w:val="0"/>
                    <w:snapToGrid w:val="0"/>
                    <w:jc w:val="center"/>
                    <w:rPr>
                      <w:szCs w:val="21"/>
                    </w:rPr>
                  </w:pPr>
                </w:p>
              </w:tc>
            </w:tr>
            <w:tr w14:paraId="23BB21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5D745B43">
                  <w:pPr>
                    <w:adjustRightInd w:val="0"/>
                    <w:snapToGrid w:val="0"/>
                    <w:jc w:val="center"/>
                    <w:rPr>
                      <w:szCs w:val="21"/>
                    </w:rPr>
                  </w:pPr>
                  <w:r>
                    <w:rPr>
                      <w:szCs w:val="21"/>
                    </w:rPr>
                    <w:t>8</w:t>
                  </w:r>
                </w:p>
              </w:tc>
              <w:tc>
                <w:tcPr>
                  <w:tcW w:w="3927" w:type="dxa"/>
                  <w:vAlign w:val="center"/>
                </w:tcPr>
                <w:p w14:paraId="579DEDD1">
                  <w:pPr>
                    <w:adjustRightInd w:val="0"/>
                    <w:snapToGrid w:val="0"/>
                    <w:rPr>
                      <w:szCs w:val="21"/>
                    </w:rPr>
                  </w:pPr>
                  <w:r>
                    <w:rPr>
                      <w:szCs w:val="21"/>
                    </w:rPr>
                    <w:t>禁止新建、扩建不符合国家和省产业政策的尿素、磷铵、电石、烧碱、聚氯乙烯、纯碱等行业新增产能项目。</w:t>
                  </w:r>
                </w:p>
              </w:tc>
              <w:tc>
                <w:tcPr>
                  <w:tcW w:w="1907" w:type="dxa"/>
                  <w:vMerge w:val="restart"/>
                  <w:vAlign w:val="center"/>
                </w:tcPr>
                <w:p w14:paraId="27E62882">
                  <w:pPr>
                    <w:adjustRightInd w:val="0"/>
                    <w:snapToGrid w:val="0"/>
                    <w:rPr>
                      <w:szCs w:val="21"/>
                    </w:rPr>
                  </w:pPr>
                  <w:r>
                    <w:rPr>
                      <w:szCs w:val="21"/>
                    </w:rPr>
                    <w:t>项目行业类别为[C2913] 橡胶零件制造，不属于以上不符合国家和省产业政策的项目，不属于国家《产业结构调整指导目录》《江苏省产业结构调整限制、淘汰和禁止目录》明确的限制类、淘汰类、禁止类项目，不属于法律法规和相关政策明令禁止的落后产能项目，不属于明令淘汰的安全生产落后工艺及装备项目，不属于不符合国家产能置换要求的严重过剩产能行业及高耗能项目。</w:t>
                  </w:r>
                </w:p>
              </w:tc>
              <w:tc>
                <w:tcPr>
                  <w:tcW w:w="744" w:type="dxa"/>
                  <w:vMerge w:val="restart"/>
                  <w:vAlign w:val="center"/>
                </w:tcPr>
                <w:p w14:paraId="3BC5AD92">
                  <w:pPr>
                    <w:adjustRightInd w:val="0"/>
                    <w:snapToGrid w:val="0"/>
                    <w:jc w:val="center"/>
                    <w:rPr>
                      <w:szCs w:val="21"/>
                    </w:rPr>
                  </w:pPr>
                  <w:r>
                    <w:rPr>
                      <w:szCs w:val="21"/>
                    </w:rPr>
                    <w:t>相符</w:t>
                  </w:r>
                </w:p>
              </w:tc>
            </w:tr>
            <w:tr w14:paraId="02810A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757E4712">
                  <w:pPr>
                    <w:adjustRightInd w:val="0"/>
                    <w:snapToGrid w:val="0"/>
                    <w:jc w:val="center"/>
                    <w:rPr>
                      <w:szCs w:val="21"/>
                    </w:rPr>
                  </w:pPr>
                  <w:r>
                    <w:rPr>
                      <w:szCs w:val="21"/>
                    </w:rPr>
                    <w:t>9</w:t>
                  </w:r>
                </w:p>
              </w:tc>
              <w:tc>
                <w:tcPr>
                  <w:tcW w:w="3927" w:type="dxa"/>
                  <w:vAlign w:val="center"/>
                </w:tcPr>
                <w:p w14:paraId="29175EB7">
                  <w:pPr>
                    <w:adjustRightInd w:val="0"/>
                    <w:snapToGrid w:val="0"/>
                    <w:rPr>
                      <w:szCs w:val="21"/>
                    </w:rPr>
                  </w:pPr>
                  <w:r>
                    <w:rPr>
                      <w:szCs w:val="21"/>
                    </w:rPr>
                    <w:t>禁止新建、改建、扩建高毒、高残留以及对环境影响大的农药原药（化学合成类）项目，禁止新建、扩建不符合国家和省产业政策的农药、医药和染料中间体化工项目。</w:t>
                  </w:r>
                </w:p>
              </w:tc>
              <w:tc>
                <w:tcPr>
                  <w:tcW w:w="1907" w:type="dxa"/>
                  <w:vMerge w:val="continue"/>
                  <w:vAlign w:val="center"/>
                </w:tcPr>
                <w:p w14:paraId="20EEA0A0">
                  <w:pPr>
                    <w:adjustRightInd w:val="0"/>
                    <w:snapToGrid w:val="0"/>
                    <w:jc w:val="center"/>
                    <w:rPr>
                      <w:szCs w:val="21"/>
                    </w:rPr>
                  </w:pPr>
                </w:p>
              </w:tc>
              <w:tc>
                <w:tcPr>
                  <w:tcW w:w="744" w:type="dxa"/>
                  <w:vMerge w:val="continue"/>
                  <w:vAlign w:val="center"/>
                </w:tcPr>
                <w:p w14:paraId="4D7FEA0E">
                  <w:pPr>
                    <w:adjustRightInd w:val="0"/>
                    <w:snapToGrid w:val="0"/>
                    <w:jc w:val="center"/>
                    <w:rPr>
                      <w:szCs w:val="21"/>
                    </w:rPr>
                  </w:pPr>
                </w:p>
              </w:tc>
            </w:tr>
            <w:tr w14:paraId="73C9BA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65DCE515">
                  <w:pPr>
                    <w:adjustRightInd w:val="0"/>
                    <w:snapToGrid w:val="0"/>
                    <w:jc w:val="center"/>
                    <w:rPr>
                      <w:szCs w:val="21"/>
                    </w:rPr>
                  </w:pPr>
                  <w:r>
                    <w:rPr>
                      <w:szCs w:val="21"/>
                    </w:rPr>
                    <w:t>10</w:t>
                  </w:r>
                </w:p>
              </w:tc>
              <w:tc>
                <w:tcPr>
                  <w:tcW w:w="3927" w:type="dxa"/>
                  <w:vAlign w:val="center"/>
                </w:tcPr>
                <w:p w14:paraId="451C9E99">
                  <w:pPr>
                    <w:adjustRightInd w:val="0"/>
                    <w:snapToGrid w:val="0"/>
                    <w:rPr>
                      <w:szCs w:val="21"/>
                    </w:rPr>
                  </w:pPr>
                  <w:r>
                    <w:rPr>
                      <w:szCs w:val="21"/>
                    </w:rPr>
                    <w:t>禁止新建、扩建不符合国家石化、现代煤化工等产业布局规划的项目，禁止新建独立焦化项目。</w:t>
                  </w:r>
                </w:p>
              </w:tc>
              <w:tc>
                <w:tcPr>
                  <w:tcW w:w="1907" w:type="dxa"/>
                  <w:vMerge w:val="continue"/>
                  <w:vAlign w:val="center"/>
                </w:tcPr>
                <w:p w14:paraId="1AC27A48">
                  <w:pPr>
                    <w:adjustRightInd w:val="0"/>
                    <w:snapToGrid w:val="0"/>
                    <w:jc w:val="center"/>
                    <w:rPr>
                      <w:szCs w:val="21"/>
                    </w:rPr>
                  </w:pPr>
                </w:p>
              </w:tc>
              <w:tc>
                <w:tcPr>
                  <w:tcW w:w="744" w:type="dxa"/>
                  <w:vMerge w:val="continue"/>
                  <w:vAlign w:val="center"/>
                </w:tcPr>
                <w:p w14:paraId="65BC9EDC">
                  <w:pPr>
                    <w:adjustRightInd w:val="0"/>
                    <w:snapToGrid w:val="0"/>
                    <w:jc w:val="center"/>
                    <w:rPr>
                      <w:szCs w:val="21"/>
                    </w:rPr>
                  </w:pPr>
                </w:p>
              </w:tc>
            </w:tr>
            <w:tr w14:paraId="098D93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173837C6">
                  <w:pPr>
                    <w:adjustRightInd w:val="0"/>
                    <w:snapToGrid w:val="0"/>
                    <w:jc w:val="center"/>
                    <w:rPr>
                      <w:szCs w:val="21"/>
                    </w:rPr>
                  </w:pPr>
                  <w:r>
                    <w:rPr>
                      <w:szCs w:val="21"/>
                    </w:rPr>
                    <w:t>11</w:t>
                  </w:r>
                </w:p>
              </w:tc>
              <w:tc>
                <w:tcPr>
                  <w:tcW w:w="3927" w:type="dxa"/>
                  <w:vAlign w:val="center"/>
                </w:tcPr>
                <w:p w14:paraId="358140D4">
                  <w:pPr>
                    <w:adjustRightInd w:val="0"/>
                    <w:snapToGrid w:val="0"/>
                    <w:rPr>
                      <w:szCs w:val="21"/>
                    </w:rPr>
                  </w:pPr>
                  <w:r>
                    <w:rPr>
                      <w:szCs w:val="21"/>
                    </w:rPr>
                    <w:t>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tc>
              <w:tc>
                <w:tcPr>
                  <w:tcW w:w="1907" w:type="dxa"/>
                  <w:vMerge w:val="continue"/>
                  <w:vAlign w:val="center"/>
                </w:tcPr>
                <w:p w14:paraId="0F362A6F">
                  <w:pPr>
                    <w:adjustRightInd w:val="0"/>
                    <w:snapToGrid w:val="0"/>
                    <w:jc w:val="center"/>
                    <w:rPr>
                      <w:szCs w:val="21"/>
                    </w:rPr>
                  </w:pPr>
                </w:p>
              </w:tc>
              <w:tc>
                <w:tcPr>
                  <w:tcW w:w="744" w:type="dxa"/>
                  <w:vMerge w:val="continue"/>
                  <w:vAlign w:val="center"/>
                </w:tcPr>
                <w:p w14:paraId="01C969FE">
                  <w:pPr>
                    <w:adjustRightInd w:val="0"/>
                    <w:snapToGrid w:val="0"/>
                    <w:jc w:val="center"/>
                    <w:rPr>
                      <w:szCs w:val="21"/>
                    </w:rPr>
                  </w:pPr>
                </w:p>
              </w:tc>
            </w:tr>
            <w:tr w14:paraId="4CD3B3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08EC0203">
                  <w:pPr>
                    <w:adjustRightInd w:val="0"/>
                    <w:snapToGrid w:val="0"/>
                    <w:jc w:val="center"/>
                    <w:rPr>
                      <w:szCs w:val="21"/>
                    </w:rPr>
                  </w:pPr>
                  <w:r>
                    <w:rPr>
                      <w:szCs w:val="21"/>
                    </w:rPr>
                    <w:t>12</w:t>
                  </w:r>
                </w:p>
              </w:tc>
              <w:tc>
                <w:tcPr>
                  <w:tcW w:w="3927" w:type="dxa"/>
                  <w:vAlign w:val="center"/>
                </w:tcPr>
                <w:p w14:paraId="18D74C64">
                  <w:pPr>
                    <w:adjustRightInd w:val="0"/>
                    <w:snapToGrid w:val="0"/>
                    <w:rPr>
                      <w:szCs w:val="21"/>
                    </w:rPr>
                  </w:pPr>
                  <w:r>
                    <w:rPr>
                      <w:szCs w:val="21"/>
                    </w:rPr>
                    <w:t>禁止新建、扩建不符合国家产能置换要求的严重过剩产能行业的项目。禁止新建﹑扩建不符合要求的高耗能高排放项目。</w:t>
                  </w:r>
                </w:p>
              </w:tc>
              <w:tc>
                <w:tcPr>
                  <w:tcW w:w="1907" w:type="dxa"/>
                  <w:vMerge w:val="continue"/>
                  <w:vAlign w:val="center"/>
                </w:tcPr>
                <w:p w14:paraId="70D09953">
                  <w:pPr>
                    <w:adjustRightInd w:val="0"/>
                    <w:snapToGrid w:val="0"/>
                    <w:jc w:val="center"/>
                    <w:rPr>
                      <w:szCs w:val="21"/>
                    </w:rPr>
                  </w:pPr>
                </w:p>
              </w:tc>
              <w:tc>
                <w:tcPr>
                  <w:tcW w:w="744" w:type="dxa"/>
                  <w:vMerge w:val="continue"/>
                  <w:vAlign w:val="center"/>
                </w:tcPr>
                <w:p w14:paraId="2F1C4252">
                  <w:pPr>
                    <w:adjustRightInd w:val="0"/>
                    <w:snapToGrid w:val="0"/>
                    <w:jc w:val="center"/>
                    <w:rPr>
                      <w:szCs w:val="21"/>
                    </w:rPr>
                  </w:pPr>
                </w:p>
              </w:tc>
            </w:tr>
            <w:tr w14:paraId="56B091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642" w:type="dxa"/>
                  <w:vAlign w:val="center"/>
                </w:tcPr>
                <w:p w14:paraId="302A2A3E">
                  <w:pPr>
                    <w:adjustRightInd w:val="0"/>
                    <w:snapToGrid w:val="0"/>
                    <w:jc w:val="center"/>
                    <w:rPr>
                      <w:szCs w:val="21"/>
                    </w:rPr>
                  </w:pPr>
                  <w:r>
                    <w:rPr>
                      <w:szCs w:val="21"/>
                    </w:rPr>
                    <w:t>13</w:t>
                  </w:r>
                </w:p>
              </w:tc>
              <w:tc>
                <w:tcPr>
                  <w:tcW w:w="3927" w:type="dxa"/>
                  <w:vAlign w:val="center"/>
                </w:tcPr>
                <w:p w14:paraId="06DA6189">
                  <w:pPr>
                    <w:adjustRightInd w:val="0"/>
                    <w:snapToGrid w:val="0"/>
                    <w:rPr>
                      <w:szCs w:val="21"/>
                    </w:rPr>
                  </w:pPr>
                  <w:r>
                    <w:rPr>
                      <w:szCs w:val="21"/>
                    </w:rPr>
                    <w:t>法律法规及相关政策文件有更加严格规定的从其规定。</w:t>
                  </w:r>
                </w:p>
              </w:tc>
              <w:tc>
                <w:tcPr>
                  <w:tcW w:w="1907" w:type="dxa"/>
                  <w:vMerge w:val="continue"/>
                  <w:vAlign w:val="center"/>
                </w:tcPr>
                <w:p w14:paraId="5B41B3BA">
                  <w:pPr>
                    <w:adjustRightInd w:val="0"/>
                    <w:snapToGrid w:val="0"/>
                    <w:jc w:val="center"/>
                    <w:rPr>
                      <w:szCs w:val="21"/>
                    </w:rPr>
                  </w:pPr>
                </w:p>
              </w:tc>
              <w:tc>
                <w:tcPr>
                  <w:tcW w:w="744" w:type="dxa"/>
                  <w:vMerge w:val="continue"/>
                  <w:vAlign w:val="center"/>
                </w:tcPr>
                <w:p w14:paraId="2A81A097">
                  <w:pPr>
                    <w:adjustRightInd w:val="0"/>
                    <w:snapToGrid w:val="0"/>
                    <w:jc w:val="center"/>
                    <w:rPr>
                      <w:szCs w:val="21"/>
                    </w:rPr>
                  </w:pPr>
                </w:p>
              </w:tc>
            </w:tr>
          </w:tbl>
          <w:p w14:paraId="0A52E12B">
            <w:pPr>
              <w:adjustRightInd w:val="0"/>
              <w:snapToGrid w:val="0"/>
              <w:spacing w:beforeLines="50" w:line="360" w:lineRule="auto"/>
              <w:ind w:firstLine="420" w:firstLineChars="200"/>
              <w:rPr>
                <w:szCs w:val="21"/>
              </w:rPr>
            </w:pPr>
            <w:r>
              <w:rPr>
                <w:szCs w:val="21"/>
              </w:rPr>
              <w:t>综上所述，扩建项目符合“三线一单”的要求。</w:t>
            </w:r>
          </w:p>
          <w:p w14:paraId="64B6D943">
            <w:pPr>
              <w:spacing w:line="360" w:lineRule="auto"/>
              <w:rPr>
                <w:b/>
                <w:bCs/>
                <w:szCs w:val="21"/>
              </w:rPr>
            </w:pPr>
            <w:r>
              <w:rPr>
                <w:b/>
                <w:bCs/>
                <w:szCs w:val="21"/>
              </w:rPr>
              <w:t>4、技术政策相符性</w:t>
            </w:r>
          </w:p>
          <w:p w14:paraId="1F36E9AF">
            <w:pPr>
              <w:adjustRightInd w:val="0"/>
              <w:snapToGrid w:val="0"/>
              <w:spacing w:line="360" w:lineRule="auto"/>
              <w:ind w:firstLine="422" w:firstLineChars="200"/>
              <w:rPr>
                <w:b/>
                <w:bCs/>
                <w:szCs w:val="21"/>
              </w:rPr>
            </w:pPr>
            <w:r>
              <w:rPr>
                <w:b/>
                <w:bCs/>
                <w:szCs w:val="21"/>
              </w:rPr>
              <w:t>（1）与地方文件相符性</w:t>
            </w:r>
          </w:p>
          <w:p w14:paraId="419ABBAC">
            <w:pPr>
              <w:adjustRightInd w:val="0"/>
              <w:snapToGrid w:val="0"/>
              <w:spacing w:line="360" w:lineRule="auto"/>
              <w:ind w:firstLine="420" w:firstLineChars="200"/>
              <w:rPr>
                <w:b/>
                <w:bCs/>
                <w:szCs w:val="21"/>
              </w:rPr>
            </w:pPr>
            <w:r>
              <w:rPr>
                <w:szCs w:val="21"/>
              </w:rPr>
              <w:t>本项目建设与地方文件相符性分析见表1-6。</w:t>
            </w:r>
          </w:p>
          <w:p w14:paraId="788DB4EE">
            <w:pPr>
              <w:adjustRightInd w:val="0"/>
              <w:snapToGrid w:val="0"/>
              <w:jc w:val="center"/>
              <w:rPr>
                <w:b/>
                <w:bCs/>
                <w:szCs w:val="21"/>
              </w:rPr>
            </w:pPr>
          </w:p>
          <w:p w14:paraId="59837067">
            <w:pPr>
              <w:adjustRightInd w:val="0"/>
              <w:snapToGrid w:val="0"/>
              <w:jc w:val="center"/>
              <w:rPr>
                <w:b/>
                <w:bCs/>
                <w:szCs w:val="21"/>
              </w:rPr>
            </w:pPr>
          </w:p>
          <w:p w14:paraId="3913EC27">
            <w:pPr>
              <w:adjustRightInd w:val="0"/>
              <w:snapToGrid w:val="0"/>
              <w:jc w:val="center"/>
              <w:rPr>
                <w:b/>
                <w:bCs/>
                <w:szCs w:val="21"/>
              </w:rPr>
            </w:pPr>
            <w:r>
              <w:rPr>
                <w:b/>
                <w:bCs/>
                <w:szCs w:val="21"/>
              </w:rPr>
              <w:t>表1-6  项目与地方文件相符性分析</w:t>
            </w:r>
          </w:p>
          <w:tbl>
            <w:tblPr>
              <w:tblStyle w:val="25"/>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65"/>
              <w:gridCol w:w="2636"/>
              <w:gridCol w:w="2884"/>
              <w:gridCol w:w="628"/>
            </w:tblGrid>
            <w:tr w14:paraId="100AA4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Align w:val="center"/>
                </w:tcPr>
                <w:p w14:paraId="7FC3D159">
                  <w:pPr>
                    <w:pStyle w:val="52"/>
                    <w:adjustRightInd w:val="0"/>
                    <w:snapToGrid w:val="0"/>
                    <w:spacing w:line="240" w:lineRule="auto"/>
                    <w:rPr>
                      <w:rFonts w:eastAsia="宋体"/>
                      <w:b/>
                      <w:szCs w:val="21"/>
                    </w:rPr>
                  </w:pPr>
                  <w:r>
                    <w:rPr>
                      <w:rFonts w:eastAsia="宋体"/>
                      <w:b/>
                      <w:szCs w:val="21"/>
                    </w:rPr>
                    <w:t>文件</w:t>
                  </w:r>
                </w:p>
              </w:tc>
              <w:tc>
                <w:tcPr>
                  <w:tcW w:w="1827" w:type="pct"/>
                  <w:vAlign w:val="center"/>
                </w:tcPr>
                <w:p w14:paraId="572FAB5E">
                  <w:pPr>
                    <w:pStyle w:val="52"/>
                    <w:adjustRightInd w:val="0"/>
                    <w:snapToGrid w:val="0"/>
                    <w:spacing w:line="240" w:lineRule="auto"/>
                    <w:rPr>
                      <w:rFonts w:eastAsia="宋体"/>
                      <w:b/>
                      <w:szCs w:val="21"/>
                    </w:rPr>
                  </w:pPr>
                  <w:r>
                    <w:rPr>
                      <w:rFonts w:eastAsia="宋体"/>
                      <w:b/>
                      <w:szCs w:val="21"/>
                    </w:rPr>
                    <w:t>与项目相关要求</w:t>
                  </w:r>
                </w:p>
              </w:tc>
              <w:tc>
                <w:tcPr>
                  <w:tcW w:w="1999" w:type="pct"/>
                  <w:vAlign w:val="center"/>
                </w:tcPr>
                <w:p w14:paraId="4000ED5D">
                  <w:pPr>
                    <w:pStyle w:val="52"/>
                    <w:adjustRightInd w:val="0"/>
                    <w:snapToGrid w:val="0"/>
                    <w:spacing w:line="240" w:lineRule="auto"/>
                    <w:rPr>
                      <w:rFonts w:eastAsia="宋体"/>
                      <w:b/>
                      <w:szCs w:val="21"/>
                    </w:rPr>
                  </w:pPr>
                  <w:r>
                    <w:rPr>
                      <w:rFonts w:eastAsia="宋体"/>
                      <w:b/>
                      <w:szCs w:val="21"/>
                    </w:rPr>
                    <w:t>本项目相符性分析</w:t>
                  </w:r>
                </w:p>
              </w:tc>
              <w:tc>
                <w:tcPr>
                  <w:tcW w:w="435" w:type="pct"/>
                  <w:vAlign w:val="center"/>
                </w:tcPr>
                <w:p w14:paraId="23ED34D6">
                  <w:pPr>
                    <w:pStyle w:val="52"/>
                    <w:adjustRightInd w:val="0"/>
                    <w:snapToGrid w:val="0"/>
                    <w:spacing w:line="240" w:lineRule="auto"/>
                    <w:rPr>
                      <w:rFonts w:eastAsia="宋体"/>
                      <w:b/>
                      <w:szCs w:val="21"/>
                    </w:rPr>
                  </w:pPr>
                  <w:r>
                    <w:rPr>
                      <w:rFonts w:eastAsia="宋体"/>
                      <w:b/>
                      <w:szCs w:val="21"/>
                    </w:rPr>
                    <w:t>是否相符</w:t>
                  </w:r>
                </w:p>
              </w:tc>
            </w:tr>
            <w:tr w14:paraId="6CA53E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restart"/>
                  <w:vAlign w:val="center"/>
                </w:tcPr>
                <w:p w14:paraId="084CB7EC">
                  <w:pPr>
                    <w:pStyle w:val="52"/>
                    <w:adjustRightInd w:val="0"/>
                    <w:snapToGrid w:val="0"/>
                    <w:spacing w:line="240" w:lineRule="auto"/>
                    <w:rPr>
                      <w:rFonts w:eastAsia="宋体"/>
                      <w:b/>
                      <w:szCs w:val="21"/>
                    </w:rPr>
                  </w:pPr>
                  <w:r>
                    <w:rPr>
                      <w:rFonts w:eastAsia="宋体"/>
                      <w:b/>
                      <w:szCs w:val="21"/>
                    </w:rPr>
                    <w:t>《江苏省大气污染物防治条例》（2018年修正）</w:t>
                  </w:r>
                </w:p>
              </w:tc>
              <w:tc>
                <w:tcPr>
                  <w:tcW w:w="1827" w:type="pct"/>
                  <w:vAlign w:val="center"/>
                </w:tcPr>
                <w:p w14:paraId="29FB1D15">
                  <w:pPr>
                    <w:pStyle w:val="52"/>
                    <w:adjustRightInd w:val="0"/>
                    <w:snapToGrid w:val="0"/>
                    <w:spacing w:line="240" w:lineRule="auto"/>
                    <w:jc w:val="both"/>
                    <w:rPr>
                      <w:rFonts w:eastAsia="宋体"/>
                      <w:szCs w:val="21"/>
                    </w:rPr>
                  </w:pPr>
                  <w:r>
                    <w:rPr>
                      <w:rFonts w:eastAsia="宋体"/>
                      <w:szCs w:val="21"/>
                    </w:rPr>
                    <w:t>禁止使用列入淘汰名录的高污染工艺设备。淘汰的高污染工艺设备，企业不得转让给他人使用。</w:t>
                  </w:r>
                </w:p>
              </w:tc>
              <w:tc>
                <w:tcPr>
                  <w:tcW w:w="1999" w:type="pct"/>
                  <w:vAlign w:val="center"/>
                </w:tcPr>
                <w:p w14:paraId="1F0B6CF6">
                  <w:pPr>
                    <w:pStyle w:val="52"/>
                    <w:adjustRightInd w:val="0"/>
                    <w:snapToGrid w:val="0"/>
                    <w:spacing w:line="240" w:lineRule="auto"/>
                    <w:jc w:val="both"/>
                    <w:rPr>
                      <w:rFonts w:eastAsia="宋体"/>
                      <w:szCs w:val="21"/>
                    </w:rPr>
                  </w:pPr>
                  <w:r>
                    <w:rPr>
                      <w:rFonts w:eastAsia="宋体"/>
                      <w:szCs w:val="21"/>
                    </w:rPr>
                    <w:t>项目不使用淘汰的高污染工艺设备。</w:t>
                  </w:r>
                </w:p>
              </w:tc>
              <w:tc>
                <w:tcPr>
                  <w:tcW w:w="435" w:type="pct"/>
                  <w:vAlign w:val="center"/>
                </w:tcPr>
                <w:p w14:paraId="1A5BBC4B">
                  <w:pPr>
                    <w:pStyle w:val="52"/>
                    <w:adjustRightInd w:val="0"/>
                    <w:snapToGrid w:val="0"/>
                    <w:spacing w:line="240" w:lineRule="auto"/>
                    <w:rPr>
                      <w:rFonts w:eastAsia="宋体"/>
                      <w:szCs w:val="21"/>
                    </w:rPr>
                  </w:pPr>
                  <w:r>
                    <w:rPr>
                      <w:rFonts w:eastAsia="宋体"/>
                      <w:szCs w:val="21"/>
                    </w:rPr>
                    <w:t>相符</w:t>
                  </w:r>
                </w:p>
              </w:tc>
            </w:tr>
            <w:tr w14:paraId="11AEE8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54CBC038">
                  <w:pPr>
                    <w:pStyle w:val="52"/>
                    <w:adjustRightInd w:val="0"/>
                    <w:snapToGrid w:val="0"/>
                    <w:spacing w:line="240" w:lineRule="auto"/>
                    <w:rPr>
                      <w:rFonts w:eastAsia="宋体"/>
                      <w:b/>
                      <w:szCs w:val="21"/>
                    </w:rPr>
                  </w:pPr>
                </w:p>
              </w:tc>
              <w:tc>
                <w:tcPr>
                  <w:tcW w:w="1827" w:type="pct"/>
                  <w:vAlign w:val="center"/>
                </w:tcPr>
                <w:p w14:paraId="54061C16">
                  <w:pPr>
                    <w:pStyle w:val="52"/>
                    <w:adjustRightInd w:val="0"/>
                    <w:snapToGrid w:val="0"/>
                    <w:spacing w:line="240" w:lineRule="auto"/>
                    <w:jc w:val="both"/>
                    <w:rPr>
                      <w:rFonts w:eastAsia="宋体"/>
                      <w:szCs w:val="21"/>
                    </w:rPr>
                  </w:pPr>
                  <w:r>
                    <w:rPr>
                      <w:rFonts w:eastAsia="宋体"/>
                      <w:szCs w:val="21"/>
                    </w:rPr>
                    <w:t>企业应当使用资源利用率高、污染物排放量少的工艺、设备，采用最佳实用大气污染控制技术，减少大气污染物的产生。</w:t>
                  </w:r>
                </w:p>
              </w:tc>
              <w:tc>
                <w:tcPr>
                  <w:tcW w:w="1999" w:type="pct"/>
                  <w:vAlign w:val="center"/>
                </w:tcPr>
                <w:p w14:paraId="1DA10ABD">
                  <w:pPr>
                    <w:pStyle w:val="52"/>
                    <w:adjustRightInd w:val="0"/>
                    <w:snapToGrid w:val="0"/>
                    <w:spacing w:line="240" w:lineRule="auto"/>
                    <w:jc w:val="both"/>
                    <w:rPr>
                      <w:rFonts w:eastAsia="宋体"/>
                      <w:szCs w:val="21"/>
                    </w:rPr>
                  </w:pPr>
                  <w:r>
                    <w:rPr>
                      <w:rFonts w:eastAsia="宋体"/>
                      <w:szCs w:val="21"/>
                    </w:rPr>
                    <w:t>项目产生非甲烷总烃收集后经二级活性炭吸附装置处置、硫化氢收集后经碱液喷淋塔+除雾装置+二级活性炭吸附装置处置、颗粒物经滤芯脉冲反吹除尘装置或布袋脉冲反吹除尘装置处置；项目采取废气污染防治措施均为排污许可申请与核发技术规范、工业污染防治可行技术指南中可行性技术，经处理后的大气污染物排放量较少</w:t>
                  </w:r>
                  <w:r>
                    <w:rPr>
                      <w:rFonts w:eastAsia="宋体"/>
                    </w:rPr>
                    <w:t>，满足达标排放要求。</w:t>
                  </w:r>
                </w:p>
              </w:tc>
              <w:tc>
                <w:tcPr>
                  <w:tcW w:w="435" w:type="pct"/>
                  <w:vAlign w:val="center"/>
                </w:tcPr>
                <w:p w14:paraId="3EC5D4CA">
                  <w:pPr>
                    <w:adjustRightInd w:val="0"/>
                    <w:snapToGrid w:val="0"/>
                    <w:jc w:val="center"/>
                    <w:rPr>
                      <w:szCs w:val="21"/>
                    </w:rPr>
                  </w:pPr>
                  <w:r>
                    <w:rPr>
                      <w:szCs w:val="21"/>
                    </w:rPr>
                    <w:t>相符</w:t>
                  </w:r>
                </w:p>
              </w:tc>
            </w:tr>
            <w:tr w14:paraId="39FC61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724A8A9C">
                  <w:pPr>
                    <w:pStyle w:val="52"/>
                    <w:adjustRightInd w:val="0"/>
                    <w:snapToGrid w:val="0"/>
                    <w:spacing w:line="240" w:lineRule="auto"/>
                    <w:rPr>
                      <w:rFonts w:eastAsia="宋体"/>
                      <w:b/>
                      <w:szCs w:val="21"/>
                    </w:rPr>
                  </w:pPr>
                </w:p>
              </w:tc>
              <w:tc>
                <w:tcPr>
                  <w:tcW w:w="1827" w:type="pct"/>
                  <w:vAlign w:val="center"/>
                </w:tcPr>
                <w:p w14:paraId="70AD9939">
                  <w:pPr>
                    <w:pStyle w:val="52"/>
                    <w:adjustRightInd w:val="0"/>
                    <w:snapToGrid w:val="0"/>
                    <w:spacing w:line="240" w:lineRule="auto"/>
                    <w:jc w:val="both"/>
                    <w:rPr>
                      <w:rFonts w:eastAsia="宋体"/>
                      <w:szCs w:val="21"/>
                    </w:rPr>
                  </w:pPr>
                  <w:r>
                    <w:rPr>
                      <w:rFonts w:eastAsia="宋体"/>
                      <w:szCs w:val="21"/>
                    </w:rPr>
                    <w:t>产生挥发性有机物废气的生产经营活动，应当在密闭空间或者设备中进行，并设置废气收集和处理系统等污染防治设施，保持其正常使用。</w:t>
                  </w:r>
                </w:p>
              </w:tc>
              <w:tc>
                <w:tcPr>
                  <w:tcW w:w="1999" w:type="pct"/>
                  <w:vAlign w:val="center"/>
                </w:tcPr>
                <w:p w14:paraId="200886EE">
                  <w:pPr>
                    <w:pStyle w:val="52"/>
                    <w:adjustRightInd w:val="0"/>
                    <w:snapToGrid w:val="0"/>
                    <w:spacing w:line="240" w:lineRule="auto"/>
                    <w:jc w:val="both"/>
                    <w:rPr>
                      <w:rFonts w:eastAsia="宋体"/>
                      <w:szCs w:val="21"/>
                    </w:rPr>
                  </w:pPr>
                  <w:r>
                    <w:rPr>
                      <w:rFonts w:eastAsia="宋体"/>
                      <w:szCs w:val="21"/>
                    </w:rPr>
                    <w:t>项目混炼、密炼、</w:t>
                  </w:r>
                  <w:r>
                    <w:rPr>
                      <w:rFonts w:hint="eastAsia" w:eastAsia="宋体"/>
                      <w:szCs w:val="21"/>
                    </w:rPr>
                    <w:t>返炼</w:t>
                  </w:r>
                  <w:r>
                    <w:rPr>
                      <w:rFonts w:eastAsia="宋体"/>
                      <w:szCs w:val="21"/>
                    </w:rPr>
                    <w:t>、浸涂喷胶等工序产生的非甲烷总烃经集气罩收集后分别经二级活性炭吸附装置处理；挤出、硫化、二次硫化等工序产生的非甲烷总烃、硫化氢经集气罩收集后经碱液喷淋塔+除雾装置+二级活性炭吸附装置处理。运行过程中通过人员定期巡检等确保在生产过程中污染防治设施正常使用。</w:t>
                  </w:r>
                </w:p>
              </w:tc>
              <w:tc>
                <w:tcPr>
                  <w:tcW w:w="435" w:type="pct"/>
                  <w:vAlign w:val="center"/>
                </w:tcPr>
                <w:p w14:paraId="33DF86A0">
                  <w:pPr>
                    <w:adjustRightInd w:val="0"/>
                    <w:snapToGrid w:val="0"/>
                    <w:jc w:val="center"/>
                    <w:rPr>
                      <w:szCs w:val="21"/>
                    </w:rPr>
                  </w:pPr>
                  <w:r>
                    <w:rPr>
                      <w:szCs w:val="21"/>
                    </w:rPr>
                    <w:t>相符</w:t>
                  </w:r>
                </w:p>
              </w:tc>
            </w:tr>
            <w:tr w14:paraId="243DC4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Align w:val="center"/>
                </w:tcPr>
                <w:p w14:paraId="14C9145D">
                  <w:pPr>
                    <w:pStyle w:val="52"/>
                    <w:adjustRightInd w:val="0"/>
                    <w:snapToGrid w:val="0"/>
                    <w:spacing w:line="240" w:lineRule="auto"/>
                    <w:rPr>
                      <w:rFonts w:eastAsia="宋体"/>
                      <w:b/>
                      <w:szCs w:val="21"/>
                    </w:rPr>
                  </w:pPr>
                  <w:r>
                    <w:rPr>
                      <w:rFonts w:eastAsia="宋体"/>
                      <w:b/>
                      <w:szCs w:val="21"/>
                    </w:rPr>
                    <w:t>《江苏省重点行业挥发性有机物污染控制指南》（苏环办</w:t>
                  </w:r>
                  <w:r>
                    <w:rPr>
                      <w:rFonts w:eastAsia="宋体"/>
                      <w:b/>
                      <w:bCs/>
                      <w:szCs w:val="21"/>
                    </w:rPr>
                    <w:t>〔2014〕128号</w:t>
                  </w:r>
                  <w:r>
                    <w:rPr>
                      <w:rFonts w:eastAsia="宋体"/>
                      <w:b/>
                      <w:szCs w:val="21"/>
                    </w:rPr>
                    <w:t>）</w:t>
                  </w:r>
                </w:p>
              </w:tc>
              <w:tc>
                <w:tcPr>
                  <w:tcW w:w="1827" w:type="pct"/>
                  <w:vAlign w:val="center"/>
                </w:tcPr>
                <w:p w14:paraId="24BCD3E6">
                  <w:pPr>
                    <w:pStyle w:val="52"/>
                    <w:adjustRightInd w:val="0"/>
                    <w:snapToGrid w:val="0"/>
                    <w:spacing w:line="240" w:lineRule="auto"/>
                    <w:jc w:val="both"/>
                    <w:rPr>
                      <w:rFonts w:eastAsia="宋体"/>
                      <w:szCs w:val="21"/>
                    </w:rPr>
                  </w:pPr>
                  <w:r>
                    <w:rPr>
                      <w:rFonts w:eastAsia="宋体"/>
                      <w:szCs w:val="21"/>
                    </w:rPr>
                    <w:t>对浓度、性状差异较大的废气应分类收集，并采用适宜的方式进行有效处理，确保VOCs总去除效率满足管理要求，其中有机化工、医药化工、橡胶和塑料制品（有溶剂浸胶工艺）、溶剂型涂料表面涂装、包装印刷业的VOCs总收集、净化处理率均不低于90%，其他行业原则上不低于75%。</w:t>
                  </w:r>
                </w:p>
              </w:tc>
              <w:tc>
                <w:tcPr>
                  <w:tcW w:w="1999" w:type="pct"/>
                  <w:vAlign w:val="center"/>
                </w:tcPr>
                <w:p w14:paraId="3557C06C">
                  <w:pPr>
                    <w:pStyle w:val="52"/>
                    <w:adjustRightInd w:val="0"/>
                    <w:snapToGrid w:val="0"/>
                    <w:spacing w:line="240" w:lineRule="auto"/>
                    <w:jc w:val="both"/>
                    <w:rPr>
                      <w:rFonts w:eastAsia="宋体"/>
                      <w:szCs w:val="21"/>
                    </w:rPr>
                  </w:pPr>
                  <w:r>
                    <w:rPr>
                      <w:rFonts w:eastAsia="宋体"/>
                      <w:szCs w:val="21"/>
                    </w:rPr>
                    <w:t>项目混炼、密炼、</w:t>
                  </w:r>
                  <w:r>
                    <w:rPr>
                      <w:rFonts w:hint="eastAsia" w:eastAsia="宋体"/>
                      <w:szCs w:val="21"/>
                    </w:rPr>
                    <w:t>返炼</w:t>
                  </w:r>
                  <w:r>
                    <w:rPr>
                      <w:rFonts w:eastAsia="宋体"/>
                      <w:szCs w:val="21"/>
                    </w:rPr>
                    <w:t>、浸涂喷胶等工序产生的非甲烷总烃经集气罩收集后分别经二级活性炭吸附装置处理；挤出、硫化、二次硫化等工序产生的非甲烷总烃、硫化氢经集气罩收集后经碱液喷淋塔+除雾装置+二级活性炭吸附装置处理。非甲烷总烃去除效率约90%。</w:t>
                  </w:r>
                </w:p>
              </w:tc>
              <w:tc>
                <w:tcPr>
                  <w:tcW w:w="435" w:type="pct"/>
                  <w:vAlign w:val="center"/>
                </w:tcPr>
                <w:p w14:paraId="44B35E57">
                  <w:pPr>
                    <w:pStyle w:val="52"/>
                    <w:adjustRightInd w:val="0"/>
                    <w:snapToGrid w:val="0"/>
                    <w:spacing w:line="240" w:lineRule="auto"/>
                    <w:rPr>
                      <w:rFonts w:eastAsia="宋体"/>
                      <w:szCs w:val="21"/>
                    </w:rPr>
                  </w:pPr>
                  <w:r>
                    <w:rPr>
                      <w:rFonts w:eastAsia="宋体"/>
                      <w:szCs w:val="21"/>
                    </w:rPr>
                    <w:t>相符</w:t>
                  </w:r>
                </w:p>
              </w:tc>
            </w:tr>
            <w:tr w14:paraId="092C65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restart"/>
                  <w:vAlign w:val="center"/>
                </w:tcPr>
                <w:p w14:paraId="6A52AFC2">
                  <w:pPr>
                    <w:pStyle w:val="52"/>
                    <w:adjustRightInd w:val="0"/>
                    <w:snapToGrid w:val="0"/>
                    <w:spacing w:line="240" w:lineRule="auto"/>
                    <w:rPr>
                      <w:rFonts w:eastAsia="宋体"/>
                      <w:b/>
                      <w:szCs w:val="21"/>
                    </w:rPr>
                  </w:pPr>
                  <w:r>
                    <w:rPr>
                      <w:rFonts w:eastAsia="宋体"/>
                      <w:b/>
                      <w:bCs/>
                      <w:szCs w:val="21"/>
                    </w:rPr>
                    <w:t>《重点行业挥发性有机物综合治理方案》（环大气〔2019〕53号）</w:t>
                  </w:r>
                </w:p>
              </w:tc>
              <w:tc>
                <w:tcPr>
                  <w:tcW w:w="1827" w:type="pct"/>
                  <w:vAlign w:val="center"/>
                </w:tcPr>
                <w:p w14:paraId="0F894985">
                  <w:pPr>
                    <w:pStyle w:val="52"/>
                    <w:adjustRightInd w:val="0"/>
                    <w:snapToGrid w:val="0"/>
                    <w:spacing w:line="240" w:lineRule="auto"/>
                    <w:jc w:val="both"/>
                    <w:rPr>
                      <w:rFonts w:eastAsia="宋体"/>
                      <w:szCs w:val="21"/>
                    </w:rPr>
                  </w:pPr>
                  <w:r>
                    <w:rPr>
                      <w:rFonts w:eastAsia="宋体"/>
                      <w:szCs w:val="21"/>
                    </w:rPr>
                    <w:t>遵循“应收尽收、分质收集”的原则，科学设计废气收集系统，将无组织排放转变为有组织排放进行控制。</w:t>
                  </w:r>
                </w:p>
              </w:tc>
              <w:tc>
                <w:tcPr>
                  <w:tcW w:w="1999" w:type="pct"/>
                  <w:vAlign w:val="center"/>
                </w:tcPr>
                <w:p w14:paraId="04C27C94">
                  <w:pPr>
                    <w:pStyle w:val="52"/>
                    <w:adjustRightInd w:val="0"/>
                    <w:snapToGrid w:val="0"/>
                    <w:spacing w:line="240" w:lineRule="auto"/>
                    <w:jc w:val="both"/>
                    <w:rPr>
                      <w:rFonts w:eastAsia="宋体"/>
                      <w:szCs w:val="21"/>
                    </w:rPr>
                  </w:pPr>
                  <w:r>
                    <w:rPr>
                      <w:rFonts w:eastAsia="宋体"/>
                      <w:szCs w:val="21"/>
                    </w:rPr>
                    <w:t>项目废气按照“应收尽收、分质收集”原则进行收集后根据废气属性及产生情况采用可行性处置方式处理后达标排放，</w:t>
                  </w:r>
                  <w:bookmarkStart w:id="4" w:name="OLE_LINK158"/>
                  <w:bookmarkStart w:id="5" w:name="OLE_LINK157"/>
                  <w:r>
                    <w:rPr>
                      <w:rFonts w:hint="eastAsia" w:eastAsia="宋体"/>
                      <w:szCs w:val="21"/>
                    </w:rPr>
                    <w:t>1#车间的</w:t>
                  </w:r>
                  <w:r>
                    <w:rPr>
                      <w:rFonts w:eastAsia="宋体"/>
                      <w:szCs w:val="21"/>
                    </w:rPr>
                    <w:t>挤出、硫化、二次硫化废气</w:t>
                  </w:r>
                  <w:r>
                    <w:rPr>
                      <w:rFonts w:hint="eastAsia" w:eastAsia="宋体"/>
                      <w:szCs w:val="21"/>
                    </w:rPr>
                    <w:t>分别</w:t>
                  </w:r>
                  <w:r>
                    <w:rPr>
                      <w:rFonts w:eastAsia="宋体"/>
                      <w:szCs w:val="21"/>
                    </w:rPr>
                    <w:t>经碱喷淋+除雾装置+二级活性炭吸附装置处理后</w:t>
                  </w:r>
                  <w:r>
                    <w:rPr>
                      <w:rFonts w:hint="eastAsia" w:eastAsia="宋体"/>
                      <w:szCs w:val="21"/>
                    </w:rPr>
                    <w:t>汇总</w:t>
                  </w:r>
                  <w:r>
                    <w:rPr>
                      <w:rFonts w:eastAsia="宋体"/>
                      <w:szCs w:val="21"/>
                    </w:rPr>
                    <w:t>经15m高1#排气筒排放</w:t>
                  </w:r>
                  <w:r>
                    <w:rPr>
                      <w:rFonts w:hint="eastAsia" w:eastAsia="宋体"/>
                      <w:szCs w:val="21"/>
                    </w:rPr>
                    <w:t>；4#车间的</w:t>
                  </w:r>
                  <w:r>
                    <w:rPr>
                      <w:rFonts w:eastAsia="宋体"/>
                      <w:szCs w:val="21"/>
                    </w:rPr>
                    <w:t>硫化、二次硫化废气</w:t>
                  </w:r>
                  <w:r>
                    <w:rPr>
                      <w:rFonts w:hint="eastAsia" w:eastAsia="宋体"/>
                      <w:szCs w:val="21"/>
                    </w:rPr>
                    <w:t>分别</w:t>
                  </w:r>
                  <w:r>
                    <w:rPr>
                      <w:rFonts w:eastAsia="宋体"/>
                      <w:szCs w:val="21"/>
                    </w:rPr>
                    <w:t>经碱喷淋+除雾装置+二级活性炭吸附装置处理后</w:t>
                  </w:r>
                  <w:r>
                    <w:rPr>
                      <w:rFonts w:hint="eastAsia" w:eastAsia="宋体"/>
                      <w:szCs w:val="21"/>
                    </w:rPr>
                    <w:t>汇总</w:t>
                  </w:r>
                  <w:r>
                    <w:rPr>
                      <w:rFonts w:eastAsia="宋体"/>
                      <w:szCs w:val="21"/>
                    </w:rPr>
                    <w:t>经15m高3#排气筒排放；抛丸/喷砂粉尘经各自配套的滤芯脉冲反吹除尘装置处理后，合并至一根15m高5#排气筒排放；配料、密炼、混炼、返炼</w:t>
                  </w:r>
                  <w:r>
                    <w:rPr>
                      <w:rFonts w:hint="eastAsia" w:eastAsia="宋体"/>
                      <w:szCs w:val="21"/>
                    </w:rPr>
                    <w:t>、挤出</w:t>
                  </w:r>
                  <w:r>
                    <w:rPr>
                      <w:rFonts w:eastAsia="宋体"/>
                      <w:szCs w:val="21"/>
                    </w:rPr>
                    <w:t>废气经收集后</w:t>
                  </w:r>
                  <w:r>
                    <w:rPr>
                      <w:rFonts w:hint="eastAsia" w:eastAsia="宋体"/>
                      <w:szCs w:val="21"/>
                    </w:rPr>
                    <w:t>分别</w:t>
                  </w:r>
                  <w:r>
                    <w:rPr>
                      <w:rFonts w:eastAsia="宋体"/>
                      <w:szCs w:val="21"/>
                    </w:rPr>
                    <w:t>经布袋集尘脉冲反吹除尘装置+二级活性炭吸附装置处理后分别经15m高8#排气筒排放；喷、浸、涂胶废气及干燥废气经二级活性炭吸附装置处理后，经15m高</w:t>
                  </w:r>
                  <w:r>
                    <w:rPr>
                      <w:rFonts w:hint="eastAsia" w:eastAsia="宋体"/>
                      <w:szCs w:val="21"/>
                    </w:rPr>
                    <w:t>6</w:t>
                  </w:r>
                  <w:r>
                    <w:rPr>
                      <w:rFonts w:eastAsia="宋体"/>
                      <w:szCs w:val="21"/>
                    </w:rPr>
                    <w:t>#排气筒排放</w:t>
                  </w:r>
                  <w:r>
                    <w:rPr>
                      <w:rFonts w:hint="eastAsia" w:eastAsia="宋体"/>
                      <w:szCs w:val="21"/>
                    </w:rPr>
                    <w:t>；现有项目：配料粉尘、密炼粉尘、混炼废气、返炼废气这四股废气经过各自的捕集装置后进布袋除尘器+二级活性炭吸附装置处理后，经15m高2#排气筒排放；配料粉尘、密炼粉尘、混炼废气、返炼废气、挤出废气这五股废气经过各自的捕集装置后进布袋除尘器+二级活性炭吸附装置处理后，经15m高7#排气筒排放；电泳后烘干废气经管道抽送至二级活性炭吸附装置处理后，经</w:t>
                  </w:r>
                  <w:r>
                    <w:rPr>
                      <w:rFonts w:eastAsia="宋体"/>
                      <w:szCs w:val="21"/>
                    </w:rPr>
                    <w:t>15m</w:t>
                  </w:r>
                  <w:r>
                    <w:rPr>
                      <w:rFonts w:hint="eastAsia" w:eastAsia="宋体"/>
                      <w:szCs w:val="21"/>
                    </w:rPr>
                    <w:t>高</w:t>
                  </w:r>
                  <w:r>
                    <w:rPr>
                      <w:rFonts w:eastAsia="宋体"/>
                      <w:szCs w:val="21"/>
                    </w:rPr>
                    <w:t>9#</w:t>
                  </w:r>
                  <w:r>
                    <w:rPr>
                      <w:rFonts w:hint="eastAsia" w:eastAsia="宋体"/>
                      <w:szCs w:val="21"/>
                    </w:rPr>
                    <w:t>排气筒排放。。</w:t>
                  </w:r>
                  <w:r>
                    <w:rPr>
                      <w:rFonts w:eastAsia="宋体"/>
                      <w:szCs w:val="21"/>
                    </w:rPr>
                    <w:t>处理后废气排放量较低，可有效降低无组织排放量。</w:t>
                  </w:r>
                  <w:bookmarkEnd w:id="4"/>
                  <w:bookmarkEnd w:id="5"/>
                </w:p>
              </w:tc>
              <w:tc>
                <w:tcPr>
                  <w:tcW w:w="435" w:type="pct"/>
                  <w:vAlign w:val="center"/>
                </w:tcPr>
                <w:p w14:paraId="7E435DBC">
                  <w:pPr>
                    <w:pStyle w:val="52"/>
                    <w:adjustRightInd w:val="0"/>
                    <w:snapToGrid w:val="0"/>
                    <w:spacing w:line="240" w:lineRule="auto"/>
                    <w:rPr>
                      <w:rFonts w:eastAsia="宋体"/>
                      <w:szCs w:val="21"/>
                    </w:rPr>
                  </w:pPr>
                  <w:r>
                    <w:rPr>
                      <w:rFonts w:eastAsia="宋体"/>
                      <w:szCs w:val="21"/>
                    </w:rPr>
                    <w:t>相符</w:t>
                  </w:r>
                </w:p>
              </w:tc>
            </w:tr>
            <w:tr w14:paraId="43AA9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441C7CDE">
                  <w:pPr>
                    <w:pStyle w:val="52"/>
                    <w:adjustRightInd w:val="0"/>
                    <w:snapToGrid w:val="0"/>
                    <w:spacing w:line="240" w:lineRule="auto"/>
                    <w:rPr>
                      <w:rFonts w:eastAsia="宋体"/>
                      <w:b/>
                      <w:bCs/>
                      <w:szCs w:val="21"/>
                    </w:rPr>
                  </w:pPr>
                </w:p>
              </w:tc>
              <w:tc>
                <w:tcPr>
                  <w:tcW w:w="1827" w:type="pct"/>
                  <w:vAlign w:val="center"/>
                </w:tcPr>
                <w:p w14:paraId="02C6CFB7">
                  <w:pPr>
                    <w:pStyle w:val="52"/>
                    <w:adjustRightInd w:val="0"/>
                    <w:snapToGrid w:val="0"/>
                    <w:spacing w:line="240" w:lineRule="auto"/>
                    <w:jc w:val="both"/>
                    <w:rPr>
                      <w:rFonts w:eastAsia="宋体"/>
                      <w:szCs w:val="21"/>
                    </w:rPr>
                  </w:pPr>
                  <w:r>
                    <w:rPr>
                      <w:rFonts w:eastAsia="宋体"/>
                      <w:szCs w:val="21"/>
                    </w:rPr>
                    <w:t>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1999" w:type="pct"/>
                  <w:vMerge w:val="restart"/>
                  <w:vAlign w:val="center"/>
                </w:tcPr>
                <w:p w14:paraId="7A2617D3">
                  <w:pPr>
                    <w:pStyle w:val="52"/>
                    <w:adjustRightInd w:val="0"/>
                    <w:snapToGrid w:val="0"/>
                    <w:spacing w:line="240" w:lineRule="auto"/>
                    <w:jc w:val="both"/>
                    <w:rPr>
                      <w:rFonts w:eastAsia="宋体"/>
                      <w:szCs w:val="21"/>
                    </w:rPr>
                  </w:pPr>
                  <w:r>
                    <w:rPr>
                      <w:rFonts w:eastAsia="宋体"/>
                      <w:szCs w:val="21"/>
                    </w:rPr>
                    <w:t>扩建项目橡胶零部件生产中涉及使用</w:t>
                  </w:r>
                  <w:r>
                    <w:rPr>
                      <w:rFonts w:hint="eastAsia" w:eastAsia="宋体"/>
                      <w:szCs w:val="21"/>
                    </w:rPr>
                    <w:t>水性胶粘剂</w:t>
                  </w:r>
                  <w:r>
                    <w:rPr>
                      <w:rFonts w:eastAsia="宋体"/>
                      <w:szCs w:val="21"/>
                    </w:rPr>
                    <w:t>将金属件与橡胶件胶合在一起、使用水性清洗剂对模具进行清洗，根据厂家提供</w:t>
                  </w:r>
                  <w:r>
                    <w:rPr>
                      <w:rFonts w:hint="eastAsia" w:eastAsia="宋体"/>
                      <w:szCs w:val="21"/>
                    </w:rPr>
                    <w:t>胶粘</w:t>
                  </w:r>
                  <w:r>
                    <w:rPr>
                      <w:rFonts w:eastAsia="宋体"/>
                      <w:szCs w:val="21"/>
                    </w:rPr>
                    <w:t>剂VOC检测报告</w:t>
                  </w:r>
                  <w:r>
                    <w:rPr>
                      <w:rFonts w:hint="eastAsia" w:eastAsia="宋体"/>
                      <w:szCs w:val="21"/>
                    </w:rPr>
                    <w:t>（A2250505511101001C）</w:t>
                  </w:r>
                  <w:r>
                    <w:rPr>
                      <w:rFonts w:eastAsia="宋体"/>
                      <w:szCs w:val="21"/>
                    </w:rPr>
                    <w:t>，</w:t>
                  </w:r>
                  <w:r>
                    <w:rPr>
                      <w:rFonts w:hint="eastAsia" w:eastAsia="宋体"/>
                      <w:szCs w:val="21"/>
                    </w:rPr>
                    <w:t>胶粘</w:t>
                  </w:r>
                  <w:r>
                    <w:rPr>
                      <w:rFonts w:eastAsia="宋体"/>
                      <w:szCs w:val="21"/>
                    </w:rPr>
                    <w:t>剂中VOC含量为</w:t>
                  </w:r>
                  <w:r>
                    <w:rPr>
                      <w:rFonts w:hint="eastAsia" w:eastAsia="宋体"/>
                      <w:szCs w:val="21"/>
                    </w:rPr>
                    <w:t>ND（未检出）</w:t>
                  </w:r>
                  <w:r>
                    <w:rPr>
                      <w:rFonts w:eastAsia="宋体"/>
                      <w:szCs w:val="21"/>
                    </w:rPr>
                    <w:t>，能够满足《胶粘剂挥发性有机化合物限量》（GB33372-2020）中要求限值，即</w:t>
                  </w:r>
                  <w:r>
                    <w:rPr>
                      <w:rFonts w:eastAsia="宋体"/>
                    </w:rPr>
                    <w:t>水基型</w:t>
                  </w:r>
                  <w:r>
                    <w:rPr>
                      <w:rFonts w:eastAsia="宋体"/>
                      <w:szCs w:val="21"/>
                    </w:rPr>
                    <w:t>胶粘剂VOC含量≤</w:t>
                  </w:r>
                  <w:r>
                    <w:rPr>
                      <w:rFonts w:hint="eastAsia" w:eastAsia="宋体"/>
                      <w:szCs w:val="21"/>
                    </w:rPr>
                    <w:t>50</w:t>
                  </w:r>
                  <w:r>
                    <w:rPr>
                      <w:rFonts w:eastAsia="宋体"/>
                      <w:szCs w:val="21"/>
                    </w:rPr>
                    <w:t>g/L；根据厂家提供水性清洗剂MSDS中物质成分，该清洗剂为碱性清洗剂，无挥发物质。</w:t>
                  </w:r>
                </w:p>
              </w:tc>
              <w:tc>
                <w:tcPr>
                  <w:tcW w:w="435" w:type="pct"/>
                  <w:vAlign w:val="center"/>
                </w:tcPr>
                <w:p w14:paraId="5212F0D5">
                  <w:pPr>
                    <w:pStyle w:val="52"/>
                    <w:adjustRightInd w:val="0"/>
                    <w:snapToGrid w:val="0"/>
                    <w:spacing w:line="240" w:lineRule="auto"/>
                    <w:rPr>
                      <w:rFonts w:eastAsia="宋体"/>
                      <w:szCs w:val="21"/>
                    </w:rPr>
                  </w:pPr>
                  <w:r>
                    <w:rPr>
                      <w:rFonts w:eastAsia="宋体"/>
                      <w:szCs w:val="21"/>
                    </w:rPr>
                    <w:t>相符</w:t>
                  </w:r>
                </w:p>
              </w:tc>
            </w:tr>
            <w:tr w14:paraId="319F5B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restart"/>
                  <w:vAlign w:val="center"/>
                </w:tcPr>
                <w:p w14:paraId="2BEAEDFA">
                  <w:pPr>
                    <w:pStyle w:val="52"/>
                    <w:adjustRightInd w:val="0"/>
                    <w:snapToGrid w:val="0"/>
                    <w:spacing w:line="240" w:lineRule="auto"/>
                    <w:rPr>
                      <w:rFonts w:eastAsia="宋体"/>
                      <w:b/>
                      <w:bCs/>
                      <w:szCs w:val="21"/>
                    </w:rPr>
                  </w:pPr>
                  <w:r>
                    <w:rPr>
                      <w:rFonts w:eastAsia="宋体"/>
                      <w:b/>
                      <w:bCs/>
                      <w:szCs w:val="21"/>
                    </w:rPr>
                    <w:t>《江苏省挥发性有机物清洁原料替代工作方案》（苏大气办〔2021〕2号）</w:t>
                  </w:r>
                </w:p>
              </w:tc>
              <w:tc>
                <w:tcPr>
                  <w:tcW w:w="1827" w:type="pct"/>
                  <w:vAlign w:val="center"/>
                </w:tcPr>
                <w:p w14:paraId="57D8E0C0">
                  <w:pPr>
                    <w:pStyle w:val="52"/>
                    <w:adjustRightInd w:val="0"/>
                    <w:snapToGrid w:val="0"/>
                    <w:spacing w:line="240" w:lineRule="auto"/>
                    <w:jc w:val="both"/>
                    <w:rPr>
                      <w:rFonts w:eastAsia="宋体"/>
                      <w:szCs w:val="21"/>
                    </w:rPr>
                  </w:pPr>
                  <w:r>
                    <w:rPr>
                      <w:rFonts w:eastAsia="宋体"/>
                      <w:szCs w:val="21"/>
                    </w:rPr>
                    <w:t>企业使用涂料、油墨、清洗剂、胶黏剂等产品应符合相关标准中VOCs含量的限值要求。</w:t>
                  </w:r>
                </w:p>
              </w:tc>
              <w:tc>
                <w:tcPr>
                  <w:tcW w:w="1999" w:type="pct"/>
                  <w:vMerge w:val="continue"/>
                  <w:vAlign w:val="center"/>
                </w:tcPr>
                <w:p w14:paraId="7B57EDAA">
                  <w:pPr>
                    <w:pStyle w:val="52"/>
                    <w:adjustRightInd w:val="0"/>
                    <w:snapToGrid w:val="0"/>
                    <w:spacing w:line="240" w:lineRule="auto"/>
                    <w:jc w:val="both"/>
                    <w:rPr>
                      <w:rFonts w:eastAsia="宋体"/>
                      <w:szCs w:val="21"/>
                    </w:rPr>
                  </w:pPr>
                </w:p>
              </w:tc>
              <w:tc>
                <w:tcPr>
                  <w:tcW w:w="435" w:type="pct"/>
                  <w:vAlign w:val="center"/>
                </w:tcPr>
                <w:p w14:paraId="3452A7FC">
                  <w:pPr>
                    <w:pStyle w:val="52"/>
                    <w:adjustRightInd w:val="0"/>
                    <w:snapToGrid w:val="0"/>
                    <w:spacing w:line="240" w:lineRule="auto"/>
                    <w:rPr>
                      <w:rFonts w:eastAsia="宋体"/>
                      <w:szCs w:val="21"/>
                    </w:rPr>
                  </w:pPr>
                  <w:r>
                    <w:rPr>
                      <w:rFonts w:eastAsia="宋体"/>
                      <w:szCs w:val="21"/>
                    </w:rPr>
                    <w:t>相符</w:t>
                  </w:r>
                </w:p>
              </w:tc>
            </w:tr>
            <w:tr w14:paraId="582040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261F32A6">
                  <w:pPr>
                    <w:pStyle w:val="52"/>
                    <w:adjustRightInd w:val="0"/>
                    <w:snapToGrid w:val="0"/>
                    <w:spacing w:line="240" w:lineRule="auto"/>
                    <w:rPr>
                      <w:rFonts w:eastAsia="宋体"/>
                      <w:b/>
                      <w:bCs/>
                      <w:szCs w:val="21"/>
                    </w:rPr>
                  </w:pPr>
                </w:p>
              </w:tc>
              <w:tc>
                <w:tcPr>
                  <w:tcW w:w="1827" w:type="pct"/>
                  <w:vAlign w:val="center"/>
                </w:tcPr>
                <w:p w14:paraId="0CACF224">
                  <w:pPr>
                    <w:pStyle w:val="52"/>
                    <w:adjustRightInd w:val="0"/>
                    <w:snapToGrid w:val="0"/>
                    <w:spacing w:line="240" w:lineRule="auto"/>
                    <w:jc w:val="both"/>
                    <w:rPr>
                      <w:rFonts w:eastAsia="宋体"/>
                      <w:szCs w:val="21"/>
                    </w:rPr>
                  </w:pPr>
                  <w:r>
                    <w:rPr>
                      <w:rFonts w:eastAsia="宋体"/>
                      <w:szCs w:val="21"/>
                    </w:rPr>
                    <w:t>禁止建设生产和使用高VOCs含量的涂料、油墨、胶黏剂等项目。</w:t>
                  </w:r>
                </w:p>
              </w:tc>
              <w:tc>
                <w:tcPr>
                  <w:tcW w:w="1999" w:type="pct"/>
                  <w:vMerge w:val="continue"/>
                  <w:vAlign w:val="center"/>
                </w:tcPr>
                <w:p w14:paraId="2895C761">
                  <w:pPr>
                    <w:pStyle w:val="52"/>
                    <w:adjustRightInd w:val="0"/>
                    <w:snapToGrid w:val="0"/>
                    <w:spacing w:line="240" w:lineRule="auto"/>
                    <w:jc w:val="both"/>
                    <w:rPr>
                      <w:rFonts w:eastAsia="宋体"/>
                      <w:szCs w:val="21"/>
                    </w:rPr>
                  </w:pPr>
                </w:p>
              </w:tc>
              <w:tc>
                <w:tcPr>
                  <w:tcW w:w="435" w:type="pct"/>
                  <w:vAlign w:val="center"/>
                </w:tcPr>
                <w:p w14:paraId="5ED10BD5">
                  <w:pPr>
                    <w:adjustRightInd w:val="0"/>
                    <w:snapToGrid w:val="0"/>
                    <w:jc w:val="center"/>
                    <w:rPr>
                      <w:szCs w:val="21"/>
                    </w:rPr>
                  </w:pPr>
                  <w:r>
                    <w:rPr>
                      <w:szCs w:val="21"/>
                    </w:rPr>
                    <w:t>相符</w:t>
                  </w:r>
                </w:p>
              </w:tc>
            </w:tr>
            <w:tr w14:paraId="75C856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restart"/>
                  <w:vAlign w:val="center"/>
                </w:tcPr>
                <w:p w14:paraId="3DE49833">
                  <w:pPr>
                    <w:pStyle w:val="52"/>
                    <w:adjustRightInd w:val="0"/>
                    <w:snapToGrid w:val="0"/>
                    <w:spacing w:line="240" w:lineRule="auto"/>
                    <w:rPr>
                      <w:rFonts w:eastAsia="宋体"/>
                      <w:b/>
                      <w:bCs/>
                      <w:szCs w:val="21"/>
                    </w:rPr>
                  </w:pPr>
                  <w:r>
                    <w:rPr>
                      <w:rFonts w:eastAsia="宋体"/>
                      <w:b/>
                      <w:bCs/>
                      <w:szCs w:val="21"/>
                    </w:rPr>
                    <w:t>《关于印发常州市挥发性有机物清洁原料替代工作方案的通知》（常污防攻坚指办〔2021〕32号）</w:t>
                  </w:r>
                </w:p>
              </w:tc>
              <w:tc>
                <w:tcPr>
                  <w:tcW w:w="1827" w:type="pct"/>
                  <w:vAlign w:val="center"/>
                </w:tcPr>
                <w:p w14:paraId="69CE01CE">
                  <w:pPr>
                    <w:pStyle w:val="52"/>
                    <w:adjustRightInd w:val="0"/>
                    <w:snapToGrid w:val="0"/>
                    <w:spacing w:line="240" w:lineRule="auto"/>
                    <w:jc w:val="both"/>
                    <w:rPr>
                      <w:rFonts w:eastAsia="宋体"/>
                      <w:szCs w:val="21"/>
                    </w:rPr>
                  </w:pPr>
                  <w:r>
                    <w:rPr>
                      <w:rFonts w:eastAsia="宋体"/>
                      <w:szCs w:val="21"/>
                    </w:rPr>
                    <w:t>企业使用涂料、油墨、清洗剂、胶黏剂等产品应符合相关标准中VOCs含量的限值要求。</w:t>
                  </w:r>
                </w:p>
              </w:tc>
              <w:tc>
                <w:tcPr>
                  <w:tcW w:w="1999" w:type="pct"/>
                  <w:vMerge w:val="continue"/>
                  <w:vAlign w:val="center"/>
                </w:tcPr>
                <w:p w14:paraId="70865B95">
                  <w:pPr>
                    <w:pStyle w:val="52"/>
                    <w:adjustRightInd w:val="0"/>
                    <w:snapToGrid w:val="0"/>
                    <w:spacing w:line="240" w:lineRule="auto"/>
                    <w:jc w:val="both"/>
                    <w:rPr>
                      <w:rFonts w:eastAsia="宋体"/>
                      <w:szCs w:val="21"/>
                    </w:rPr>
                  </w:pPr>
                </w:p>
              </w:tc>
              <w:tc>
                <w:tcPr>
                  <w:tcW w:w="435" w:type="pct"/>
                  <w:vAlign w:val="center"/>
                </w:tcPr>
                <w:p w14:paraId="5D3C72E8">
                  <w:pPr>
                    <w:adjustRightInd w:val="0"/>
                    <w:snapToGrid w:val="0"/>
                    <w:jc w:val="center"/>
                    <w:rPr>
                      <w:szCs w:val="21"/>
                    </w:rPr>
                  </w:pPr>
                  <w:r>
                    <w:rPr>
                      <w:szCs w:val="21"/>
                    </w:rPr>
                    <w:t>相符</w:t>
                  </w:r>
                </w:p>
              </w:tc>
            </w:tr>
            <w:tr w14:paraId="3FE79F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474A6C13">
                  <w:pPr>
                    <w:pStyle w:val="52"/>
                    <w:adjustRightInd w:val="0"/>
                    <w:snapToGrid w:val="0"/>
                    <w:spacing w:line="240" w:lineRule="auto"/>
                    <w:rPr>
                      <w:rFonts w:eastAsia="宋体"/>
                      <w:b/>
                      <w:bCs/>
                      <w:szCs w:val="21"/>
                    </w:rPr>
                  </w:pPr>
                </w:p>
              </w:tc>
              <w:tc>
                <w:tcPr>
                  <w:tcW w:w="1827" w:type="pct"/>
                  <w:vAlign w:val="center"/>
                </w:tcPr>
                <w:p w14:paraId="12094C49">
                  <w:pPr>
                    <w:pStyle w:val="52"/>
                    <w:adjustRightInd w:val="0"/>
                    <w:snapToGrid w:val="0"/>
                    <w:spacing w:line="240" w:lineRule="auto"/>
                    <w:jc w:val="both"/>
                    <w:rPr>
                      <w:rFonts w:eastAsia="宋体"/>
                      <w:szCs w:val="21"/>
                    </w:rPr>
                  </w:pPr>
                  <w:r>
                    <w:rPr>
                      <w:rFonts w:eastAsia="宋体"/>
                      <w:szCs w:val="21"/>
                    </w:rPr>
                    <w:t>禁止建设生产和使用高VOCs含量的涂料、油墨、胶黏剂等项目。</w:t>
                  </w:r>
                </w:p>
              </w:tc>
              <w:tc>
                <w:tcPr>
                  <w:tcW w:w="1999" w:type="pct"/>
                  <w:vMerge w:val="continue"/>
                  <w:vAlign w:val="center"/>
                </w:tcPr>
                <w:p w14:paraId="6B1BDAF0">
                  <w:pPr>
                    <w:pStyle w:val="52"/>
                    <w:adjustRightInd w:val="0"/>
                    <w:snapToGrid w:val="0"/>
                    <w:spacing w:line="240" w:lineRule="auto"/>
                    <w:jc w:val="both"/>
                    <w:rPr>
                      <w:rFonts w:eastAsia="宋体"/>
                      <w:szCs w:val="21"/>
                    </w:rPr>
                  </w:pPr>
                </w:p>
              </w:tc>
              <w:tc>
                <w:tcPr>
                  <w:tcW w:w="435" w:type="pct"/>
                  <w:vAlign w:val="center"/>
                </w:tcPr>
                <w:p w14:paraId="4675D8CB">
                  <w:pPr>
                    <w:adjustRightInd w:val="0"/>
                    <w:snapToGrid w:val="0"/>
                    <w:jc w:val="center"/>
                    <w:rPr>
                      <w:szCs w:val="21"/>
                    </w:rPr>
                  </w:pPr>
                  <w:r>
                    <w:rPr>
                      <w:szCs w:val="21"/>
                    </w:rPr>
                    <w:t>相符</w:t>
                  </w:r>
                </w:p>
              </w:tc>
            </w:tr>
            <w:tr w14:paraId="15EFB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restart"/>
                  <w:vAlign w:val="center"/>
                </w:tcPr>
                <w:p w14:paraId="44957AC4">
                  <w:pPr>
                    <w:pStyle w:val="52"/>
                    <w:adjustRightInd w:val="0"/>
                    <w:snapToGrid w:val="0"/>
                    <w:spacing w:line="240" w:lineRule="auto"/>
                    <w:rPr>
                      <w:rFonts w:eastAsia="宋体"/>
                      <w:b/>
                      <w:bCs/>
                      <w:szCs w:val="21"/>
                    </w:rPr>
                  </w:pPr>
                  <w:r>
                    <w:rPr>
                      <w:rFonts w:eastAsia="宋体"/>
                      <w:b/>
                      <w:bCs/>
                      <w:szCs w:val="21"/>
                    </w:rPr>
                    <w:t>《2023年常州市生态文明建设工作方案》（常政发〔2023〕23号）</w:t>
                  </w:r>
                </w:p>
              </w:tc>
              <w:tc>
                <w:tcPr>
                  <w:tcW w:w="1827" w:type="pct"/>
                  <w:vAlign w:val="center"/>
                </w:tcPr>
                <w:p w14:paraId="66F06482">
                  <w:pPr>
                    <w:pStyle w:val="52"/>
                    <w:adjustRightInd w:val="0"/>
                    <w:snapToGrid w:val="0"/>
                    <w:spacing w:line="240" w:lineRule="auto"/>
                    <w:jc w:val="both"/>
                    <w:rPr>
                      <w:rFonts w:eastAsia="宋体"/>
                      <w:szCs w:val="21"/>
                    </w:rPr>
                  </w:pPr>
                  <w:r>
                    <w:rPr>
                      <w:rFonts w:eastAsia="宋体"/>
                      <w:szCs w:val="21"/>
                    </w:rPr>
                    <w:t>按《江苏省挥发性有机物清洁原料替代工作方案》要求，其他行业，重点对使用溶剂型原辅材料、污染治理设施低效的企业强化清洁原料替代。</w:t>
                  </w:r>
                </w:p>
              </w:tc>
              <w:tc>
                <w:tcPr>
                  <w:tcW w:w="1999" w:type="pct"/>
                  <w:vMerge w:val="continue"/>
                  <w:vAlign w:val="center"/>
                </w:tcPr>
                <w:p w14:paraId="6614A6B7">
                  <w:pPr>
                    <w:pStyle w:val="52"/>
                    <w:adjustRightInd w:val="0"/>
                    <w:snapToGrid w:val="0"/>
                    <w:spacing w:line="240" w:lineRule="auto"/>
                    <w:jc w:val="both"/>
                    <w:rPr>
                      <w:rFonts w:eastAsia="宋体"/>
                      <w:szCs w:val="21"/>
                    </w:rPr>
                  </w:pPr>
                </w:p>
              </w:tc>
              <w:tc>
                <w:tcPr>
                  <w:tcW w:w="435" w:type="pct"/>
                  <w:vAlign w:val="center"/>
                </w:tcPr>
                <w:p w14:paraId="23BACE55">
                  <w:pPr>
                    <w:pStyle w:val="52"/>
                    <w:adjustRightInd w:val="0"/>
                    <w:snapToGrid w:val="0"/>
                    <w:spacing w:line="240" w:lineRule="auto"/>
                    <w:rPr>
                      <w:rFonts w:eastAsia="宋体"/>
                      <w:szCs w:val="21"/>
                    </w:rPr>
                  </w:pPr>
                  <w:r>
                    <w:rPr>
                      <w:rFonts w:eastAsia="宋体"/>
                      <w:szCs w:val="21"/>
                    </w:rPr>
                    <w:t>相符</w:t>
                  </w:r>
                </w:p>
              </w:tc>
            </w:tr>
            <w:tr w14:paraId="468759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7A1D0D05">
                  <w:pPr>
                    <w:pStyle w:val="52"/>
                    <w:adjustRightInd w:val="0"/>
                    <w:snapToGrid w:val="0"/>
                    <w:spacing w:line="240" w:lineRule="auto"/>
                    <w:rPr>
                      <w:rFonts w:eastAsia="宋体"/>
                      <w:b/>
                      <w:bCs/>
                      <w:szCs w:val="21"/>
                    </w:rPr>
                  </w:pPr>
                </w:p>
              </w:tc>
              <w:tc>
                <w:tcPr>
                  <w:tcW w:w="1827" w:type="pct"/>
                  <w:vAlign w:val="center"/>
                </w:tcPr>
                <w:p w14:paraId="3D72B785">
                  <w:pPr>
                    <w:pStyle w:val="52"/>
                    <w:adjustRightInd w:val="0"/>
                    <w:snapToGrid w:val="0"/>
                    <w:spacing w:line="240" w:lineRule="auto"/>
                    <w:jc w:val="both"/>
                    <w:rPr>
                      <w:rFonts w:eastAsia="宋体"/>
                      <w:szCs w:val="21"/>
                    </w:rPr>
                  </w:pPr>
                  <w:r>
                    <w:rPr>
                      <w:rFonts w:eastAsia="宋体"/>
                      <w:szCs w:val="21"/>
                    </w:rPr>
                    <w:t>完善危险废物全生命周期监控系统，严厉打击危险废物非法转移处置倾倒等违法犯罪行为。</w:t>
                  </w:r>
                </w:p>
              </w:tc>
              <w:tc>
                <w:tcPr>
                  <w:tcW w:w="1999" w:type="pct"/>
                  <w:vAlign w:val="center"/>
                </w:tcPr>
                <w:p w14:paraId="744D8FCE">
                  <w:pPr>
                    <w:pStyle w:val="52"/>
                    <w:adjustRightInd w:val="0"/>
                    <w:snapToGrid w:val="0"/>
                    <w:spacing w:line="240" w:lineRule="auto"/>
                    <w:jc w:val="both"/>
                    <w:rPr>
                      <w:rFonts w:eastAsia="宋体"/>
                      <w:szCs w:val="21"/>
                    </w:rPr>
                  </w:pPr>
                  <w:r>
                    <w:rPr>
                      <w:rFonts w:eastAsia="宋体"/>
                      <w:szCs w:val="21"/>
                    </w:rPr>
                    <w:t>项目产生的危险废物均收集后暂存于危险废物仓库，定期委托有资质单位处置。</w:t>
                  </w:r>
                </w:p>
              </w:tc>
              <w:tc>
                <w:tcPr>
                  <w:tcW w:w="435" w:type="pct"/>
                  <w:vAlign w:val="center"/>
                </w:tcPr>
                <w:p w14:paraId="57874709">
                  <w:pPr>
                    <w:pStyle w:val="52"/>
                    <w:adjustRightInd w:val="0"/>
                    <w:snapToGrid w:val="0"/>
                    <w:spacing w:line="240" w:lineRule="auto"/>
                    <w:rPr>
                      <w:rFonts w:eastAsia="宋体"/>
                      <w:szCs w:val="21"/>
                    </w:rPr>
                  </w:pPr>
                  <w:r>
                    <w:rPr>
                      <w:rFonts w:eastAsia="宋体"/>
                      <w:szCs w:val="21"/>
                    </w:rPr>
                    <w:t>相符</w:t>
                  </w:r>
                </w:p>
              </w:tc>
            </w:tr>
            <w:tr w14:paraId="529432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restart"/>
                  <w:vAlign w:val="center"/>
                </w:tcPr>
                <w:p w14:paraId="0D911D76">
                  <w:pPr>
                    <w:pStyle w:val="52"/>
                    <w:adjustRightInd w:val="0"/>
                    <w:snapToGrid w:val="0"/>
                    <w:spacing w:line="240" w:lineRule="auto"/>
                    <w:rPr>
                      <w:rFonts w:eastAsia="宋体"/>
                      <w:b/>
                      <w:szCs w:val="21"/>
                    </w:rPr>
                  </w:pPr>
                  <w:r>
                    <w:rPr>
                      <w:rFonts w:eastAsia="宋体"/>
                      <w:b/>
                      <w:szCs w:val="21"/>
                    </w:rPr>
                    <w:t>《太湖流域管理条例》（国务院令第604号）</w:t>
                  </w:r>
                </w:p>
              </w:tc>
              <w:tc>
                <w:tcPr>
                  <w:tcW w:w="1827" w:type="pct"/>
                  <w:vAlign w:val="center"/>
                </w:tcPr>
                <w:p w14:paraId="252AA056">
                  <w:pPr>
                    <w:adjustRightInd w:val="0"/>
                    <w:snapToGrid w:val="0"/>
                    <w:rPr>
                      <w:szCs w:val="21"/>
                    </w:rPr>
                  </w:pPr>
                  <w:r>
                    <w:rPr>
                      <w:szCs w:val="21"/>
                    </w:rPr>
                    <w:t>排污单位排放水污染物，不得超过经核定的水污染物排放总量，并应当按照规定设置便于检查、采样的规范化排污口，悬挂标志牌；不得私设暗管或者采取其他规避监管的方式排放水污染物。</w:t>
                  </w:r>
                </w:p>
              </w:tc>
              <w:tc>
                <w:tcPr>
                  <w:tcW w:w="1999" w:type="pct"/>
                  <w:vAlign w:val="center"/>
                </w:tcPr>
                <w:p w14:paraId="284E879E">
                  <w:pPr>
                    <w:adjustRightInd w:val="0"/>
                    <w:snapToGrid w:val="0"/>
                    <w:rPr>
                      <w:szCs w:val="21"/>
                    </w:rPr>
                  </w:pPr>
                  <w:r>
                    <w:rPr>
                      <w:rFonts w:hint="eastAsia"/>
                      <w:szCs w:val="21"/>
                    </w:rPr>
                    <w:t>厂内</w:t>
                  </w:r>
                  <w:r>
                    <w:rPr>
                      <w:szCs w:val="21"/>
                    </w:rPr>
                    <w:t>纯水制备弃水、冷却塔排水排放</w:t>
                  </w:r>
                  <w:r>
                    <w:rPr>
                      <w:rFonts w:hint="eastAsia"/>
                      <w:szCs w:val="21"/>
                    </w:rPr>
                    <w:t>作为清下水排入雨水管网，</w:t>
                  </w:r>
                  <w:r>
                    <w:rPr>
                      <w:szCs w:val="21"/>
                    </w:rPr>
                    <w:t>本次扩建项目新增生活污水，依托现有厂区内已建排污口，且现有厂区内已按照规定设置规范化排放口，悬挂标志牌；建设单位不私设暗管或者采取其他规避监管的方式排放水污染物。</w:t>
                  </w:r>
                </w:p>
              </w:tc>
              <w:tc>
                <w:tcPr>
                  <w:tcW w:w="435" w:type="pct"/>
                  <w:vAlign w:val="center"/>
                </w:tcPr>
                <w:p w14:paraId="7A3A2273">
                  <w:pPr>
                    <w:pStyle w:val="52"/>
                    <w:adjustRightInd w:val="0"/>
                    <w:snapToGrid w:val="0"/>
                    <w:spacing w:line="240" w:lineRule="auto"/>
                    <w:rPr>
                      <w:rFonts w:eastAsia="宋体"/>
                      <w:szCs w:val="21"/>
                    </w:rPr>
                  </w:pPr>
                  <w:r>
                    <w:rPr>
                      <w:rFonts w:eastAsia="宋体"/>
                      <w:szCs w:val="21"/>
                    </w:rPr>
                    <w:t>相符</w:t>
                  </w:r>
                </w:p>
              </w:tc>
            </w:tr>
            <w:tr w14:paraId="245C4F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778B3018">
                  <w:pPr>
                    <w:adjustRightInd w:val="0"/>
                    <w:snapToGrid w:val="0"/>
                    <w:jc w:val="center"/>
                    <w:rPr>
                      <w:szCs w:val="21"/>
                    </w:rPr>
                  </w:pPr>
                </w:p>
              </w:tc>
              <w:tc>
                <w:tcPr>
                  <w:tcW w:w="1827" w:type="pct"/>
                  <w:vAlign w:val="center"/>
                </w:tcPr>
                <w:p w14:paraId="687AE750">
                  <w:pPr>
                    <w:adjustRightInd w:val="0"/>
                    <w:snapToGrid w:val="0"/>
                    <w:rPr>
                      <w:szCs w:val="21"/>
                    </w:rPr>
                  </w:pPr>
                  <w:r>
                    <w:rPr>
                      <w:szCs w:val="21"/>
                    </w:rPr>
                    <w:t>禁止在太湖流域设置不符合国家产业政策和水环境综合治理要求的造纸、制革、酒精、淀粉、冶金、酿造、印染、电镀等排放水污染物的生产项目，现有生产项目不能实现达标排放的，应当依法关闭。</w:t>
                  </w:r>
                </w:p>
              </w:tc>
              <w:tc>
                <w:tcPr>
                  <w:tcW w:w="1999" w:type="pct"/>
                  <w:vAlign w:val="center"/>
                </w:tcPr>
                <w:p w14:paraId="2148D356">
                  <w:pPr>
                    <w:adjustRightInd w:val="0"/>
                    <w:snapToGrid w:val="0"/>
                    <w:rPr>
                      <w:szCs w:val="21"/>
                    </w:rPr>
                  </w:pPr>
                  <w:r>
                    <w:rPr>
                      <w:szCs w:val="21"/>
                    </w:rPr>
                    <w:t>扩建项目从事橡胶零部件生产，不属于禁止类项目，无含氮磷生产废水排放。</w:t>
                  </w:r>
                </w:p>
              </w:tc>
              <w:tc>
                <w:tcPr>
                  <w:tcW w:w="435" w:type="pct"/>
                  <w:vAlign w:val="center"/>
                </w:tcPr>
                <w:p w14:paraId="4F2B49DD">
                  <w:pPr>
                    <w:pStyle w:val="52"/>
                    <w:adjustRightInd w:val="0"/>
                    <w:snapToGrid w:val="0"/>
                    <w:spacing w:line="240" w:lineRule="auto"/>
                    <w:rPr>
                      <w:rFonts w:eastAsia="宋体"/>
                      <w:szCs w:val="21"/>
                    </w:rPr>
                  </w:pPr>
                  <w:r>
                    <w:rPr>
                      <w:rFonts w:eastAsia="宋体"/>
                      <w:szCs w:val="21"/>
                    </w:rPr>
                    <w:t>相符</w:t>
                  </w:r>
                </w:p>
              </w:tc>
            </w:tr>
            <w:tr w14:paraId="269C78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670EB66A">
                  <w:pPr>
                    <w:adjustRightInd w:val="0"/>
                    <w:snapToGrid w:val="0"/>
                    <w:jc w:val="center"/>
                    <w:rPr>
                      <w:szCs w:val="21"/>
                    </w:rPr>
                  </w:pPr>
                </w:p>
              </w:tc>
              <w:tc>
                <w:tcPr>
                  <w:tcW w:w="1827" w:type="pct"/>
                  <w:vAlign w:val="center"/>
                </w:tcPr>
                <w:p w14:paraId="4547199A">
                  <w:pPr>
                    <w:adjustRightInd w:val="0"/>
                    <w:snapToGrid w:val="0"/>
                    <w:rPr>
                      <w:szCs w:val="21"/>
                    </w:rPr>
                  </w:pPr>
                  <w:r>
                    <w:rPr>
                      <w:szCs w:val="21"/>
                    </w:rPr>
                    <w:t>在太湖流域新设企业应当符合国家规定的清洁生产要求，现有的企业尚未达到清洁生产要求的，应当按照清洁生产规划要求进行技术改造，两省一市人民政府应当加强监督检查。</w:t>
                  </w:r>
                </w:p>
              </w:tc>
              <w:tc>
                <w:tcPr>
                  <w:tcW w:w="1999" w:type="pct"/>
                  <w:vAlign w:val="center"/>
                </w:tcPr>
                <w:p w14:paraId="05AA06AD">
                  <w:pPr>
                    <w:adjustRightInd w:val="0"/>
                    <w:snapToGrid w:val="0"/>
                    <w:rPr>
                      <w:szCs w:val="21"/>
                    </w:rPr>
                  </w:pPr>
                  <w:r>
                    <w:rPr>
                      <w:szCs w:val="21"/>
                    </w:rPr>
                    <w:t>项目为扩建项目，将使用符合国家规定的清洁生产要求的生产工艺和设备。</w:t>
                  </w:r>
                </w:p>
              </w:tc>
              <w:tc>
                <w:tcPr>
                  <w:tcW w:w="435" w:type="pct"/>
                  <w:vAlign w:val="center"/>
                </w:tcPr>
                <w:p w14:paraId="085564C4">
                  <w:pPr>
                    <w:pStyle w:val="52"/>
                    <w:adjustRightInd w:val="0"/>
                    <w:snapToGrid w:val="0"/>
                    <w:spacing w:line="240" w:lineRule="auto"/>
                    <w:rPr>
                      <w:rFonts w:eastAsia="宋体"/>
                      <w:szCs w:val="21"/>
                    </w:rPr>
                  </w:pPr>
                  <w:r>
                    <w:rPr>
                      <w:rFonts w:eastAsia="宋体"/>
                      <w:szCs w:val="21"/>
                    </w:rPr>
                    <w:t>相符</w:t>
                  </w:r>
                </w:p>
              </w:tc>
            </w:tr>
            <w:tr w14:paraId="3E7A73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restart"/>
                  <w:vAlign w:val="center"/>
                </w:tcPr>
                <w:p w14:paraId="51AB75C0">
                  <w:pPr>
                    <w:pStyle w:val="52"/>
                    <w:adjustRightInd w:val="0"/>
                    <w:snapToGrid w:val="0"/>
                    <w:spacing w:line="240" w:lineRule="auto"/>
                    <w:rPr>
                      <w:rFonts w:eastAsia="宋体"/>
                      <w:b/>
                      <w:szCs w:val="21"/>
                    </w:rPr>
                  </w:pPr>
                  <w:r>
                    <w:rPr>
                      <w:rFonts w:eastAsia="宋体"/>
                      <w:b/>
                      <w:szCs w:val="21"/>
                    </w:rPr>
                    <w:t>《江苏省太湖水污染防治条例》（2021年修正）</w:t>
                  </w:r>
                </w:p>
              </w:tc>
              <w:tc>
                <w:tcPr>
                  <w:tcW w:w="1827" w:type="pct"/>
                  <w:vAlign w:val="center"/>
                </w:tcPr>
                <w:p w14:paraId="04F0EA16">
                  <w:pPr>
                    <w:adjustRightInd w:val="0"/>
                    <w:snapToGrid w:val="0"/>
                    <w:rPr>
                      <w:szCs w:val="21"/>
                    </w:rPr>
                  </w:pPr>
                  <w:r>
                    <w:rPr>
                      <w:szCs w:val="21"/>
                    </w:rPr>
                    <w:t>在太湖流域新建、改建、扩建可能产生水污染的建设项目应当依法进行环境影响评价。</w:t>
                  </w:r>
                </w:p>
              </w:tc>
              <w:tc>
                <w:tcPr>
                  <w:tcW w:w="1999" w:type="pct"/>
                  <w:vAlign w:val="center"/>
                </w:tcPr>
                <w:p w14:paraId="722CC6DA">
                  <w:pPr>
                    <w:adjustRightInd w:val="0"/>
                    <w:snapToGrid w:val="0"/>
                    <w:rPr>
                      <w:szCs w:val="21"/>
                    </w:rPr>
                  </w:pPr>
                  <w:r>
                    <w:rPr>
                      <w:szCs w:val="21"/>
                    </w:rPr>
                    <w:t>项目目前正在进行环境影响评价。</w:t>
                  </w:r>
                </w:p>
              </w:tc>
              <w:tc>
                <w:tcPr>
                  <w:tcW w:w="435" w:type="pct"/>
                  <w:vAlign w:val="center"/>
                </w:tcPr>
                <w:p w14:paraId="143DE5A4">
                  <w:pPr>
                    <w:pStyle w:val="52"/>
                    <w:adjustRightInd w:val="0"/>
                    <w:snapToGrid w:val="0"/>
                    <w:spacing w:line="240" w:lineRule="auto"/>
                    <w:rPr>
                      <w:rFonts w:eastAsia="宋体"/>
                      <w:szCs w:val="21"/>
                    </w:rPr>
                  </w:pPr>
                  <w:r>
                    <w:rPr>
                      <w:rFonts w:eastAsia="宋体"/>
                      <w:szCs w:val="21"/>
                    </w:rPr>
                    <w:t>相符</w:t>
                  </w:r>
                </w:p>
              </w:tc>
            </w:tr>
            <w:tr w14:paraId="1A530B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56DBA8E7">
                  <w:pPr>
                    <w:adjustRightInd w:val="0"/>
                    <w:snapToGrid w:val="0"/>
                    <w:jc w:val="center"/>
                    <w:rPr>
                      <w:szCs w:val="21"/>
                    </w:rPr>
                  </w:pPr>
                </w:p>
              </w:tc>
              <w:tc>
                <w:tcPr>
                  <w:tcW w:w="1827" w:type="pct"/>
                  <w:vAlign w:val="center"/>
                </w:tcPr>
                <w:p w14:paraId="2B88872D">
                  <w:pPr>
                    <w:adjustRightInd w:val="0"/>
                    <w:snapToGrid w:val="0"/>
                    <w:rPr>
                      <w:szCs w:val="21"/>
                    </w:rPr>
                  </w:pPr>
                  <w:r>
                    <w:rPr>
                      <w:szCs w:val="21"/>
                    </w:rPr>
                    <w:t>建设项目中防治水污染的设施，应当与主体工程同时设计、同时</w:t>
                  </w:r>
                  <w:r>
                    <w:rPr>
                      <w:szCs w:val="21"/>
                    </w:rPr>
                    <w:cr/>
                  </w:r>
                  <w:r>
                    <w:rPr>
                      <w:szCs w:val="21"/>
                    </w:rPr>
                    <w:t>施工、同时投产使用。</w:t>
                  </w:r>
                </w:p>
              </w:tc>
              <w:tc>
                <w:tcPr>
                  <w:tcW w:w="1999" w:type="pct"/>
                  <w:vAlign w:val="center"/>
                </w:tcPr>
                <w:p w14:paraId="4AF6A0D7">
                  <w:pPr>
                    <w:adjustRightInd w:val="0"/>
                    <w:snapToGrid w:val="0"/>
                    <w:rPr>
                      <w:szCs w:val="21"/>
                    </w:rPr>
                  </w:pPr>
                  <w:r>
                    <w:rPr>
                      <w:szCs w:val="21"/>
                    </w:rPr>
                    <w:t>本次扩建项目建设污水处理设施将与主体工程同时设计、同时</w:t>
                  </w:r>
                  <w:r>
                    <w:rPr>
                      <w:szCs w:val="21"/>
                    </w:rPr>
                    <w:cr/>
                  </w:r>
                  <w:r>
                    <w:rPr>
                      <w:szCs w:val="21"/>
                    </w:rPr>
                    <w:t>施工、同时投产使用。</w:t>
                  </w:r>
                </w:p>
              </w:tc>
              <w:tc>
                <w:tcPr>
                  <w:tcW w:w="435" w:type="pct"/>
                  <w:vAlign w:val="center"/>
                </w:tcPr>
                <w:p w14:paraId="0F2DFC2F">
                  <w:pPr>
                    <w:pStyle w:val="52"/>
                    <w:adjustRightInd w:val="0"/>
                    <w:snapToGrid w:val="0"/>
                    <w:spacing w:line="240" w:lineRule="auto"/>
                    <w:rPr>
                      <w:rFonts w:eastAsia="宋体"/>
                      <w:szCs w:val="21"/>
                    </w:rPr>
                  </w:pPr>
                  <w:r>
                    <w:rPr>
                      <w:rFonts w:eastAsia="宋体"/>
                      <w:szCs w:val="21"/>
                    </w:rPr>
                    <w:t>相符</w:t>
                  </w:r>
                </w:p>
              </w:tc>
            </w:tr>
            <w:tr w14:paraId="59AC85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11F51FE9">
                  <w:pPr>
                    <w:adjustRightInd w:val="0"/>
                    <w:snapToGrid w:val="0"/>
                    <w:jc w:val="center"/>
                    <w:rPr>
                      <w:szCs w:val="21"/>
                    </w:rPr>
                  </w:pPr>
                </w:p>
              </w:tc>
              <w:tc>
                <w:tcPr>
                  <w:tcW w:w="1827" w:type="pct"/>
                  <w:vAlign w:val="center"/>
                </w:tcPr>
                <w:p w14:paraId="0C347C46">
                  <w:pPr>
                    <w:adjustRightInd w:val="0"/>
                    <w:snapToGrid w:val="0"/>
                    <w:rPr>
                      <w:szCs w:val="21"/>
                    </w:rPr>
                  </w:pPr>
                  <w:r>
                    <w:rPr>
                      <w:szCs w:val="21"/>
                    </w:rPr>
                    <w:t>直接或者间接向水体排放污染物的企业事业单位和其他生产经营者应当按照国家和省有关规定设置排污口。禁止私设排污口。</w:t>
                  </w:r>
                </w:p>
              </w:tc>
              <w:tc>
                <w:tcPr>
                  <w:tcW w:w="1999" w:type="pct"/>
                  <w:vAlign w:val="center"/>
                </w:tcPr>
                <w:p w14:paraId="6C53BABF">
                  <w:pPr>
                    <w:adjustRightInd w:val="0"/>
                    <w:snapToGrid w:val="0"/>
                    <w:rPr>
                      <w:szCs w:val="21"/>
                    </w:rPr>
                  </w:pPr>
                  <w:r>
                    <w:rPr>
                      <w:szCs w:val="21"/>
                    </w:rPr>
                    <w:t>项目厂区内已按照相关规定设置排污口，建设单位未私设排污口。</w:t>
                  </w:r>
                </w:p>
              </w:tc>
              <w:tc>
                <w:tcPr>
                  <w:tcW w:w="435" w:type="pct"/>
                  <w:vAlign w:val="center"/>
                </w:tcPr>
                <w:p w14:paraId="6496AADC">
                  <w:pPr>
                    <w:pStyle w:val="52"/>
                    <w:adjustRightInd w:val="0"/>
                    <w:snapToGrid w:val="0"/>
                    <w:spacing w:line="240" w:lineRule="auto"/>
                    <w:rPr>
                      <w:rFonts w:eastAsia="宋体"/>
                      <w:szCs w:val="21"/>
                    </w:rPr>
                  </w:pPr>
                  <w:r>
                    <w:rPr>
                      <w:rFonts w:eastAsia="宋体"/>
                      <w:szCs w:val="21"/>
                    </w:rPr>
                    <w:t>相符</w:t>
                  </w:r>
                </w:p>
              </w:tc>
            </w:tr>
            <w:tr w14:paraId="49702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54" w:hRule="atLeast"/>
                <w:jc w:val="center"/>
              </w:trPr>
              <w:tc>
                <w:tcPr>
                  <w:tcW w:w="738" w:type="pct"/>
                  <w:vMerge w:val="continue"/>
                  <w:vAlign w:val="center"/>
                </w:tcPr>
                <w:p w14:paraId="761C6A64">
                  <w:pPr>
                    <w:adjustRightInd w:val="0"/>
                    <w:snapToGrid w:val="0"/>
                    <w:jc w:val="center"/>
                    <w:rPr>
                      <w:szCs w:val="21"/>
                    </w:rPr>
                  </w:pPr>
                </w:p>
              </w:tc>
              <w:tc>
                <w:tcPr>
                  <w:tcW w:w="1827" w:type="pct"/>
                  <w:vAlign w:val="center"/>
                </w:tcPr>
                <w:p w14:paraId="038FFA62">
                  <w:pPr>
                    <w:adjustRightInd w:val="0"/>
                    <w:snapToGrid w:val="0"/>
                    <w:rPr>
                      <w:szCs w:val="21"/>
                    </w:rPr>
                  </w:pPr>
                  <w:r>
                    <w:rPr>
                      <w:szCs w:val="21"/>
                    </w:rPr>
                    <w:t>各类污水处理设施产生的污泥应当进行安全处置，不得随意堆放和弃置，不得排入水体；属于危险废物的，应当委托有资质的单位处置。污泥的收集、贮存应当符合国家相关规定和标准。</w:t>
                  </w:r>
                </w:p>
              </w:tc>
              <w:tc>
                <w:tcPr>
                  <w:tcW w:w="1999" w:type="pct"/>
                  <w:vAlign w:val="center"/>
                </w:tcPr>
                <w:p w14:paraId="7BF8583B">
                  <w:pPr>
                    <w:adjustRightInd w:val="0"/>
                    <w:snapToGrid w:val="0"/>
                    <w:rPr>
                      <w:szCs w:val="21"/>
                    </w:rPr>
                  </w:pPr>
                  <w:r>
                    <w:rPr>
                      <w:szCs w:val="21"/>
                    </w:rPr>
                    <w:t>本次扩建项目产生的废活性炭等作为危废委托有资质单位处置。</w:t>
                  </w:r>
                </w:p>
              </w:tc>
              <w:tc>
                <w:tcPr>
                  <w:tcW w:w="435" w:type="pct"/>
                  <w:vAlign w:val="center"/>
                </w:tcPr>
                <w:p w14:paraId="1F26E6D0">
                  <w:pPr>
                    <w:pStyle w:val="52"/>
                    <w:adjustRightInd w:val="0"/>
                    <w:snapToGrid w:val="0"/>
                    <w:spacing w:line="240" w:lineRule="auto"/>
                    <w:rPr>
                      <w:rFonts w:eastAsia="宋体"/>
                      <w:szCs w:val="21"/>
                    </w:rPr>
                  </w:pPr>
                  <w:r>
                    <w:rPr>
                      <w:rFonts w:eastAsia="宋体"/>
                      <w:szCs w:val="21"/>
                    </w:rPr>
                    <w:t>相符</w:t>
                  </w:r>
                </w:p>
              </w:tc>
            </w:tr>
            <w:tr w14:paraId="3BFDC6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Merge w:val="continue"/>
                  <w:vAlign w:val="center"/>
                </w:tcPr>
                <w:p w14:paraId="73F87373">
                  <w:pPr>
                    <w:adjustRightInd w:val="0"/>
                    <w:snapToGrid w:val="0"/>
                    <w:jc w:val="center"/>
                    <w:rPr>
                      <w:szCs w:val="21"/>
                    </w:rPr>
                  </w:pPr>
                </w:p>
              </w:tc>
              <w:tc>
                <w:tcPr>
                  <w:tcW w:w="1827" w:type="pct"/>
                  <w:vAlign w:val="center"/>
                </w:tcPr>
                <w:p w14:paraId="3B22DCE6">
                  <w:pPr>
                    <w:adjustRightInd w:val="0"/>
                    <w:snapToGrid w:val="0"/>
                    <w:rPr>
                      <w:szCs w:val="21"/>
                    </w:rPr>
                  </w:pPr>
                  <w:r>
                    <w:rPr>
                      <w:szCs w:val="21"/>
                    </w:rPr>
                    <w:t>太湖流域一、二、三级保护区禁止下列行为：（一）新建、改建、扩建化学制浆造纸、制革、酿造、染料、印染、电镀以及其他排放含磷、氮等污染物的企业和项目，城镇污水集中处理等环境基础设施项目和第四十六条规定的情形除外；（二）销售、使用含磷洗涤用品；（三）向水体排放或者倾倒油类、酸液、碱液、剧毒废渣废液、含放射性废渣废液、含病原体污水、工业废渣以及其他废弃物。</w:t>
                  </w:r>
                </w:p>
              </w:tc>
              <w:tc>
                <w:tcPr>
                  <w:tcW w:w="1999" w:type="pct"/>
                  <w:vAlign w:val="center"/>
                </w:tcPr>
                <w:p w14:paraId="25649D68">
                  <w:pPr>
                    <w:adjustRightInd w:val="0"/>
                    <w:snapToGrid w:val="0"/>
                    <w:rPr>
                      <w:szCs w:val="21"/>
                    </w:rPr>
                  </w:pPr>
                  <w:r>
                    <w:rPr>
                      <w:szCs w:val="21"/>
                    </w:rPr>
                    <w:t>（一）扩建项目不属于禁止类项目；</w:t>
                  </w:r>
                </w:p>
                <w:p w14:paraId="2D8ED948">
                  <w:pPr>
                    <w:adjustRightInd w:val="0"/>
                    <w:snapToGrid w:val="0"/>
                    <w:rPr>
                      <w:rFonts w:hint="default" w:eastAsia="宋体"/>
                      <w:szCs w:val="21"/>
                      <w:highlight w:val="black"/>
                      <w:lang w:val="en-US" w:eastAsia="zh-CN"/>
                    </w:rPr>
                  </w:pPr>
                  <w:r>
                    <w:rPr>
                      <w:szCs w:val="21"/>
                    </w:rPr>
                    <w:t>（二）扩建项目不销售、使用含磷洗涤用品；</w:t>
                  </w:r>
                  <w:r>
                    <w:rPr>
                      <w:rFonts w:hint="eastAsia"/>
                      <w:szCs w:val="21"/>
                      <w:highlight w:val="black"/>
                      <w:lang w:val="en-US" w:eastAsia="zh-CN"/>
                    </w:rPr>
                    <w:t xml:space="preserve">                  </w:t>
                  </w:r>
                  <w:r>
                    <w:rPr>
                      <w:rFonts w:hint="eastAsia"/>
                      <w:szCs w:val="21"/>
                      <w:lang w:val="en-US" w:eastAsia="zh-CN"/>
                    </w:rPr>
                    <w:t xml:space="preserve">             </w:t>
                  </w:r>
                </w:p>
                <w:p w14:paraId="4145980E">
                  <w:pPr>
                    <w:adjustRightInd w:val="0"/>
                    <w:snapToGrid w:val="0"/>
                    <w:rPr>
                      <w:szCs w:val="21"/>
                    </w:rPr>
                  </w:pPr>
                  <w:r>
                    <w:rPr>
                      <w:szCs w:val="21"/>
                    </w:rPr>
                    <w:t>（三）扩建项目无含氮磷生产废水排放，不向水体排放或倾倒废液、废水、废渣及其他废弃物。</w:t>
                  </w:r>
                </w:p>
              </w:tc>
              <w:tc>
                <w:tcPr>
                  <w:tcW w:w="435" w:type="pct"/>
                  <w:vAlign w:val="center"/>
                </w:tcPr>
                <w:p w14:paraId="2B68824A">
                  <w:pPr>
                    <w:pStyle w:val="52"/>
                    <w:adjustRightInd w:val="0"/>
                    <w:snapToGrid w:val="0"/>
                    <w:spacing w:line="240" w:lineRule="auto"/>
                    <w:rPr>
                      <w:rFonts w:eastAsia="宋体"/>
                      <w:szCs w:val="21"/>
                    </w:rPr>
                  </w:pPr>
                  <w:r>
                    <w:rPr>
                      <w:rFonts w:eastAsia="宋体"/>
                      <w:szCs w:val="21"/>
                    </w:rPr>
                    <w:t>相符</w:t>
                  </w:r>
                </w:p>
              </w:tc>
            </w:tr>
            <w:tr w14:paraId="5030FB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8" w:type="pct"/>
                  <w:vAlign w:val="center"/>
                </w:tcPr>
                <w:p w14:paraId="7A224733">
                  <w:pPr>
                    <w:pStyle w:val="52"/>
                    <w:adjustRightInd w:val="0"/>
                    <w:snapToGrid w:val="0"/>
                    <w:spacing w:line="240" w:lineRule="auto"/>
                    <w:rPr>
                      <w:rFonts w:eastAsia="宋体"/>
                      <w:szCs w:val="21"/>
                    </w:rPr>
                  </w:pPr>
                  <w:r>
                    <w:rPr>
                      <w:rFonts w:eastAsia="宋体"/>
                      <w:b/>
                      <w:szCs w:val="21"/>
                    </w:rPr>
                    <w:t>《关于加强重点行业涉新污染物建设项目环境影响评价工作的意见》（环环评〔2025〕28号）</w:t>
                  </w:r>
                </w:p>
              </w:tc>
              <w:tc>
                <w:tcPr>
                  <w:tcW w:w="1827" w:type="pct"/>
                  <w:vAlign w:val="center"/>
                </w:tcPr>
                <w:p w14:paraId="25FD185F">
                  <w:pPr>
                    <w:pStyle w:val="9"/>
                    <w:ind w:left="0" w:firstLine="0"/>
                    <w:rPr>
                      <w:kern w:val="0"/>
                      <w:szCs w:val="21"/>
                    </w:rPr>
                  </w:pPr>
                  <w:r>
                    <w:rPr>
                      <w:kern w:val="0"/>
                      <w:szCs w:val="21"/>
                    </w:rPr>
                    <w:t>建设单位和环评技术单位在开展涉新污染物重点行业建设项目环评工作时，应高度重视新污染物防控，根据新污染物识别结果，结合现行环境影响评价技术导则和建设项目环境影响报告表编制技术指南相关要求，重点做好以下工作。</w:t>
                  </w:r>
                </w:p>
                <w:p w14:paraId="09A06F8A">
                  <w:pPr>
                    <w:pStyle w:val="9"/>
                    <w:ind w:left="0" w:firstLine="0"/>
                    <w:rPr>
                      <w:szCs w:val="21"/>
                    </w:rPr>
                  </w:pPr>
                  <w:r>
                    <w:rPr>
                      <w:kern w:val="0"/>
                      <w:szCs w:val="21"/>
                    </w:rPr>
                    <w:t>（一）优化原料、工艺和治理措施，从源头减少新污染物产生。建设项目应尽可能开发、使用低毒低害和无毒无害原料，减少产品中有毒有害物质含量；应采用清洁的生产工艺，提高资源利用率，从源头避免或削减新污染物产生。强化治理措施，已有污染防治技术的新污染物，应采取可行污染防治技术，加大治理力度，减轻新污染物排放对环境的影响。鼓励建设项目开展有毒有害化学物质绿色替代、新污染物减排以及污水污泥、废液废渣中新污染物治理等技术示范。</w:t>
                  </w:r>
                </w:p>
              </w:tc>
              <w:tc>
                <w:tcPr>
                  <w:tcW w:w="1999" w:type="pct"/>
                  <w:vAlign w:val="center"/>
                </w:tcPr>
                <w:p w14:paraId="261FC44C">
                  <w:pPr>
                    <w:pStyle w:val="9"/>
                    <w:ind w:left="0" w:firstLine="0"/>
                    <w:rPr>
                      <w:szCs w:val="21"/>
                    </w:rPr>
                  </w:pPr>
                  <w:r>
                    <w:rPr>
                      <w:kern w:val="0"/>
                      <w:szCs w:val="21"/>
                    </w:rPr>
                    <w:t>对照重点管控新污染物清单、有毒有害污染物名录、优先控制化学品名录以及《关于持久性有机污染物的斯德哥尔摩公约》，本项目在生产中不使用含新污染物的原料，排污的污染物中也不含新污染物。</w:t>
                  </w:r>
                </w:p>
              </w:tc>
              <w:tc>
                <w:tcPr>
                  <w:tcW w:w="435" w:type="pct"/>
                  <w:vAlign w:val="center"/>
                </w:tcPr>
                <w:p w14:paraId="7BCAF67F">
                  <w:pPr>
                    <w:pStyle w:val="9"/>
                    <w:ind w:left="0" w:firstLine="0"/>
                    <w:jc w:val="center"/>
                    <w:rPr>
                      <w:szCs w:val="21"/>
                    </w:rPr>
                  </w:pPr>
                  <w:r>
                    <w:rPr>
                      <w:kern w:val="0"/>
                      <w:szCs w:val="21"/>
                    </w:rPr>
                    <w:t>相符</w:t>
                  </w:r>
                </w:p>
              </w:tc>
            </w:tr>
          </w:tbl>
          <w:p w14:paraId="1DEFEFB3">
            <w:pPr>
              <w:adjustRightInd w:val="0"/>
              <w:snapToGrid w:val="0"/>
              <w:spacing w:beforeLines="50" w:line="360" w:lineRule="auto"/>
              <w:ind w:firstLine="422" w:firstLineChars="200"/>
              <w:rPr>
                <w:b/>
                <w:bCs/>
                <w:szCs w:val="21"/>
              </w:rPr>
            </w:pPr>
            <w:r>
              <w:rPr>
                <w:b/>
                <w:bCs/>
                <w:szCs w:val="21"/>
              </w:rPr>
              <w:t>（2）与《江苏省2023年度生态环境分区管控动态更新成果公告》、《常州市生态环境分区管控动态更新成果》（2023年版）相符性</w:t>
            </w:r>
          </w:p>
          <w:p w14:paraId="6730E940">
            <w:pPr>
              <w:pStyle w:val="5"/>
              <w:adjustRightInd w:val="0"/>
              <w:snapToGrid w:val="0"/>
              <w:spacing w:line="360" w:lineRule="auto"/>
              <w:ind w:firstLine="420"/>
              <w:rPr>
                <w:szCs w:val="21"/>
              </w:rPr>
            </w:pPr>
            <w:r>
              <w:rPr>
                <w:szCs w:val="21"/>
              </w:rPr>
              <w:t>项目位于</w:t>
            </w:r>
            <w:r>
              <w:rPr>
                <w:kern w:val="0"/>
                <w:szCs w:val="21"/>
              </w:rPr>
              <w:t>江苏省金坛华罗庚高新技术产业开发区金东现代产业园片区，</w:t>
            </w:r>
            <w:r>
              <w:rPr>
                <w:szCs w:val="21"/>
              </w:rPr>
              <w:t>对照《江苏省2023年度生态环境分区管控动态更新成果公告》、《常州市生态环境分区管控动态更新成果》（2023年版）环境管控单元图，</w:t>
            </w:r>
            <w:r>
              <w:t>涉及</w:t>
            </w:r>
            <w:r>
              <w:rPr>
                <w:szCs w:val="21"/>
              </w:rPr>
              <w:t>常州市环境管控单元为金东工业园，属于环境管控单元名录中重点管控单元，项目与江苏省省域生态环境管控要求、江苏省重点区域生态环境分区管控要求、常州市生态环境管控总体要求及金东工业园环境管控单元生态环境准入清单相符性分析见表1-7、表1-8及表1-9。</w:t>
            </w:r>
          </w:p>
          <w:p w14:paraId="37716296">
            <w:pPr>
              <w:pStyle w:val="5"/>
              <w:adjustRightInd w:val="0"/>
              <w:snapToGrid w:val="0"/>
              <w:ind w:firstLine="0" w:firstLineChars="0"/>
              <w:jc w:val="center"/>
              <w:rPr>
                <w:b/>
                <w:bCs/>
                <w:szCs w:val="21"/>
              </w:rPr>
            </w:pPr>
            <w:r>
              <w:rPr>
                <w:b/>
                <w:bCs/>
                <w:szCs w:val="21"/>
              </w:rPr>
              <w:t>表1-7  与江苏省生态环境分区管控实施方案相符性</w:t>
            </w:r>
          </w:p>
          <w:tbl>
            <w:tblPr>
              <w:tblStyle w:val="25"/>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5"/>
              <w:gridCol w:w="662"/>
              <w:gridCol w:w="514"/>
              <w:gridCol w:w="2687"/>
              <w:gridCol w:w="2119"/>
              <w:gridCol w:w="699"/>
            </w:tblGrid>
            <w:tr w14:paraId="757FF5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112D0BE7">
                  <w:pPr>
                    <w:spacing w:beforeLines="20" w:afterLines="20"/>
                    <w:jc w:val="center"/>
                    <w:rPr>
                      <w:b/>
                      <w:bCs/>
                      <w:szCs w:val="21"/>
                    </w:rPr>
                  </w:pPr>
                  <w:r>
                    <w:rPr>
                      <w:b/>
                      <w:bCs/>
                      <w:szCs w:val="21"/>
                    </w:rPr>
                    <w:t>序号</w:t>
                  </w:r>
                </w:p>
              </w:tc>
              <w:tc>
                <w:tcPr>
                  <w:tcW w:w="2677" w:type="pct"/>
                  <w:gridSpan w:val="3"/>
                  <w:vAlign w:val="center"/>
                </w:tcPr>
                <w:p w14:paraId="064D28F4">
                  <w:pPr>
                    <w:spacing w:beforeLines="20" w:afterLines="20"/>
                    <w:jc w:val="center"/>
                    <w:rPr>
                      <w:b/>
                      <w:bCs/>
                      <w:szCs w:val="21"/>
                    </w:rPr>
                  </w:pPr>
                  <w:r>
                    <w:rPr>
                      <w:b/>
                      <w:bCs/>
                      <w:szCs w:val="21"/>
                    </w:rPr>
                    <w:t>管控要求</w:t>
                  </w:r>
                </w:p>
              </w:tc>
              <w:tc>
                <w:tcPr>
                  <w:tcW w:w="1468" w:type="pct"/>
                  <w:vAlign w:val="center"/>
                </w:tcPr>
                <w:p w14:paraId="3DC36DF2">
                  <w:pPr>
                    <w:spacing w:beforeLines="20" w:afterLines="20"/>
                    <w:jc w:val="center"/>
                    <w:rPr>
                      <w:b/>
                      <w:bCs/>
                      <w:szCs w:val="21"/>
                    </w:rPr>
                  </w:pPr>
                  <w:r>
                    <w:rPr>
                      <w:b/>
                      <w:szCs w:val="21"/>
                    </w:rPr>
                    <w:t>本项目相关内容</w:t>
                  </w:r>
                </w:p>
              </w:tc>
              <w:tc>
                <w:tcPr>
                  <w:tcW w:w="484" w:type="pct"/>
                  <w:vAlign w:val="center"/>
                </w:tcPr>
                <w:p w14:paraId="63E05332">
                  <w:pPr>
                    <w:spacing w:beforeLines="20" w:afterLines="20"/>
                    <w:jc w:val="center"/>
                    <w:rPr>
                      <w:b/>
                      <w:bCs/>
                      <w:szCs w:val="21"/>
                    </w:rPr>
                  </w:pPr>
                  <w:r>
                    <w:rPr>
                      <w:b/>
                      <w:bCs/>
                      <w:szCs w:val="21"/>
                    </w:rPr>
                    <w:t>相符性</w:t>
                  </w:r>
                </w:p>
              </w:tc>
            </w:tr>
            <w:tr w14:paraId="408E5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55DD0BB4">
                  <w:pPr>
                    <w:spacing w:beforeLines="20" w:afterLines="20"/>
                    <w:jc w:val="center"/>
                    <w:rPr>
                      <w:szCs w:val="21"/>
                    </w:rPr>
                  </w:pPr>
                  <w:r>
                    <w:rPr>
                      <w:szCs w:val="21"/>
                    </w:rPr>
                    <w:t>1</w:t>
                  </w:r>
                </w:p>
              </w:tc>
              <w:tc>
                <w:tcPr>
                  <w:tcW w:w="459" w:type="pct"/>
                  <w:vMerge w:val="restart"/>
                  <w:vAlign w:val="center"/>
                </w:tcPr>
                <w:p w14:paraId="68CBA0CB">
                  <w:pPr>
                    <w:spacing w:beforeLines="20" w:afterLines="20"/>
                    <w:jc w:val="center"/>
                    <w:rPr>
                      <w:szCs w:val="21"/>
                    </w:rPr>
                  </w:pPr>
                  <w:r>
                    <w:rPr>
                      <w:szCs w:val="21"/>
                    </w:rPr>
                    <w:t>空间布局约束</w:t>
                  </w:r>
                </w:p>
              </w:tc>
              <w:tc>
                <w:tcPr>
                  <w:tcW w:w="356" w:type="pct"/>
                  <w:vAlign w:val="center"/>
                </w:tcPr>
                <w:p w14:paraId="27D25245">
                  <w:pPr>
                    <w:adjustRightInd w:val="0"/>
                    <w:snapToGrid w:val="0"/>
                    <w:jc w:val="center"/>
                    <w:rPr>
                      <w:szCs w:val="21"/>
                    </w:rPr>
                  </w:pPr>
                  <w:r>
                    <w:rPr>
                      <w:szCs w:val="21"/>
                    </w:rPr>
                    <w:t>省域</w:t>
                  </w:r>
                </w:p>
              </w:tc>
              <w:tc>
                <w:tcPr>
                  <w:tcW w:w="1860" w:type="pct"/>
                  <w:vAlign w:val="center"/>
                </w:tcPr>
                <w:p w14:paraId="35E5FE11">
                  <w:pPr>
                    <w:adjustRightInd w:val="0"/>
                    <w:snapToGrid w:val="0"/>
                    <w:rPr>
                      <w:szCs w:val="21"/>
                    </w:rPr>
                  </w:pPr>
                  <w:r>
                    <w:rPr>
                      <w:szCs w:val="21"/>
                    </w:rPr>
                    <w:t>坚持节约优先、保护优先、自然恢复为主的方针，以改善生态环境质量为核心，以保障和维护生态功能为主线，统筹山水林田湖草一体化保护和修复，严守生态保护红线，实行最严格的生态空间管控制度，确保全省生态功能不降低、面积不减少、性质不改变，切实维护生态安全。</w:t>
                  </w:r>
                </w:p>
              </w:tc>
              <w:tc>
                <w:tcPr>
                  <w:tcW w:w="1468" w:type="pct"/>
                  <w:vAlign w:val="center"/>
                </w:tcPr>
                <w:p w14:paraId="70057E72">
                  <w:pPr>
                    <w:adjustRightInd w:val="0"/>
                    <w:snapToGrid w:val="0"/>
                    <w:rPr>
                      <w:szCs w:val="21"/>
                    </w:rPr>
                  </w:pPr>
                  <w:r>
                    <w:rPr>
                      <w:szCs w:val="21"/>
                    </w:rPr>
                    <w:t>项目选址不在国家级生态保护红线和江苏省生态空间管控区内，项目的建设不会使生态功能降低、不会影响生态空间面积、不会改变生态空间性质。</w:t>
                  </w:r>
                </w:p>
              </w:tc>
              <w:tc>
                <w:tcPr>
                  <w:tcW w:w="484" w:type="pct"/>
                  <w:vAlign w:val="center"/>
                </w:tcPr>
                <w:p w14:paraId="29ABC11F">
                  <w:pPr>
                    <w:spacing w:beforeLines="20" w:afterLines="20"/>
                    <w:jc w:val="center"/>
                    <w:rPr>
                      <w:szCs w:val="21"/>
                    </w:rPr>
                  </w:pPr>
                  <w:r>
                    <w:rPr>
                      <w:szCs w:val="21"/>
                    </w:rPr>
                    <w:t>相符</w:t>
                  </w:r>
                </w:p>
              </w:tc>
            </w:tr>
            <w:tr w14:paraId="389BA2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27108BB6">
                  <w:pPr>
                    <w:spacing w:beforeLines="20" w:afterLines="20"/>
                    <w:jc w:val="center"/>
                    <w:rPr>
                      <w:szCs w:val="21"/>
                    </w:rPr>
                  </w:pPr>
                  <w:r>
                    <w:rPr>
                      <w:szCs w:val="21"/>
                    </w:rPr>
                    <w:t>2</w:t>
                  </w:r>
                </w:p>
              </w:tc>
              <w:tc>
                <w:tcPr>
                  <w:tcW w:w="459" w:type="pct"/>
                  <w:vMerge w:val="continue"/>
                  <w:vAlign w:val="center"/>
                </w:tcPr>
                <w:p w14:paraId="5E4DC054">
                  <w:pPr>
                    <w:spacing w:beforeLines="20" w:afterLines="20"/>
                    <w:jc w:val="center"/>
                    <w:rPr>
                      <w:szCs w:val="21"/>
                    </w:rPr>
                  </w:pPr>
                </w:p>
              </w:tc>
              <w:tc>
                <w:tcPr>
                  <w:tcW w:w="356" w:type="pct"/>
                  <w:vAlign w:val="center"/>
                </w:tcPr>
                <w:p w14:paraId="42CF362E">
                  <w:pPr>
                    <w:adjustRightInd w:val="0"/>
                    <w:snapToGrid w:val="0"/>
                    <w:jc w:val="center"/>
                    <w:rPr>
                      <w:szCs w:val="21"/>
                    </w:rPr>
                  </w:pPr>
                  <w:r>
                    <w:rPr>
                      <w:szCs w:val="21"/>
                    </w:rPr>
                    <w:t>太湖流域</w:t>
                  </w:r>
                </w:p>
              </w:tc>
              <w:tc>
                <w:tcPr>
                  <w:tcW w:w="1860" w:type="pct"/>
                  <w:vAlign w:val="center"/>
                </w:tcPr>
                <w:p w14:paraId="7A2A1878">
                  <w:pPr>
                    <w:adjustRightInd w:val="0"/>
                    <w:snapToGrid w:val="0"/>
                    <w:rPr>
                      <w:szCs w:val="21"/>
                    </w:rPr>
                  </w:pPr>
                  <w:r>
                    <w:rPr>
                      <w:szCs w:val="21"/>
                    </w:rPr>
                    <w:t>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tc>
              <w:tc>
                <w:tcPr>
                  <w:tcW w:w="1468" w:type="pct"/>
                  <w:vAlign w:val="center"/>
                </w:tcPr>
                <w:p w14:paraId="51A2D05E">
                  <w:pPr>
                    <w:adjustRightInd w:val="0"/>
                    <w:snapToGrid w:val="0"/>
                    <w:rPr>
                      <w:szCs w:val="21"/>
                    </w:rPr>
                  </w:pPr>
                  <w:r>
                    <w:rPr>
                      <w:szCs w:val="21"/>
                    </w:rPr>
                    <w:t>扩建项目不属于化学制浆造纸、制革、酿造、燃料、印染、电镀等禁止建设项目，不排放含氮、磷污染物。</w:t>
                  </w:r>
                </w:p>
              </w:tc>
              <w:tc>
                <w:tcPr>
                  <w:tcW w:w="484" w:type="pct"/>
                  <w:vAlign w:val="center"/>
                </w:tcPr>
                <w:p w14:paraId="7CE93EDF">
                  <w:pPr>
                    <w:spacing w:beforeLines="20" w:afterLines="20"/>
                    <w:jc w:val="center"/>
                    <w:rPr>
                      <w:szCs w:val="21"/>
                    </w:rPr>
                  </w:pPr>
                  <w:r>
                    <w:rPr>
                      <w:szCs w:val="21"/>
                    </w:rPr>
                    <w:t>相符</w:t>
                  </w:r>
                </w:p>
              </w:tc>
            </w:tr>
            <w:tr w14:paraId="47E5B4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32214460">
                  <w:pPr>
                    <w:spacing w:beforeLines="20" w:afterLines="20"/>
                    <w:jc w:val="center"/>
                    <w:rPr>
                      <w:szCs w:val="21"/>
                    </w:rPr>
                  </w:pPr>
                  <w:r>
                    <w:rPr>
                      <w:szCs w:val="21"/>
                    </w:rPr>
                    <w:t>3</w:t>
                  </w:r>
                </w:p>
              </w:tc>
              <w:tc>
                <w:tcPr>
                  <w:tcW w:w="459" w:type="pct"/>
                  <w:vMerge w:val="restart"/>
                  <w:vAlign w:val="center"/>
                </w:tcPr>
                <w:p w14:paraId="44DA69E1">
                  <w:pPr>
                    <w:spacing w:beforeLines="20" w:afterLines="20"/>
                    <w:jc w:val="center"/>
                    <w:rPr>
                      <w:szCs w:val="21"/>
                    </w:rPr>
                  </w:pPr>
                  <w:r>
                    <w:rPr>
                      <w:szCs w:val="21"/>
                    </w:rPr>
                    <w:t>污染物排放管控</w:t>
                  </w:r>
                </w:p>
              </w:tc>
              <w:tc>
                <w:tcPr>
                  <w:tcW w:w="356" w:type="pct"/>
                  <w:vMerge w:val="restart"/>
                  <w:vAlign w:val="center"/>
                </w:tcPr>
                <w:p w14:paraId="13F13CEE">
                  <w:pPr>
                    <w:adjustRightInd w:val="0"/>
                    <w:snapToGrid w:val="0"/>
                    <w:jc w:val="center"/>
                    <w:rPr>
                      <w:szCs w:val="21"/>
                    </w:rPr>
                  </w:pPr>
                  <w:r>
                    <w:rPr>
                      <w:szCs w:val="21"/>
                    </w:rPr>
                    <w:t>省域</w:t>
                  </w:r>
                </w:p>
              </w:tc>
              <w:tc>
                <w:tcPr>
                  <w:tcW w:w="1860" w:type="pct"/>
                  <w:vAlign w:val="center"/>
                </w:tcPr>
                <w:p w14:paraId="0F55C70C">
                  <w:pPr>
                    <w:adjustRightInd w:val="0"/>
                    <w:snapToGrid w:val="0"/>
                    <w:rPr>
                      <w:szCs w:val="21"/>
                    </w:rPr>
                  </w:pPr>
                  <w:r>
                    <w:rPr>
                      <w:szCs w:val="21"/>
                    </w:rPr>
                    <w:t>坚持生态环境质量只能更好、不能变坏，实施污染物总量控制，以环境容量定产业、定项目、定规模，确保开发建设行为不突破生态环境承载力。</w:t>
                  </w:r>
                </w:p>
              </w:tc>
              <w:tc>
                <w:tcPr>
                  <w:tcW w:w="1468" w:type="pct"/>
                  <w:vAlign w:val="center"/>
                </w:tcPr>
                <w:p w14:paraId="4C899A96">
                  <w:pPr>
                    <w:adjustRightInd w:val="0"/>
                    <w:snapToGrid w:val="0"/>
                    <w:rPr>
                      <w:szCs w:val="21"/>
                    </w:rPr>
                  </w:pPr>
                  <w:r>
                    <w:rPr>
                      <w:szCs w:val="21"/>
                    </w:rPr>
                    <w:t>建设项目将根据要求向常州市金坛生态环境局申请总量。</w:t>
                  </w:r>
                </w:p>
              </w:tc>
              <w:tc>
                <w:tcPr>
                  <w:tcW w:w="484" w:type="pct"/>
                  <w:vAlign w:val="center"/>
                </w:tcPr>
                <w:p w14:paraId="419C9854">
                  <w:pPr>
                    <w:spacing w:beforeLines="20" w:afterLines="20"/>
                    <w:jc w:val="center"/>
                    <w:rPr>
                      <w:szCs w:val="21"/>
                    </w:rPr>
                  </w:pPr>
                  <w:r>
                    <w:rPr>
                      <w:szCs w:val="21"/>
                    </w:rPr>
                    <w:t>相符</w:t>
                  </w:r>
                </w:p>
              </w:tc>
            </w:tr>
            <w:tr w14:paraId="5D6C3B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06C9D528">
                  <w:pPr>
                    <w:spacing w:beforeLines="20" w:afterLines="20"/>
                    <w:jc w:val="center"/>
                    <w:rPr>
                      <w:szCs w:val="21"/>
                    </w:rPr>
                  </w:pPr>
                  <w:r>
                    <w:rPr>
                      <w:szCs w:val="21"/>
                    </w:rPr>
                    <w:t>4</w:t>
                  </w:r>
                </w:p>
              </w:tc>
              <w:tc>
                <w:tcPr>
                  <w:tcW w:w="459" w:type="pct"/>
                  <w:vMerge w:val="continue"/>
                  <w:vAlign w:val="center"/>
                </w:tcPr>
                <w:p w14:paraId="115C46EF">
                  <w:pPr>
                    <w:spacing w:beforeLines="20" w:afterLines="20"/>
                    <w:jc w:val="center"/>
                    <w:rPr>
                      <w:szCs w:val="21"/>
                    </w:rPr>
                  </w:pPr>
                </w:p>
              </w:tc>
              <w:tc>
                <w:tcPr>
                  <w:tcW w:w="356" w:type="pct"/>
                  <w:vMerge w:val="continue"/>
                  <w:vAlign w:val="center"/>
                </w:tcPr>
                <w:p w14:paraId="1A493311">
                  <w:pPr>
                    <w:adjustRightInd w:val="0"/>
                    <w:snapToGrid w:val="0"/>
                    <w:jc w:val="center"/>
                    <w:rPr>
                      <w:szCs w:val="21"/>
                    </w:rPr>
                  </w:pPr>
                </w:p>
              </w:tc>
              <w:tc>
                <w:tcPr>
                  <w:tcW w:w="1860" w:type="pct"/>
                  <w:vAlign w:val="center"/>
                </w:tcPr>
                <w:p w14:paraId="4C56E264">
                  <w:pPr>
                    <w:adjustRightInd w:val="0"/>
                    <w:snapToGrid w:val="0"/>
                    <w:rPr>
                      <w:szCs w:val="21"/>
                    </w:rPr>
                  </w:pPr>
                  <w:r>
                    <w:rPr>
                      <w:szCs w:val="21"/>
                    </w:rPr>
                    <w:t>2025年，主要污染物排放减排完成国家下达任务，单位工业增加值二氧化碳排放量下降20%，主要高耗能行业单位产品二氧化碳排放达到世界先进水平。实施氮氧化物（NOx）和VOCs协同减排，推进多污染物和关联区域连防联控。</w:t>
                  </w:r>
                </w:p>
              </w:tc>
              <w:tc>
                <w:tcPr>
                  <w:tcW w:w="1468" w:type="pct"/>
                  <w:vAlign w:val="center"/>
                </w:tcPr>
                <w:p w14:paraId="5F747994">
                  <w:pPr>
                    <w:adjustRightInd w:val="0"/>
                    <w:snapToGrid w:val="0"/>
                    <w:rPr>
                      <w:szCs w:val="21"/>
                    </w:rPr>
                  </w:pPr>
                  <w:r>
                    <w:rPr>
                      <w:szCs w:val="21"/>
                    </w:rPr>
                    <w:t>项目不属于高能耗行业，不涉及氮氧化物排放；VOCs均经收集处理后排放，排放量较小。</w:t>
                  </w:r>
                </w:p>
              </w:tc>
              <w:tc>
                <w:tcPr>
                  <w:tcW w:w="484" w:type="pct"/>
                  <w:vAlign w:val="center"/>
                </w:tcPr>
                <w:p w14:paraId="3E873804">
                  <w:pPr>
                    <w:spacing w:beforeLines="20" w:afterLines="20"/>
                    <w:jc w:val="center"/>
                    <w:rPr>
                      <w:szCs w:val="21"/>
                    </w:rPr>
                  </w:pPr>
                  <w:r>
                    <w:rPr>
                      <w:szCs w:val="21"/>
                    </w:rPr>
                    <w:t>相符</w:t>
                  </w:r>
                </w:p>
              </w:tc>
            </w:tr>
            <w:tr w14:paraId="2B4EF9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6122ED34">
                  <w:pPr>
                    <w:spacing w:beforeLines="20" w:afterLines="20"/>
                    <w:jc w:val="center"/>
                    <w:rPr>
                      <w:szCs w:val="21"/>
                    </w:rPr>
                  </w:pPr>
                  <w:r>
                    <w:rPr>
                      <w:szCs w:val="21"/>
                    </w:rPr>
                    <w:t>5</w:t>
                  </w:r>
                </w:p>
              </w:tc>
              <w:tc>
                <w:tcPr>
                  <w:tcW w:w="459" w:type="pct"/>
                  <w:vMerge w:val="continue"/>
                  <w:vAlign w:val="center"/>
                </w:tcPr>
                <w:p w14:paraId="75066DFC">
                  <w:pPr>
                    <w:spacing w:beforeLines="20" w:afterLines="20"/>
                    <w:jc w:val="center"/>
                    <w:rPr>
                      <w:szCs w:val="21"/>
                    </w:rPr>
                  </w:pPr>
                </w:p>
              </w:tc>
              <w:tc>
                <w:tcPr>
                  <w:tcW w:w="356" w:type="pct"/>
                  <w:vAlign w:val="center"/>
                </w:tcPr>
                <w:p w14:paraId="52EAF412">
                  <w:pPr>
                    <w:adjustRightInd w:val="0"/>
                    <w:snapToGrid w:val="0"/>
                    <w:jc w:val="center"/>
                    <w:rPr>
                      <w:szCs w:val="21"/>
                    </w:rPr>
                  </w:pPr>
                  <w:r>
                    <w:rPr>
                      <w:szCs w:val="21"/>
                    </w:rPr>
                    <w:t>太湖流域</w:t>
                  </w:r>
                </w:p>
              </w:tc>
              <w:tc>
                <w:tcPr>
                  <w:tcW w:w="1860" w:type="pct"/>
                  <w:vAlign w:val="center"/>
                </w:tcPr>
                <w:p w14:paraId="5CB59918">
                  <w:pPr>
                    <w:adjustRightInd w:val="0"/>
                    <w:snapToGrid w:val="0"/>
                    <w:rPr>
                      <w:szCs w:val="21"/>
                    </w:rPr>
                  </w:pPr>
                  <w:r>
                    <w:rPr>
                      <w:szCs w:val="21"/>
                    </w:rPr>
                    <w:t>城镇污水处理厂、纺织工业、化学工业、造纸工业、钢铁工业、电镀工业和食品工业的污水处理设施执行《太湖地区城镇污水处理厂及重点工业行业主要水污染物排放限值》。</w:t>
                  </w:r>
                </w:p>
              </w:tc>
              <w:tc>
                <w:tcPr>
                  <w:tcW w:w="1468" w:type="pct"/>
                  <w:vAlign w:val="center"/>
                </w:tcPr>
                <w:p w14:paraId="1D69BE1C">
                  <w:pPr>
                    <w:adjustRightInd w:val="0"/>
                    <w:snapToGrid w:val="0"/>
                    <w:rPr>
                      <w:szCs w:val="21"/>
                    </w:rPr>
                  </w:pPr>
                  <w:r>
                    <w:rPr>
                      <w:szCs w:val="21"/>
                    </w:rPr>
                    <w:t>项目废水经厂区已建污水管网接管至</w:t>
                  </w:r>
                  <w:r>
                    <w:rPr>
                      <w:kern w:val="0"/>
                      <w:szCs w:val="21"/>
                    </w:rPr>
                    <w:t>常州金坛区第二污水处理有限公司</w:t>
                  </w:r>
                  <w:r>
                    <w:rPr>
                      <w:szCs w:val="21"/>
                    </w:rPr>
                    <w:t>集中处理，污水处理厂尾水执行《太湖地区城镇污水处理厂及重点工业行业主要水污染物排放限值》。</w:t>
                  </w:r>
                </w:p>
              </w:tc>
              <w:tc>
                <w:tcPr>
                  <w:tcW w:w="484" w:type="pct"/>
                  <w:vAlign w:val="center"/>
                </w:tcPr>
                <w:p w14:paraId="5D206A82">
                  <w:pPr>
                    <w:spacing w:beforeLines="20" w:afterLines="20"/>
                    <w:jc w:val="center"/>
                    <w:rPr>
                      <w:szCs w:val="21"/>
                    </w:rPr>
                  </w:pPr>
                  <w:r>
                    <w:rPr>
                      <w:szCs w:val="21"/>
                    </w:rPr>
                    <w:t>相符</w:t>
                  </w:r>
                </w:p>
              </w:tc>
            </w:tr>
            <w:tr w14:paraId="648CA7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4EE97DA0">
                  <w:pPr>
                    <w:spacing w:beforeLines="20" w:afterLines="20"/>
                    <w:jc w:val="center"/>
                    <w:rPr>
                      <w:szCs w:val="21"/>
                    </w:rPr>
                  </w:pPr>
                  <w:r>
                    <w:rPr>
                      <w:szCs w:val="21"/>
                    </w:rPr>
                    <w:t>6</w:t>
                  </w:r>
                </w:p>
              </w:tc>
              <w:tc>
                <w:tcPr>
                  <w:tcW w:w="459" w:type="pct"/>
                  <w:vMerge w:val="restart"/>
                  <w:vAlign w:val="center"/>
                </w:tcPr>
                <w:p w14:paraId="4A116D14">
                  <w:pPr>
                    <w:spacing w:beforeLines="20" w:afterLines="20"/>
                    <w:jc w:val="center"/>
                    <w:rPr>
                      <w:szCs w:val="21"/>
                    </w:rPr>
                  </w:pPr>
                  <w:r>
                    <w:rPr>
                      <w:szCs w:val="21"/>
                    </w:rPr>
                    <w:t>环境风险防控</w:t>
                  </w:r>
                </w:p>
              </w:tc>
              <w:tc>
                <w:tcPr>
                  <w:tcW w:w="356" w:type="pct"/>
                  <w:vMerge w:val="restart"/>
                  <w:vAlign w:val="center"/>
                </w:tcPr>
                <w:p w14:paraId="0DCB25E8">
                  <w:pPr>
                    <w:adjustRightInd w:val="0"/>
                    <w:snapToGrid w:val="0"/>
                    <w:jc w:val="center"/>
                    <w:rPr>
                      <w:szCs w:val="21"/>
                    </w:rPr>
                  </w:pPr>
                  <w:r>
                    <w:rPr>
                      <w:szCs w:val="21"/>
                    </w:rPr>
                    <w:t>省域</w:t>
                  </w:r>
                </w:p>
              </w:tc>
              <w:tc>
                <w:tcPr>
                  <w:tcW w:w="1860" w:type="pct"/>
                  <w:vAlign w:val="center"/>
                </w:tcPr>
                <w:p w14:paraId="76D96E1B">
                  <w:pPr>
                    <w:adjustRightInd w:val="0"/>
                    <w:snapToGrid w:val="0"/>
                    <w:rPr>
                      <w:szCs w:val="21"/>
                    </w:rPr>
                  </w:pPr>
                  <w:r>
                    <w:rPr>
                      <w:szCs w:val="21"/>
                    </w:rPr>
                    <w:t>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w:t>
                  </w:r>
                </w:p>
              </w:tc>
              <w:tc>
                <w:tcPr>
                  <w:tcW w:w="1468" w:type="pct"/>
                  <w:vAlign w:val="center"/>
                </w:tcPr>
                <w:p w14:paraId="391E426C">
                  <w:pPr>
                    <w:adjustRightInd w:val="0"/>
                    <w:snapToGrid w:val="0"/>
                    <w:rPr>
                      <w:szCs w:val="21"/>
                    </w:rPr>
                  </w:pPr>
                  <w:r>
                    <w:rPr>
                      <w:szCs w:val="21"/>
                    </w:rPr>
                    <w:t>项目不涉及大宗危化品使用及贮存，危险废物均收集后委托有资质单位处置，不非法进行转移、处置和倾倒。</w:t>
                  </w:r>
                </w:p>
              </w:tc>
              <w:tc>
                <w:tcPr>
                  <w:tcW w:w="484" w:type="pct"/>
                  <w:vAlign w:val="center"/>
                </w:tcPr>
                <w:p w14:paraId="5FD4E1C8">
                  <w:pPr>
                    <w:spacing w:beforeLines="20" w:afterLines="20"/>
                    <w:jc w:val="center"/>
                    <w:rPr>
                      <w:szCs w:val="21"/>
                    </w:rPr>
                  </w:pPr>
                  <w:r>
                    <w:rPr>
                      <w:szCs w:val="21"/>
                    </w:rPr>
                    <w:t>相符</w:t>
                  </w:r>
                </w:p>
              </w:tc>
            </w:tr>
            <w:tr w14:paraId="5A2385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37DFAF70">
                  <w:pPr>
                    <w:spacing w:beforeLines="20" w:afterLines="20"/>
                    <w:jc w:val="center"/>
                    <w:rPr>
                      <w:szCs w:val="21"/>
                    </w:rPr>
                  </w:pPr>
                  <w:r>
                    <w:rPr>
                      <w:szCs w:val="21"/>
                    </w:rPr>
                    <w:t>7</w:t>
                  </w:r>
                </w:p>
              </w:tc>
              <w:tc>
                <w:tcPr>
                  <w:tcW w:w="459" w:type="pct"/>
                  <w:vMerge w:val="continue"/>
                  <w:vAlign w:val="center"/>
                </w:tcPr>
                <w:p w14:paraId="4CF80A32">
                  <w:pPr>
                    <w:spacing w:beforeLines="20" w:afterLines="20"/>
                    <w:jc w:val="center"/>
                    <w:rPr>
                      <w:szCs w:val="21"/>
                    </w:rPr>
                  </w:pPr>
                </w:p>
              </w:tc>
              <w:tc>
                <w:tcPr>
                  <w:tcW w:w="356" w:type="pct"/>
                  <w:vMerge w:val="continue"/>
                  <w:vAlign w:val="center"/>
                </w:tcPr>
                <w:p w14:paraId="33A51CC4">
                  <w:pPr>
                    <w:adjustRightInd w:val="0"/>
                    <w:snapToGrid w:val="0"/>
                    <w:jc w:val="center"/>
                    <w:rPr>
                      <w:szCs w:val="21"/>
                    </w:rPr>
                  </w:pPr>
                </w:p>
              </w:tc>
              <w:tc>
                <w:tcPr>
                  <w:tcW w:w="1860" w:type="pct"/>
                  <w:vAlign w:val="center"/>
                </w:tcPr>
                <w:p w14:paraId="5224D5FD">
                  <w:pPr>
                    <w:adjustRightInd w:val="0"/>
                    <w:snapToGrid w:val="0"/>
                    <w:rPr>
                      <w:szCs w:val="21"/>
                    </w:rPr>
                  </w:pPr>
                  <w:r>
                    <w:rPr>
                      <w:szCs w:val="21"/>
                    </w:rPr>
                    <w:t>强化环境事故应急管理。深化跨部门、跨区域环境应急协调联动，分区域建立环境应急物资储备库。各级工业园区（集聚区）和企业的环境应急装备和储备物资应纳入储备体系。</w:t>
                  </w:r>
                </w:p>
              </w:tc>
              <w:tc>
                <w:tcPr>
                  <w:tcW w:w="1468" w:type="pct"/>
                  <w:vAlign w:val="center"/>
                </w:tcPr>
                <w:p w14:paraId="57CF6FA7">
                  <w:pPr>
                    <w:adjustRightInd w:val="0"/>
                    <w:snapToGrid w:val="0"/>
                    <w:rPr>
                      <w:szCs w:val="21"/>
                    </w:rPr>
                  </w:pPr>
                  <w:r>
                    <w:rPr>
                      <w:szCs w:val="21"/>
                    </w:rPr>
                    <w:t>企业已设置风险防范措施，并配备应急物资和装备。</w:t>
                  </w:r>
                </w:p>
              </w:tc>
              <w:tc>
                <w:tcPr>
                  <w:tcW w:w="484" w:type="pct"/>
                  <w:vAlign w:val="center"/>
                </w:tcPr>
                <w:p w14:paraId="3897CC83">
                  <w:pPr>
                    <w:spacing w:beforeLines="20" w:afterLines="20"/>
                    <w:jc w:val="center"/>
                    <w:rPr>
                      <w:szCs w:val="21"/>
                    </w:rPr>
                  </w:pPr>
                  <w:r>
                    <w:rPr>
                      <w:szCs w:val="21"/>
                    </w:rPr>
                    <w:t>相符</w:t>
                  </w:r>
                </w:p>
              </w:tc>
            </w:tr>
            <w:tr w14:paraId="3EDDAF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521FC54C">
                  <w:pPr>
                    <w:spacing w:beforeLines="20" w:afterLines="20"/>
                    <w:jc w:val="center"/>
                    <w:rPr>
                      <w:szCs w:val="21"/>
                    </w:rPr>
                  </w:pPr>
                  <w:r>
                    <w:rPr>
                      <w:szCs w:val="21"/>
                    </w:rPr>
                    <w:t>8</w:t>
                  </w:r>
                </w:p>
              </w:tc>
              <w:tc>
                <w:tcPr>
                  <w:tcW w:w="459" w:type="pct"/>
                  <w:vMerge w:val="continue"/>
                  <w:vAlign w:val="center"/>
                </w:tcPr>
                <w:p w14:paraId="3C494962">
                  <w:pPr>
                    <w:spacing w:beforeLines="20" w:afterLines="20"/>
                    <w:jc w:val="center"/>
                    <w:rPr>
                      <w:szCs w:val="21"/>
                    </w:rPr>
                  </w:pPr>
                </w:p>
              </w:tc>
              <w:tc>
                <w:tcPr>
                  <w:tcW w:w="356" w:type="pct"/>
                  <w:vMerge w:val="continue"/>
                  <w:vAlign w:val="center"/>
                </w:tcPr>
                <w:p w14:paraId="3933C932">
                  <w:pPr>
                    <w:adjustRightInd w:val="0"/>
                    <w:snapToGrid w:val="0"/>
                    <w:jc w:val="center"/>
                    <w:rPr>
                      <w:szCs w:val="21"/>
                    </w:rPr>
                  </w:pPr>
                </w:p>
              </w:tc>
              <w:tc>
                <w:tcPr>
                  <w:tcW w:w="1860" w:type="pct"/>
                  <w:vAlign w:val="center"/>
                </w:tcPr>
                <w:p w14:paraId="3523EFC3">
                  <w:pPr>
                    <w:adjustRightInd w:val="0"/>
                    <w:snapToGrid w:val="0"/>
                    <w:rPr>
                      <w:szCs w:val="21"/>
                    </w:rPr>
                  </w:pPr>
                  <w:r>
                    <w:rPr>
                      <w:szCs w:val="21"/>
                    </w:rPr>
                    <w:t>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1468" w:type="pct"/>
                  <w:vAlign w:val="center"/>
                </w:tcPr>
                <w:p w14:paraId="536BFFD4">
                  <w:pPr>
                    <w:adjustRightInd w:val="0"/>
                    <w:snapToGrid w:val="0"/>
                    <w:rPr>
                      <w:szCs w:val="21"/>
                    </w:rPr>
                  </w:pPr>
                  <w:r>
                    <w:rPr>
                      <w:szCs w:val="21"/>
                    </w:rPr>
                    <w:t>企业已建立环境风险预警应急响应机制。</w:t>
                  </w:r>
                </w:p>
              </w:tc>
              <w:tc>
                <w:tcPr>
                  <w:tcW w:w="484" w:type="pct"/>
                  <w:vAlign w:val="center"/>
                </w:tcPr>
                <w:p w14:paraId="10E9B561">
                  <w:pPr>
                    <w:spacing w:beforeLines="20" w:afterLines="20"/>
                    <w:jc w:val="center"/>
                    <w:rPr>
                      <w:szCs w:val="21"/>
                    </w:rPr>
                  </w:pPr>
                  <w:r>
                    <w:rPr>
                      <w:szCs w:val="21"/>
                    </w:rPr>
                    <w:t>相符</w:t>
                  </w:r>
                </w:p>
              </w:tc>
            </w:tr>
            <w:tr w14:paraId="6E6C6D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6B6B8A51">
                  <w:pPr>
                    <w:spacing w:beforeLines="20" w:afterLines="20"/>
                    <w:jc w:val="center"/>
                    <w:rPr>
                      <w:szCs w:val="21"/>
                    </w:rPr>
                  </w:pPr>
                  <w:r>
                    <w:rPr>
                      <w:szCs w:val="21"/>
                    </w:rPr>
                    <w:t>9</w:t>
                  </w:r>
                </w:p>
              </w:tc>
              <w:tc>
                <w:tcPr>
                  <w:tcW w:w="459" w:type="pct"/>
                  <w:vMerge w:val="continue"/>
                  <w:vAlign w:val="center"/>
                </w:tcPr>
                <w:p w14:paraId="3D1CE844">
                  <w:pPr>
                    <w:spacing w:beforeLines="20" w:afterLines="20"/>
                    <w:jc w:val="center"/>
                    <w:rPr>
                      <w:szCs w:val="21"/>
                    </w:rPr>
                  </w:pPr>
                </w:p>
              </w:tc>
              <w:tc>
                <w:tcPr>
                  <w:tcW w:w="356" w:type="pct"/>
                  <w:vAlign w:val="center"/>
                </w:tcPr>
                <w:p w14:paraId="6FABB04D">
                  <w:pPr>
                    <w:adjustRightInd w:val="0"/>
                    <w:snapToGrid w:val="0"/>
                    <w:jc w:val="center"/>
                    <w:rPr>
                      <w:szCs w:val="21"/>
                    </w:rPr>
                  </w:pPr>
                  <w:r>
                    <w:rPr>
                      <w:szCs w:val="21"/>
                    </w:rPr>
                    <w:t>太湖流域</w:t>
                  </w:r>
                </w:p>
              </w:tc>
              <w:tc>
                <w:tcPr>
                  <w:tcW w:w="1860" w:type="pct"/>
                  <w:vAlign w:val="center"/>
                </w:tcPr>
                <w:p w14:paraId="198B38D5">
                  <w:pPr>
                    <w:adjustRightInd w:val="0"/>
                    <w:snapToGrid w:val="0"/>
                    <w:rPr>
                      <w:szCs w:val="21"/>
                    </w:rPr>
                  </w:pPr>
                  <w:r>
                    <w:rPr>
                      <w:szCs w:val="21"/>
                    </w:rPr>
                    <w:t>禁止向太湖流域水体排放或者倾倒油类、酸液、碱液、剧毒废渣废液、含放射性废渣废液、含病原体污水、工业废渣以及其他废弃物。</w:t>
                  </w:r>
                </w:p>
              </w:tc>
              <w:tc>
                <w:tcPr>
                  <w:tcW w:w="1468" w:type="pct"/>
                  <w:vAlign w:val="center"/>
                </w:tcPr>
                <w:p w14:paraId="33CCC68C">
                  <w:pPr>
                    <w:adjustRightInd w:val="0"/>
                    <w:snapToGrid w:val="0"/>
                    <w:rPr>
                      <w:szCs w:val="21"/>
                    </w:rPr>
                  </w:pPr>
                  <w:r>
                    <w:rPr>
                      <w:szCs w:val="21"/>
                    </w:rPr>
                    <w:t>项目不向太湖流域水体排放及倾倒油类、酸液、碱液、废液、废水及其他废弃物。</w:t>
                  </w:r>
                </w:p>
              </w:tc>
              <w:tc>
                <w:tcPr>
                  <w:tcW w:w="484" w:type="pct"/>
                  <w:vAlign w:val="center"/>
                </w:tcPr>
                <w:p w14:paraId="4CC6CA8F">
                  <w:pPr>
                    <w:spacing w:beforeLines="20" w:afterLines="20"/>
                    <w:jc w:val="center"/>
                    <w:rPr>
                      <w:szCs w:val="21"/>
                    </w:rPr>
                  </w:pPr>
                  <w:r>
                    <w:rPr>
                      <w:szCs w:val="21"/>
                    </w:rPr>
                    <w:t>相符</w:t>
                  </w:r>
                </w:p>
              </w:tc>
            </w:tr>
            <w:tr w14:paraId="121BFF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4E2998EC">
                  <w:pPr>
                    <w:spacing w:beforeLines="20" w:afterLines="20"/>
                    <w:jc w:val="center"/>
                    <w:rPr>
                      <w:szCs w:val="21"/>
                    </w:rPr>
                  </w:pPr>
                  <w:r>
                    <w:rPr>
                      <w:szCs w:val="21"/>
                    </w:rPr>
                    <w:t>10</w:t>
                  </w:r>
                </w:p>
              </w:tc>
              <w:tc>
                <w:tcPr>
                  <w:tcW w:w="459" w:type="pct"/>
                  <w:vMerge w:val="restart"/>
                  <w:vAlign w:val="center"/>
                </w:tcPr>
                <w:p w14:paraId="09454127">
                  <w:pPr>
                    <w:spacing w:beforeLines="20" w:afterLines="20"/>
                    <w:jc w:val="center"/>
                    <w:rPr>
                      <w:szCs w:val="21"/>
                    </w:rPr>
                  </w:pPr>
                  <w:r>
                    <w:rPr>
                      <w:szCs w:val="21"/>
                    </w:rPr>
                    <w:t>资源利用效率要求</w:t>
                  </w:r>
                </w:p>
              </w:tc>
              <w:tc>
                <w:tcPr>
                  <w:tcW w:w="356" w:type="pct"/>
                  <w:vAlign w:val="center"/>
                </w:tcPr>
                <w:p w14:paraId="5D8FC9CF">
                  <w:pPr>
                    <w:adjustRightInd w:val="0"/>
                    <w:snapToGrid w:val="0"/>
                    <w:jc w:val="center"/>
                    <w:rPr>
                      <w:szCs w:val="21"/>
                    </w:rPr>
                  </w:pPr>
                  <w:r>
                    <w:rPr>
                      <w:szCs w:val="21"/>
                    </w:rPr>
                    <w:t>省域</w:t>
                  </w:r>
                </w:p>
              </w:tc>
              <w:tc>
                <w:tcPr>
                  <w:tcW w:w="1860" w:type="pct"/>
                  <w:vAlign w:val="center"/>
                </w:tcPr>
                <w:p w14:paraId="09D24408">
                  <w:pPr>
                    <w:adjustRightInd w:val="0"/>
                    <w:snapToGrid w:val="0"/>
                    <w:rPr>
                      <w:szCs w:val="21"/>
                    </w:rPr>
                  </w:pPr>
                  <w:r>
                    <w:rPr>
                      <w:szCs w:val="21"/>
                    </w:rPr>
                    <w:t>禁燃区要求：在禁燃区内，禁止销售、燃用高污染燃料；禁止新建、扩建燃用高污染燃料的设施，已建成的，应当在城市人民政府规定的期限内改用天然气、页岩气、液化石油气、电或者其他清洁能源。</w:t>
                  </w:r>
                </w:p>
              </w:tc>
              <w:tc>
                <w:tcPr>
                  <w:tcW w:w="1468" w:type="pct"/>
                  <w:vAlign w:val="center"/>
                </w:tcPr>
                <w:p w14:paraId="1D541FC5">
                  <w:pPr>
                    <w:adjustRightInd w:val="0"/>
                    <w:snapToGrid w:val="0"/>
                    <w:rPr>
                      <w:szCs w:val="21"/>
                    </w:rPr>
                  </w:pPr>
                  <w:r>
                    <w:rPr>
                      <w:szCs w:val="21"/>
                    </w:rPr>
                    <w:t>扩建项目不销售、燃用高污染燃料，不建设燃用高污染燃料设施。</w:t>
                  </w:r>
                </w:p>
              </w:tc>
              <w:tc>
                <w:tcPr>
                  <w:tcW w:w="484" w:type="pct"/>
                  <w:vAlign w:val="center"/>
                </w:tcPr>
                <w:p w14:paraId="099D4C7A">
                  <w:pPr>
                    <w:spacing w:beforeLines="20" w:afterLines="20"/>
                    <w:jc w:val="center"/>
                    <w:rPr>
                      <w:szCs w:val="21"/>
                    </w:rPr>
                  </w:pPr>
                  <w:r>
                    <w:rPr>
                      <w:szCs w:val="21"/>
                    </w:rPr>
                    <w:t>相符</w:t>
                  </w:r>
                </w:p>
              </w:tc>
            </w:tr>
            <w:tr w14:paraId="58904E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0" w:type="pct"/>
                  <w:vAlign w:val="center"/>
                </w:tcPr>
                <w:p w14:paraId="23936D74">
                  <w:pPr>
                    <w:spacing w:beforeLines="20" w:afterLines="20"/>
                    <w:jc w:val="center"/>
                    <w:rPr>
                      <w:szCs w:val="21"/>
                    </w:rPr>
                  </w:pPr>
                  <w:r>
                    <w:rPr>
                      <w:szCs w:val="21"/>
                    </w:rPr>
                    <w:t>11</w:t>
                  </w:r>
                </w:p>
              </w:tc>
              <w:tc>
                <w:tcPr>
                  <w:tcW w:w="459" w:type="pct"/>
                  <w:vMerge w:val="continue"/>
                  <w:vAlign w:val="center"/>
                </w:tcPr>
                <w:p w14:paraId="1B200763">
                  <w:pPr>
                    <w:spacing w:beforeLines="20" w:afterLines="20"/>
                    <w:jc w:val="center"/>
                    <w:rPr>
                      <w:szCs w:val="21"/>
                    </w:rPr>
                  </w:pPr>
                </w:p>
              </w:tc>
              <w:tc>
                <w:tcPr>
                  <w:tcW w:w="356" w:type="pct"/>
                  <w:vAlign w:val="center"/>
                </w:tcPr>
                <w:p w14:paraId="0968FCB4">
                  <w:pPr>
                    <w:adjustRightInd w:val="0"/>
                    <w:snapToGrid w:val="0"/>
                    <w:jc w:val="center"/>
                    <w:rPr>
                      <w:szCs w:val="21"/>
                    </w:rPr>
                  </w:pPr>
                  <w:r>
                    <w:rPr>
                      <w:szCs w:val="21"/>
                    </w:rPr>
                    <w:t>太湖流域</w:t>
                  </w:r>
                </w:p>
              </w:tc>
              <w:tc>
                <w:tcPr>
                  <w:tcW w:w="1860" w:type="pct"/>
                  <w:vAlign w:val="center"/>
                </w:tcPr>
                <w:p w14:paraId="22C4106A">
                  <w:pPr>
                    <w:adjustRightInd w:val="0"/>
                    <w:snapToGrid w:val="0"/>
                    <w:rPr>
                      <w:szCs w:val="21"/>
                    </w:rPr>
                  </w:pPr>
                  <w:r>
                    <w:rPr>
                      <w:szCs w:val="21"/>
                    </w:rPr>
                    <w:t>严格用水定额管理制度，推进取用水规范化管理，科学制定用水定额并动态调整，对超过用水定额标准的企业分类分步先期实施节水改造，鼓励重点用水企业、园区建立智慧用水管理系统。</w:t>
                  </w:r>
                </w:p>
              </w:tc>
              <w:tc>
                <w:tcPr>
                  <w:tcW w:w="1468" w:type="pct"/>
                  <w:vAlign w:val="center"/>
                </w:tcPr>
                <w:p w14:paraId="1FB75790">
                  <w:pPr>
                    <w:adjustRightInd w:val="0"/>
                    <w:snapToGrid w:val="0"/>
                    <w:rPr>
                      <w:szCs w:val="21"/>
                    </w:rPr>
                  </w:pPr>
                  <w:r>
                    <w:rPr>
                      <w:szCs w:val="21"/>
                    </w:rPr>
                    <w:t>项目将合理使用水资源，制定用水规范化管理制度。</w:t>
                  </w:r>
                </w:p>
              </w:tc>
              <w:tc>
                <w:tcPr>
                  <w:tcW w:w="484" w:type="pct"/>
                  <w:vAlign w:val="center"/>
                </w:tcPr>
                <w:p w14:paraId="1F0A1F74">
                  <w:pPr>
                    <w:spacing w:beforeLines="20" w:afterLines="20"/>
                    <w:jc w:val="center"/>
                    <w:rPr>
                      <w:szCs w:val="21"/>
                    </w:rPr>
                  </w:pPr>
                  <w:r>
                    <w:rPr>
                      <w:szCs w:val="21"/>
                    </w:rPr>
                    <w:t>相符</w:t>
                  </w:r>
                </w:p>
              </w:tc>
            </w:tr>
          </w:tbl>
          <w:p w14:paraId="49DD5469">
            <w:pPr>
              <w:pStyle w:val="5"/>
              <w:adjustRightInd w:val="0"/>
              <w:snapToGrid w:val="0"/>
              <w:spacing w:beforeLines="50"/>
              <w:ind w:firstLine="0" w:firstLineChars="0"/>
              <w:jc w:val="center"/>
              <w:rPr>
                <w:b/>
                <w:bCs/>
                <w:szCs w:val="21"/>
              </w:rPr>
            </w:pPr>
            <w:r>
              <w:rPr>
                <w:b/>
                <w:bCs/>
                <w:szCs w:val="21"/>
              </w:rPr>
              <w:t>表1-8  与常州市生态环境管控总体要求相符性</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4"/>
              <w:gridCol w:w="664"/>
              <w:gridCol w:w="3750"/>
              <w:gridCol w:w="1655"/>
              <w:gridCol w:w="617"/>
            </w:tblGrid>
            <w:tr w14:paraId="336352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0" w:type="pct"/>
                  <w:vAlign w:val="center"/>
                </w:tcPr>
                <w:p w14:paraId="319B971F">
                  <w:pPr>
                    <w:spacing w:beforeLines="20" w:afterLines="20"/>
                    <w:jc w:val="center"/>
                    <w:rPr>
                      <w:b/>
                      <w:bCs/>
                      <w:szCs w:val="21"/>
                    </w:rPr>
                  </w:pPr>
                  <w:r>
                    <w:rPr>
                      <w:b/>
                      <w:bCs/>
                      <w:szCs w:val="21"/>
                    </w:rPr>
                    <w:t>序号</w:t>
                  </w:r>
                </w:p>
              </w:tc>
              <w:tc>
                <w:tcPr>
                  <w:tcW w:w="3056" w:type="pct"/>
                  <w:gridSpan w:val="2"/>
                  <w:vAlign w:val="center"/>
                </w:tcPr>
                <w:p w14:paraId="31AEB195">
                  <w:pPr>
                    <w:spacing w:beforeLines="20" w:afterLines="20"/>
                    <w:jc w:val="center"/>
                    <w:rPr>
                      <w:b/>
                      <w:bCs/>
                      <w:szCs w:val="21"/>
                    </w:rPr>
                  </w:pPr>
                  <w:r>
                    <w:rPr>
                      <w:b/>
                      <w:bCs/>
                      <w:szCs w:val="21"/>
                    </w:rPr>
                    <w:t>管控要求</w:t>
                  </w:r>
                </w:p>
              </w:tc>
              <w:tc>
                <w:tcPr>
                  <w:tcW w:w="1146" w:type="pct"/>
                  <w:vAlign w:val="center"/>
                </w:tcPr>
                <w:p w14:paraId="7F294CBD">
                  <w:pPr>
                    <w:spacing w:beforeLines="20" w:afterLines="20"/>
                    <w:jc w:val="center"/>
                    <w:rPr>
                      <w:b/>
                      <w:bCs/>
                      <w:szCs w:val="21"/>
                    </w:rPr>
                  </w:pPr>
                  <w:r>
                    <w:rPr>
                      <w:b/>
                      <w:szCs w:val="21"/>
                    </w:rPr>
                    <w:t>本项目相关内容</w:t>
                  </w:r>
                </w:p>
              </w:tc>
              <w:tc>
                <w:tcPr>
                  <w:tcW w:w="427" w:type="pct"/>
                  <w:vAlign w:val="center"/>
                </w:tcPr>
                <w:p w14:paraId="3A29BE2A">
                  <w:pPr>
                    <w:spacing w:beforeLines="20" w:afterLines="20"/>
                    <w:jc w:val="center"/>
                    <w:rPr>
                      <w:b/>
                      <w:bCs/>
                      <w:szCs w:val="21"/>
                    </w:rPr>
                  </w:pPr>
                  <w:r>
                    <w:rPr>
                      <w:b/>
                      <w:bCs/>
                      <w:szCs w:val="21"/>
                    </w:rPr>
                    <w:t>相符性</w:t>
                  </w:r>
                </w:p>
              </w:tc>
            </w:tr>
            <w:tr w14:paraId="4C32E9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0" w:type="pct"/>
                  <w:vAlign w:val="center"/>
                </w:tcPr>
                <w:p w14:paraId="1AA7BA76">
                  <w:pPr>
                    <w:spacing w:beforeLines="20" w:afterLines="20"/>
                    <w:jc w:val="center"/>
                    <w:rPr>
                      <w:szCs w:val="21"/>
                    </w:rPr>
                  </w:pPr>
                  <w:r>
                    <w:rPr>
                      <w:szCs w:val="21"/>
                    </w:rPr>
                    <w:t>1</w:t>
                  </w:r>
                </w:p>
              </w:tc>
              <w:tc>
                <w:tcPr>
                  <w:tcW w:w="460" w:type="pct"/>
                  <w:vMerge w:val="restart"/>
                  <w:vAlign w:val="center"/>
                </w:tcPr>
                <w:p w14:paraId="6BE3EA2E">
                  <w:pPr>
                    <w:spacing w:beforeLines="20" w:afterLines="20"/>
                    <w:jc w:val="center"/>
                    <w:rPr>
                      <w:szCs w:val="21"/>
                    </w:rPr>
                  </w:pPr>
                  <w:r>
                    <w:rPr>
                      <w:szCs w:val="21"/>
                    </w:rPr>
                    <w:t>空间布局约束</w:t>
                  </w:r>
                </w:p>
              </w:tc>
              <w:tc>
                <w:tcPr>
                  <w:tcW w:w="2595" w:type="pct"/>
                  <w:vAlign w:val="center"/>
                </w:tcPr>
                <w:p w14:paraId="012C6246">
                  <w:pPr>
                    <w:adjustRightInd w:val="0"/>
                    <w:snapToGrid w:val="0"/>
                    <w:rPr>
                      <w:szCs w:val="21"/>
                    </w:rPr>
                  </w:pPr>
                  <w:r>
                    <w:rPr>
                      <w:szCs w:val="21"/>
                    </w:rPr>
                    <w:t>禁止引进：列入《产业结构调整指导目录（2019年本）》、《江苏省产业结构调整限制、淘汰和禁止目录》、《江苏省工业和信息产业结构调整、限制、淘汰目录及能耗限额》淘汰类的产业；列入《外商投资产业指导目录》禁止类的产业。</w:t>
                  </w:r>
                </w:p>
              </w:tc>
              <w:tc>
                <w:tcPr>
                  <w:tcW w:w="1146" w:type="pct"/>
                  <w:vAlign w:val="center"/>
                </w:tcPr>
                <w:p w14:paraId="538FF58C">
                  <w:pPr>
                    <w:adjustRightInd w:val="0"/>
                    <w:snapToGrid w:val="0"/>
                    <w:rPr>
                      <w:szCs w:val="21"/>
                    </w:rPr>
                  </w:pPr>
                  <w:r>
                    <w:rPr>
                      <w:szCs w:val="21"/>
                    </w:rPr>
                    <w:t>项目不属于上述文件要求中限制类、淘汰类或禁止类项目。</w:t>
                  </w:r>
                </w:p>
              </w:tc>
              <w:tc>
                <w:tcPr>
                  <w:tcW w:w="427" w:type="pct"/>
                  <w:vAlign w:val="center"/>
                </w:tcPr>
                <w:p w14:paraId="671B8937">
                  <w:pPr>
                    <w:spacing w:beforeLines="20" w:afterLines="20"/>
                    <w:jc w:val="center"/>
                    <w:rPr>
                      <w:szCs w:val="21"/>
                    </w:rPr>
                  </w:pPr>
                  <w:r>
                    <w:rPr>
                      <w:szCs w:val="21"/>
                    </w:rPr>
                    <w:t>相符</w:t>
                  </w:r>
                </w:p>
              </w:tc>
            </w:tr>
            <w:tr w14:paraId="76BE29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70" w:type="pct"/>
                  <w:vAlign w:val="center"/>
                </w:tcPr>
                <w:p w14:paraId="4F0E41E3">
                  <w:pPr>
                    <w:spacing w:beforeLines="20" w:afterLines="20"/>
                    <w:jc w:val="center"/>
                    <w:rPr>
                      <w:szCs w:val="21"/>
                    </w:rPr>
                  </w:pPr>
                  <w:r>
                    <w:rPr>
                      <w:szCs w:val="21"/>
                    </w:rPr>
                    <w:t>2</w:t>
                  </w:r>
                </w:p>
              </w:tc>
              <w:tc>
                <w:tcPr>
                  <w:tcW w:w="460" w:type="pct"/>
                  <w:vMerge w:val="continue"/>
                  <w:vAlign w:val="center"/>
                </w:tcPr>
                <w:p w14:paraId="0887121D">
                  <w:pPr>
                    <w:spacing w:beforeLines="20" w:afterLines="20"/>
                    <w:jc w:val="center"/>
                    <w:rPr>
                      <w:szCs w:val="21"/>
                    </w:rPr>
                  </w:pPr>
                </w:p>
              </w:tc>
              <w:tc>
                <w:tcPr>
                  <w:tcW w:w="2595" w:type="pct"/>
                  <w:vAlign w:val="center"/>
                </w:tcPr>
                <w:p w14:paraId="10004A00">
                  <w:pPr>
                    <w:adjustRightInd w:val="0"/>
                    <w:snapToGrid w:val="0"/>
                    <w:rPr>
                      <w:szCs w:val="21"/>
                    </w:rPr>
                  </w:pPr>
                  <w:r>
                    <w:rPr>
                      <w:szCs w:val="21"/>
                    </w:rPr>
                    <w:t>根据《长江经济带发展负面清单指南（试行，2022年版）》江苏省实施细则：禁止在距离长江干支流岸线一公里范围内新建、扩建化工园区和化工项目；禁止在长江干流岸线三公里范围内新建、改建、扩建尾矿库、冶炼渣库和磷石膏库，以提升安全、生态环境保护水平为目的的改建除外；禁止在太湖流域一、二、三级保护区内开展《江苏省太湖水污染防治条例》禁止的投资建设活动；禁止在沿江地区新建、扩建未纳入国家和省布局规划的燃煤发电项目；禁止在合规园区外新建、扩建钢铁、石化、化工、焦化、建材、有色、制浆造纸等高污染项目；禁止在取消化工定位的园区（集中区）内新建化工项目。</w:t>
                  </w:r>
                </w:p>
              </w:tc>
              <w:tc>
                <w:tcPr>
                  <w:tcW w:w="1146" w:type="pct"/>
                  <w:vAlign w:val="center"/>
                </w:tcPr>
                <w:p w14:paraId="5D8CB7CD">
                  <w:pPr>
                    <w:adjustRightInd w:val="0"/>
                    <w:snapToGrid w:val="0"/>
                    <w:rPr>
                      <w:szCs w:val="21"/>
                    </w:rPr>
                  </w:pPr>
                  <w:r>
                    <w:rPr>
                      <w:szCs w:val="21"/>
                    </w:rPr>
                    <w:t>项目建设地点不在长江干支流三公里范围内，不属于《江苏省太湖水污染防治条例》禁止的投资建设活动，不属于燃煤发电项目，不属于钢铁、石化、化工等高污染项目。</w:t>
                  </w:r>
                </w:p>
              </w:tc>
              <w:tc>
                <w:tcPr>
                  <w:tcW w:w="427" w:type="pct"/>
                  <w:vAlign w:val="center"/>
                </w:tcPr>
                <w:p w14:paraId="6C7498C4">
                  <w:pPr>
                    <w:spacing w:beforeLines="20" w:afterLines="20"/>
                    <w:jc w:val="center"/>
                    <w:rPr>
                      <w:szCs w:val="21"/>
                    </w:rPr>
                  </w:pPr>
                  <w:r>
                    <w:rPr>
                      <w:szCs w:val="21"/>
                    </w:rPr>
                    <w:t>相符</w:t>
                  </w:r>
                </w:p>
              </w:tc>
            </w:tr>
            <w:tr w14:paraId="6EC71B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0" w:type="pct"/>
                  <w:vAlign w:val="center"/>
                </w:tcPr>
                <w:p w14:paraId="1500B636">
                  <w:pPr>
                    <w:spacing w:beforeLines="20" w:afterLines="20"/>
                    <w:jc w:val="center"/>
                    <w:rPr>
                      <w:szCs w:val="21"/>
                    </w:rPr>
                  </w:pPr>
                  <w:r>
                    <w:rPr>
                      <w:szCs w:val="21"/>
                    </w:rPr>
                    <w:t>3</w:t>
                  </w:r>
                </w:p>
              </w:tc>
              <w:tc>
                <w:tcPr>
                  <w:tcW w:w="460" w:type="pct"/>
                  <w:vMerge w:val="restart"/>
                  <w:vAlign w:val="center"/>
                </w:tcPr>
                <w:p w14:paraId="4C50FD3D">
                  <w:pPr>
                    <w:spacing w:beforeLines="20" w:afterLines="20"/>
                    <w:jc w:val="center"/>
                    <w:rPr>
                      <w:szCs w:val="21"/>
                    </w:rPr>
                  </w:pPr>
                  <w:r>
                    <w:rPr>
                      <w:szCs w:val="21"/>
                    </w:rPr>
                    <w:t>污染物排放管控</w:t>
                  </w:r>
                </w:p>
              </w:tc>
              <w:tc>
                <w:tcPr>
                  <w:tcW w:w="2595" w:type="pct"/>
                  <w:vAlign w:val="center"/>
                </w:tcPr>
                <w:p w14:paraId="7AB828E3">
                  <w:pPr>
                    <w:adjustRightInd w:val="0"/>
                    <w:snapToGrid w:val="0"/>
                    <w:rPr>
                      <w:szCs w:val="21"/>
                    </w:rPr>
                  </w:pPr>
                  <w:r>
                    <w:rPr>
                      <w:szCs w:val="21"/>
                    </w:rPr>
                    <w:t>坚持生态环境质量只能更好、不能变坏，实施污染物总量控制，以环境容量定产业、定项目、定规模，确保开发建设行为不突破生态环境承载力。</w:t>
                  </w:r>
                </w:p>
              </w:tc>
              <w:tc>
                <w:tcPr>
                  <w:tcW w:w="1146" w:type="pct"/>
                  <w:vMerge w:val="restart"/>
                  <w:vAlign w:val="center"/>
                </w:tcPr>
                <w:p w14:paraId="29F07A6A">
                  <w:pPr>
                    <w:adjustRightInd w:val="0"/>
                    <w:snapToGrid w:val="0"/>
                    <w:rPr>
                      <w:szCs w:val="21"/>
                    </w:rPr>
                  </w:pPr>
                  <w:r>
                    <w:rPr>
                      <w:szCs w:val="21"/>
                    </w:rPr>
                    <w:t>项目实施总量控制，将按要求申请总量。</w:t>
                  </w:r>
                </w:p>
              </w:tc>
              <w:tc>
                <w:tcPr>
                  <w:tcW w:w="427" w:type="pct"/>
                  <w:vAlign w:val="center"/>
                </w:tcPr>
                <w:p w14:paraId="49645D38">
                  <w:pPr>
                    <w:spacing w:beforeLines="20" w:afterLines="20"/>
                    <w:jc w:val="center"/>
                    <w:rPr>
                      <w:szCs w:val="21"/>
                    </w:rPr>
                  </w:pPr>
                  <w:r>
                    <w:rPr>
                      <w:szCs w:val="21"/>
                    </w:rPr>
                    <w:t>相符</w:t>
                  </w:r>
                </w:p>
              </w:tc>
            </w:tr>
            <w:tr w14:paraId="6533D7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70" w:type="pct"/>
                  <w:vAlign w:val="center"/>
                </w:tcPr>
                <w:p w14:paraId="302CD09D">
                  <w:pPr>
                    <w:spacing w:beforeLines="20" w:afterLines="20"/>
                    <w:jc w:val="center"/>
                    <w:rPr>
                      <w:szCs w:val="21"/>
                    </w:rPr>
                  </w:pPr>
                  <w:r>
                    <w:rPr>
                      <w:szCs w:val="21"/>
                    </w:rPr>
                    <w:t>4</w:t>
                  </w:r>
                </w:p>
              </w:tc>
              <w:tc>
                <w:tcPr>
                  <w:tcW w:w="460" w:type="pct"/>
                  <w:vMerge w:val="continue"/>
                  <w:vAlign w:val="center"/>
                </w:tcPr>
                <w:p w14:paraId="712F5690">
                  <w:pPr>
                    <w:spacing w:beforeLines="20" w:afterLines="20"/>
                    <w:jc w:val="center"/>
                    <w:rPr>
                      <w:szCs w:val="21"/>
                    </w:rPr>
                  </w:pPr>
                </w:p>
              </w:tc>
              <w:tc>
                <w:tcPr>
                  <w:tcW w:w="2595" w:type="pct"/>
                  <w:vAlign w:val="center"/>
                </w:tcPr>
                <w:p w14:paraId="7FE9F803">
                  <w:pPr>
                    <w:adjustRightInd w:val="0"/>
                    <w:snapToGrid w:val="0"/>
                    <w:rPr>
                      <w:szCs w:val="21"/>
                    </w:rPr>
                  </w:pPr>
                  <w:r>
                    <w:rPr>
                      <w:szCs w:val="21"/>
                    </w:rPr>
                    <w:t>全面贯彻落实《江苏省工业园区（集中区）污染物排放限值限量管理工作方案（试行）》（苏环办〔2021〕232号），完善工业园区主要污染物排放总量控制措施，实现主要污染物排放浓度和总量“双控”。</w:t>
                  </w:r>
                </w:p>
              </w:tc>
              <w:tc>
                <w:tcPr>
                  <w:tcW w:w="1146" w:type="pct"/>
                  <w:vMerge w:val="continue"/>
                  <w:vAlign w:val="center"/>
                </w:tcPr>
                <w:p w14:paraId="082B4C1B">
                  <w:pPr>
                    <w:adjustRightInd w:val="0"/>
                    <w:snapToGrid w:val="0"/>
                    <w:rPr>
                      <w:szCs w:val="21"/>
                    </w:rPr>
                  </w:pPr>
                </w:p>
              </w:tc>
              <w:tc>
                <w:tcPr>
                  <w:tcW w:w="427" w:type="pct"/>
                  <w:vAlign w:val="center"/>
                </w:tcPr>
                <w:p w14:paraId="6B4BAA86">
                  <w:pPr>
                    <w:spacing w:beforeLines="20" w:afterLines="20"/>
                    <w:jc w:val="center"/>
                    <w:rPr>
                      <w:szCs w:val="21"/>
                    </w:rPr>
                  </w:pPr>
                  <w:r>
                    <w:rPr>
                      <w:szCs w:val="21"/>
                    </w:rPr>
                    <w:t>相符</w:t>
                  </w:r>
                </w:p>
              </w:tc>
            </w:tr>
            <w:tr w14:paraId="19E048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70" w:type="pct"/>
                  <w:vAlign w:val="center"/>
                </w:tcPr>
                <w:p w14:paraId="02676E3F">
                  <w:pPr>
                    <w:spacing w:beforeLines="20" w:afterLines="20"/>
                    <w:jc w:val="center"/>
                    <w:rPr>
                      <w:szCs w:val="21"/>
                    </w:rPr>
                  </w:pPr>
                  <w:r>
                    <w:rPr>
                      <w:szCs w:val="21"/>
                    </w:rPr>
                    <w:t>5</w:t>
                  </w:r>
                </w:p>
              </w:tc>
              <w:tc>
                <w:tcPr>
                  <w:tcW w:w="460" w:type="pct"/>
                  <w:vAlign w:val="center"/>
                </w:tcPr>
                <w:p w14:paraId="6EA69680">
                  <w:pPr>
                    <w:spacing w:beforeLines="20" w:afterLines="20"/>
                    <w:jc w:val="center"/>
                    <w:rPr>
                      <w:szCs w:val="21"/>
                    </w:rPr>
                  </w:pPr>
                  <w:r>
                    <w:rPr>
                      <w:szCs w:val="21"/>
                    </w:rPr>
                    <w:t>环境风险防控</w:t>
                  </w:r>
                </w:p>
              </w:tc>
              <w:tc>
                <w:tcPr>
                  <w:tcW w:w="2595" w:type="pct"/>
                  <w:vAlign w:val="center"/>
                </w:tcPr>
                <w:p w14:paraId="2613928B">
                  <w:pPr>
                    <w:adjustRightInd w:val="0"/>
                    <w:snapToGrid w:val="0"/>
                    <w:rPr>
                      <w:szCs w:val="21"/>
                    </w:rPr>
                  </w:pPr>
                  <w:r>
                    <w:rPr>
                      <w:szCs w:val="21"/>
                    </w:rPr>
                    <w:t>完善废弃危险化学品等危险废物（以下简称“危险废物”）、重点环保设施和项目、涉爆粉尘企业等分级管控和隐患排查治理的责任体系、制度标准、工作机制；重点加强化学工业园区、涉及大宗危化品使用企业、贮存和运输危化品的港口码头、尾矿库、集中式污水处理厂、危废处理企业的环境风险防控；建立覆盖危险废物产生、收集、贮存、转移、运输、利用、处置等全过程的监督体系，严厉打击危险废物非法转移、处置和倾倒行为。</w:t>
                  </w:r>
                </w:p>
              </w:tc>
              <w:tc>
                <w:tcPr>
                  <w:tcW w:w="1146" w:type="pct"/>
                  <w:vAlign w:val="center"/>
                </w:tcPr>
                <w:p w14:paraId="11A616A8">
                  <w:pPr>
                    <w:adjustRightInd w:val="0"/>
                    <w:snapToGrid w:val="0"/>
                    <w:rPr>
                      <w:szCs w:val="21"/>
                    </w:rPr>
                  </w:pPr>
                  <w:r>
                    <w:rPr>
                      <w:szCs w:val="21"/>
                    </w:rPr>
                    <w:t>企业已建立分级管控和隐患排查治理责任体系、制度标准及工作机制，并已建立危险废物产生、收集、贮存、运输、利用、处置等全过程监督体系，不非法转移、处置和倾倒危险废物。</w:t>
                  </w:r>
                </w:p>
              </w:tc>
              <w:tc>
                <w:tcPr>
                  <w:tcW w:w="427" w:type="pct"/>
                  <w:vAlign w:val="center"/>
                </w:tcPr>
                <w:p w14:paraId="147308D7">
                  <w:pPr>
                    <w:spacing w:beforeLines="20" w:afterLines="20"/>
                    <w:jc w:val="center"/>
                    <w:rPr>
                      <w:szCs w:val="21"/>
                    </w:rPr>
                  </w:pPr>
                  <w:r>
                    <w:rPr>
                      <w:szCs w:val="21"/>
                    </w:rPr>
                    <w:t>相符</w:t>
                  </w:r>
                </w:p>
              </w:tc>
            </w:tr>
            <w:tr w14:paraId="36170F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0" w:type="pct"/>
                  <w:vAlign w:val="center"/>
                </w:tcPr>
                <w:p w14:paraId="17618FE9">
                  <w:pPr>
                    <w:spacing w:beforeLines="20" w:afterLines="20"/>
                    <w:jc w:val="center"/>
                    <w:rPr>
                      <w:szCs w:val="21"/>
                    </w:rPr>
                  </w:pPr>
                  <w:r>
                    <w:rPr>
                      <w:szCs w:val="21"/>
                    </w:rPr>
                    <w:t>6</w:t>
                  </w:r>
                </w:p>
              </w:tc>
              <w:tc>
                <w:tcPr>
                  <w:tcW w:w="460" w:type="pct"/>
                  <w:vAlign w:val="center"/>
                </w:tcPr>
                <w:p w14:paraId="0D131D45">
                  <w:pPr>
                    <w:spacing w:beforeLines="20" w:afterLines="20"/>
                    <w:jc w:val="center"/>
                    <w:rPr>
                      <w:szCs w:val="21"/>
                    </w:rPr>
                  </w:pPr>
                  <w:r>
                    <w:rPr>
                      <w:szCs w:val="21"/>
                    </w:rPr>
                    <w:t>资源利用效率要求</w:t>
                  </w:r>
                </w:p>
              </w:tc>
              <w:tc>
                <w:tcPr>
                  <w:tcW w:w="2595" w:type="pct"/>
                  <w:vAlign w:val="center"/>
                </w:tcPr>
                <w:p w14:paraId="6B43CDAB">
                  <w:pPr>
                    <w:adjustRightInd w:val="0"/>
                    <w:snapToGrid w:val="0"/>
                    <w:rPr>
                      <w:szCs w:val="21"/>
                    </w:rPr>
                  </w:pPr>
                  <w:r>
                    <w:rPr>
                      <w:szCs w:val="21"/>
                    </w:rPr>
                    <w:t>常州市禁燃区内禁止新建、扩建燃用高污染燃料的项目和设施，已建成的应逐步或依法限期改用天然气、电或者其他清洁能源。禁止燃用的燃料主要包括：①“II类”（较严），具体包括：除单台出力大于等于20蒸吨/小时锅炉以外燃用的煤炭及其制品；石油焦、油页岩、原油、重油、渣油、煤焦油。②“III类”（严格），具体包括：煤炭及其制品（包括原煤、散煤、煤矸石、煤泥、煤粉、水煤浆、型煤、焦炭、兰炭等）；石油焦、油页岩、原油、重油、渣油、煤焦油；非专用锅炉或未配置高效除尘设施的专用锅炉燃用的生物质成型燃料；国家规定的其它高污染燃料。</w:t>
                  </w:r>
                </w:p>
              </w:tc>
              <w:tc>
                <w:tcPr>
                  <w:tcW w:w="1146" w:type="pct"/>
                  <w:vAlign w:val="center"/>
                </w:tcPr>
                <w:p w14:paraId="309613B0">
                  <w:pPr>
                    <w:adjustRightInd w:val="0"/>
                    <w:snapToGrid w:val="0"/>
                    <w:rPr>
                      <w:szCs w:val="21"/>
                    </w:rPr>
                  </w:pPr>
                  <w:r>
                    <w:rPr>
                      <w:szCs w:val="21"/>
                    </w:rPr>
                    <w:t>扩建项目不燃用高污染燃料、不建设高污染燃料的设施，不建设锅炉。</w:t>
                  </w:r>
                </w:p>
              </w:tc>
              <w:tc>
                <w:tcPr>
                  <w:tcW w:w="427" w:type="pct"/>
                  <w:vAlign w:val="center"/>
                </w:tcPr>
                <w:p w14:paraId="52A84DAE">
                  <w:pPr>
                    <w:spacing w:beforeLines="20" w:afterLines="20"/>
                    <w:jc w:val="center"/>
                    <w:rPr>
                      <w:szCs w:val="21"/>
                    </w:rPr>
                  </w:pPr>
                  <w:r>
                    <w:rPr>
                      <w:szCs w:val="21"/>
                    </w:rPr>
                    <w:t>相符</w:t>
                  </w:r>
                </w:p>
              </w:tc>
            </w:tr>
          </w:tbl>
          <w:p w14:paraId="069344A6">
            <w:pPr>
              <w:pStyle w:val="5"/>
              <w:adjustRightInd w:val="0"/>
              <w:snapToGrid w:val="0"/>
              <w:spacing w:beforeLines="50"/>
              <w:ind w:firstLine="0" w:firstLineChars="0"/>
              <w:jc w:val="center"/>
              <w:rPr>
                <w:b/>
                <w:bCs/>
                <w:szCs w:val="21"/>
              </w:rPr>
            </w:pPr>
            <w:r>
              <w:rPr>
                <w:b/>
                <w:bCs/>
                <w:szCs w:val="21"/>
              </w:rPr>
              <w:t>表1-9  与金东工业园环境管控单元生态环境准入清单相符性</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3"/>
              <w:gridCol w:w="663"/>
              <w:gridCol w:w="3032"/>
              <w:gridCol w:w="2375"/>
              <w:gridCol w:w="617"/>
            </w:tblGrid>
            <w:tr w14:paraId="7FCBF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26256F67">
                  <w:pPr>
                    <w:spacing w:beforeLines="20" w:afterLines="20"/>
                    <w:jc w:val="center"/>
                    <w:rPr>
                      <w:b/>
                      <w:bCs/>
                      <w:szCs w:val="21"/>
                    </w:rPr>
                  </w:pPr>
                  <w:r>
                    <w:rPr>
                      <w:b/>
                      <w:bCs/>
                      <w:szCs w:val="21"/>
                    </w:rPr>
                    <w:t>序号</w:t>
                  </w:r>
                </w:p>
              </w:tc>
              <w:tc>
                <w:tcPr>
                  <w:tcW w:w="2558" w:type="pct"/>
                  <w:gridSpan w:val="2"/>
                  <w:vAlign w:val="center"/>
                </w:tcPr>
                <w:p w14:paraId="2106CE46">
                  <w:pPr>
                    <w:spacing w:beforeLines="20" w:afterLines="20"/>
                    <w:jc w:val="center"/>
                    <w:rPr>
                      <w:b/>
                      <w:bCs/>
                      <w:szCs w:val="21"/>
                    </w:rPr>
                  </w:pPr>
                  <w:r>
                    <w:rPr>
                      <w:b/>
                      <w:bCs/>
                      <w:szCs w:val="21"/>
                    </w:rPr>
                    <w:t>管控要求</w:t>
                  </w:r>
                </w:p>
              </w:tc>
              <w:tc>
                <w:tcPr>
                  <w:tcW w:w="1644" w:type="pct"/>
                  <w:vAlign w:val="center"/>
                </w:tcPr>
                <w:p w14:paraId="418A78A0">
                  <w:pPr>
                    <w:spacing w:beforeLines="20" w:afterLines="20"/>
                    <w:jc w:val="center"/>
                    <w:rPr>
                      <w:b/>
                      <w:bCs/>
                      <w:szCs w:val="21"/>
                    </w:rPr>
                  </w:pPr>
                  <w:r>
                    <w:rPr>
                      <w:b/>
                      <w:szCs w:val="21"/>
                    </w:rPr>
                    <w:t>本项目相关内容</w:t>
                  </w:r>
                </w:p>
              </w:tc>
              <w:tc>
                <w:tcPr>
                  <w:tcW w:w="427" w:type="pct"/>
                  <w:vAlign w:val="center"/>
                </w:tcPr>
                <w:p w14:paraId="3994D4F3">
                  <w:pPr>
                    <w:spacing w:beforeLines="20" w:afterLines="20"/>
                    <w:jc w:val="center"/>
                    <w:rPr>
                      <w:b/>
                      <w:bCs/>
                      <w:szCs w:val="21"/>
                    </w:rPr>
                  </w:pPr>
                  <w:r>
                    <w:rPr>
                      <w:b/>
                      <w:bCs/>
                      <w:szCs w:val="21"/>
                    </w:rPr>
                    <w:t>相符性</w:t>
                  </w:r>
                </w:p>
              </w:tc>
            </w:tr>
            <w:tr w14:paraId="5EE8E5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382FA8D0">
                  <w:pPr>
                    <w:spacing w:beforeLines="20" w:afterLines="20"/>
                    <w:jc w:val="center"/>
                    <w:rPr>
                      <w:szCs w:val="21"/>
                    </w:rPr>
                  </w:pPr>
                  <w:r>
                    <w:rPr>
                      <w:szCs w:val="21"/>
                    </w:rPr>
                    <w:t>1</w:t>
                  </w:r>
                </w:p>
              </w:tc>
              <w:tc>
                <w:tcPr>
                  <w:tcW w:w="459" w:type="pct"/>
                  <w:vMerge w:val="restart"/>
                  <w:vAlign w:val="center"/>
                </w:tcPr>
                <w:p w14:paraId="3DBC5D9A">
                  <w:pPr>
                    <w:spacing w:beforeLines="20" w:afterLines="20"/>
                    <w:jc w:val="center"/>
                    <w:rPr>
                      <w:szCs w:val="21"/>
                    </w:rPr>
                  </w:pPr>
                  <w:r>
                    <w:rPr>
                      <w:szCs w:val="21"/>
                    </w:rPr>
                    <w:t>空间布局约束</w:t>
                  </w:r>
                </w:p>
              </w:tc>
              <w:tc>
                <w:tcPr>
                  <w:tcW w:w="2098" w:type="pct"/>
                  <w:vAlign w:val="center"/>
                </w:tcPr>
                <w:p w14:paraId="4D853AFE">
                  <w:pPr>
                    <w:adjustRightInd w:val="0"/>
                    <w:snapToGrid w:val="0"/>
                    <w:rPr>
                      <w:szCs w:val="21"/>
                    </w:rPr>
                  </w:pPr>
                  <w:r>
                    <w:rPr>
                      <w:szCs w:val="21"/>
                    </w:rPr>
                    <w:t>各类开发建设活动应符合常州市总体规划、控制性详细规划、土地利用规划等相关要求。</w:t>
                  </w:r>
                </w:p>
              </w:tc>
              <w:tc>
                <w:tcPr>
                  <w:tcW w:w="1644" w:type="pct"/>
                  <w:vAlign w:val="center"/>
                </w:tcPr>
                <w:p w14:paraId="75117D4D">
                  <w:pPr>
                    <w:adjustRightInd w:val="0"/>
                    <w:snapToGrid w:val="0"/>
                    <w:rPr>
                      <w:szCs w:val="21"/>
                    </w:rPr>
                  </w:pPr>
                  <w:r>
                    <w:rPr>
                      <w:szCs w:val="21"/>
                    </w:rPr>
                    <w:t>项目建设</w:t>
                  </w:r>
                  <w:r>
                    <w:rPr>
                      <w:kern w:val="0"/>
                      <w:szCs w:val="21"/>
                    </w:rPr>
                    <w:t>符合金东现代产业园片区用地规划布局。</w:t>
                  </w:r>
                </w:p>
              </w:tc>
              <w:tc>
                <w:tcPr>
                  <w:tcW w:w="427" w:type="pct"/>
                  <w:vAlign w:val="center"/>
                </w:tcPr>
                <w:p w14:paraId="3A36F2F2">
                  <w:pPr>
                    <w:spacing w:beforeLines="20" w:afterLines="20"/>
                    <w:jc w:val="center"/>
                    <w:rPr>
                      <w:szCs w:val="21"/>
                    </w:rPr>
                  </w:pPr>
                  <w:r>
                    <w:rPr>
                      <w:szCs w:val="21"/>
                    </w:rPr>
                    <w:t>相符</w:t>
                  </w:r>
                </w:p>
              </w:tc>
            </w:tr>
            <w:tr w14:paraId="6E182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4917D7E8">
                  <w:pPr>
                    <w:spacing w:beforeLines="20" w:afterLines="20"/>
                    <w:jc w:val="center"/>
                    <w:rPr>
                      <w:szCs w:val="21"/>
                    </w:rPr>
                  </w:pPr>
                  <w:r>
                    <w:rPr>
                      <w:szCs w:val="21"/>
                    </w:rPr>
                    <w:t>2</w:t>
                  </w:r>
                </w:p>
              </w:tc>
              <w:tc>
                <w:tcPr>
                  <w:tcW w:w="459" w:type="pct"/>
                  <w:vMerge w:val="continue"/>
                  <w:vAlign w:val="center"/>
                </w:tcPr>
                <w:p w14:paraId="179C8EE5">
                  <w:pPr>
                    <w:spacing w:beforeLines="20" w:afterLines="20"/>
                    <w:jc w:val="center"/>
                    <w:rPr>
                      <w:szCs w:val="21"/>
                    </w:rPr>
                  </w:pPr>
                </w:p>
              </w:tc>
              <w:tc>
                <w:tcPr>
                  <w:tcW w:w="2098" w:type="pct"/>
                  <w:vAlign w:val="center"/>
                </w:tcPr>
                <w:p w14:paraId="4A354EC3">
                  <w:pPr>
                    <w:adjustRightInd w:val="0"/>
                    <w:snapToGrid w:val="0"/>
                    <w:rPr>
                      <w:szCs w:val="21"/>
                    </w:rPr>
                  </w:pPr>
                  <w:r>
                    <w:rPr>
                      <w:szCs w:val="21"/>
                    </w:rPr>
                    <w:t>优化产业布局和结构，实施分区差别化的产业准入要求。</w:t>
                  </w:r>
                </w:p>
              </w:tc>
              <w:tc>
                <w:tcPr>
                  <w:tcW w:w="1644" w:type="pct"/>
                  <w:vAlign w:val="center"/>
                </w:tcPr>
                <w:p w14:paraId="1700A7DB">
                  <w:pPr>
                    <w:adjustRightInd w:val="0"/>
                    <w:snapToGrid w:val="0"/>
                    <w:rPr>
                      <w:szCs w:val="21"/>
                    </w:rPr>
                  </w:pPr>
                  <w:r>
                    <w:rPr>
                      <w:szCs w:val="21"/>
                    </w:rPr>
                    <w:t>项目行业类别</w:t>
                  </w:r>
                  <w:r>
                    <w:rPr>
                      <w:kern w:val="0"/>
                      <w:szCs w:val="21"/>
                    </w:rPr>
                    <w:t>符合金东现代产业园片区产业准入要求。</w:t>
                  </w:r>
                </w:p>
              </w:tc>
              <w:tc>
                <w:tcPr>
                  <w:tcW w:w="427" w:type="pct"/>
                  <w:vAlign w:val="center"/>
                </w:tcPr>
                <w:p w14:paraId="76AC7DC6">
                  <w:pPr>
                    <w:spacing w:beforeLines="20" w:afterLines="20"/>
                    <w:jc w:val="center"/>
                    <w:rPr>
                      <w:szCs w:val="21"/>
                    </w:rPr>
                  </w:pPr>
                  <w:r>
                    <w:rPr>
                      <w:szCs w:val="21"/>
                    </w:rPr>
                    <w:t>相符</w:t>
                  </w:r>
                </w:p>
              </w:tc>
            </w:tr>
            <w:tr w14:paraId="6D2102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67232309">
                  <w:pPr>
                    <w:spacing w:beforeLines="20" w:afterLines="20"/>
                    <w:jc w:val="center"/>
                    <w:rPr>
                      <w:szCs w:val="21"/>
                    </w:rPr>
                  </w:pPr>
                  <w:r>
                    <w:rPr>
                      <w:szCs w:val="21"/>
                    </w:rPr>
                    <w:t>3</w:t>
                  </w:r>
                </w:p>
              </w:tc>
              <w:tc>
                <w:tcPr>
                  <w:tcW w:w="459" w:type="pct"/>
                  <w:vMerge w:val="continue"/>
                  <w:vAlign w:val="center"/>
                </w:tcPr>
                <w:p w14:paraId="50AD837E">
                  <w:pPr>
                    <w:spacing w:beforeLines="20" w:afterLines="20"/>
                    <w:jc w:val="center"/>
                    <w:rPr>
                      <w:szCs w:val="21"/>
                    </w:rPr>
                  </w:pPr>
                </w:p>
              </w:tc>
              <w:tc>
                <w:tcPr>
                  <w:tcW w:w="2098" w:type="pct"/>
                  <w:vAlign w:val="center"/>
                </w:tcPr>
                <w:p w14:paraId="33D28023">
                  <w:pPr>
                    <w:adjustRightInd w:val="0"/>
                    <w:snapToGrid w:val="0"/>
                    <w:rPr>
                      <w:szCs w:val="21"/>
                    </w:rPr>
                  </w:pPr>
                  <w:r>
                    <w:rPr>
                      <w:szCs w:val="21"/>
                    </w:rPr>
                    <w:t>合理规划居住区与园区，在居住区和园区、企业之间设置防护绿地、生态绿地等隔离带。</w:t>
                  </w:r>
                </w:p>
              </w:tc>
              <w:tc>
                <w:tcPr>
                  <w:tcW w:w="1644" w:type="pct"/>
                  <w:vAlign w:val="center"/>
                </w:tcPr>
                <w:p w14:paraId="47E4DE4D">
                  <w:pPr>
                    <w:adjustRightInd w:val="0"/>
                    <w:snapToGrid w:val="0"/>
                    <w:rPr>
                      <w:szCs w:val="21"/>
                    </w:rPr>
                  </w:pPr>
                  <w:r>
                    <w:rPr>
                      <w:bCs/>
                      <w:kern w:val="0"/>
                      <w:szCs w:val="21"/>
                    </w:rPr>
                    <w:t>项目所在地南侧为金博路，隔路远期规划为居住区，金博路与居住区之间设有防护绿地隔离带。</w:t>
                  </w:r>
                </w:p>
              </w:tc>
              <w:tc>
                <w:tcPr>
                  <w:tcW w:w="427" w:type="pct"/>
                  <w:vAlign w:val="center"/>
                </w:tcPr>
                <w:p w14:paraId="66E4373E">
                  <w:pPr>
                    <w:spacing w:beforeLines="20" w:afterLines="20"/>
                    <w:jc w:val="center"/>
                    <w:rPr>
                      <w:szCs w:val="21"/>
                    </w:rPr>
                  </w:pPr>
                  <w:r>
                    <w:rPr>
                      <w:szCs w:val="21"/>
                    </w:rPr>
                    <w:t>相符</w:t>
                  </w:r>
                </w:p>
              </w:tc>
            </w:tr>
            <w:tr w14:paraId="3A6F45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38A233B1">
                  <w:pPr>
                    <w:spacing w:beforeLines="20" w:afterLines="20"/>
                    <w:jc w:val="center"/>
                    <w:rPr>
                      <w:szCs w:val="21"/>
                    </w:rPr>
                  </w:pPr>
                  <w:r>
                    <w:rPr>
                      <w:szCs w:val="21"/>
                    </w:rPr>
                    <w:t>4</w:t>
                  </w:r>
                </w:p>
              </w:tc>
              <w:tc>
                <w:tcPr>
                  <w:tcW w:w="459" w:type="pct"/>
                  <w:vAlign w:val="center"/>
                </w:tcPr>
                <w:p w14:paraId="0B8752FD">
                  <w:pPr>
                    <w:spacing w:beforeLines="20" w:afterLines="20"/>
                    <w:jc w:val="center"/>
                    <w:rPr>
                      <w:szCs w:val="21"/>
                    </w:rPr>
                  </w:pPr>
                  <w:r>
                    <w:rPr>
                      <w:szCs w:val="21"/>
                    </w:rPr>
                    <w:t>污染物排放管控</w:t>
                  </w:r>
                </w:p>
              </w:tc>
              <w:tc>
                <w:tcPr>
                  <w:tcW w:w="2098" w:type="pct"/>
                  <w:vAlign w:val="center"/>
                </w:tcPr>
                <w:p w14:paraId="7BAAC077">
                  <w:pPr>
                    <w:adjustRightInd w:val="0"/>
                    <w:snapToGrid w:val="0"/>
                    <w:rPr>
                      <w:szCs w:val="21"/>
                    </w:rPr>
                  </w:pPr>
                  <w:r>
                    <w:rPr>
                      <w:szCs w:val="21"/>
                    </w:rPr>
                    <w:t>严格实施污染物总量控制制度，根据区域环境质量改善目标，采取有效措施减少主要污染物排放总量，确保区域环境质量持续改善。</w:t>
                  </w:r>
                </w:p>
              </w:tc>
              <w:tc>
                <w:tcPr>
                  <w:tcW w:w="1644" w:type="pct"/>
                  <w:vAlign w:val="center"/>
                </w:tcPr>
                <w:p w14:paraId="25A103BD">
                  <w:pPr>
                    <w:adjustRightInd w:val="0"/>
                    <w:snapToGrid w:val="0"/>
                    <w:rPr>
                      <w:szCs w:val="21"/>
                    </w:rPr>
                  </w:pPr>
                  <w:r>
                    <w:rPr>
                      <w:szCs w:val="21"/>
                    </w:rPr>
                    <w:t>项目将根据要求申请污染物总量，生产过程产生的废气污染物均收集处理后排放、无含氮磷生产废水外排，可减少污染物排放总量。</w:t>
                  </w:r>
                </w:p>
              </w:tc>
              <w:tc>
                <w:tcPr>
                  <w:tcW w:w="427" w:type="pct"/>
                  <w:vAlign w:val="center"/>
                </w:tcPr>
                <w:p w14:paraId="791B877E">
                  <w:pPr>
                    <w:spacing w:beforeLines="20" w:afterLines="20"/>
                    <w:jc w:val="center"/>
                    <w:rPr>
                      <w:szCs w:val="21"/>
                    </w:rPr>
                  </w:pPr>
                  <w:r>
                    <w:rPr>
                      <w:szCs w:val="21"/>
                    </w:rPr>
                    <w:t>相符</w:t>
                  </w:r>
                </w:p>
              </w:tc>
            </w:tr>
            <w:tr w14:paraId="494670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51541E91">
                  <w:pPr>
                    <w:spacing w:beforeLines="20" w:afterLines="20"/>
                    <w:jc w:val="center"/>
                    <w:rPr>
                      <w:szCs w:val="21"/>
                    </w:rPr>
                  </w:pPr>
                  <w:r>
                    <w:rPr>
                      <w:szCs w:val="21"/>
                    </w:rPr>
                    <w:t>5</w:t>
                  </w:r>
                </w:p>
              </w:tc>
              <w:tc>
                <w:tcPr>
                  <w:tcW w:w="459" w:type="pct"/>
                  <w:vMerge w:val="restart"/>
                  <w:vAlign w:val="center"/>
                </w:tcPr>
                <w:p w14:paraId="424D2D45">
                  <w:pPr>
                    <w:spacing w:beforeLines="20" w:afterLines="20"/>
                    <w:jc w:val="center"/>
                    <w:rPr>
                      <w:szCs w:val="21"/>
                    </w:rPr>
                  </w:pPr>
                  <w:r>
                    <w:rPr>
                      <w:szCs w:val="21"/>
                    </w:rPr>
                    <w:t>环境风险防控</w:t>
                  </w:r>
                </w:p>
              </w:tc>
              <w:tc>
                <w:tcPr>
                  <w:tcW w:w="2098" w:type="pct"/>
                  <w:vAlign w:val="center"/>
                </w:tcPr>
                <w:p w14:paraId="4D9CD31F">
                  <w:pPr>
                    <w:adjustRightInd w:val="0"/>
                    <w:snapToGrid w:val="0"/>
                    <w:rPr>
                      <w:szCs w:val="21"/>
                    </w:rPr>
                  </w:pPr>
                  <w:r>
                    <w:rPr>
                      <w:szCs w:val="21"/>
                    </w:rPr>
                    <w:t>园区建立环境应急体系，完善事故应急救援体系，加强应急物资装备储备，编制突发环境事件应急预案，定期开展演练。</w:t>
                  </w:r>
                </w:p>
              </w:tc>
              <w:tc>
                <w:tcPr>
                  <w:tcW w:w="1644" w:type="pct"/>
                  <w:vAlign w:val="center"/>
                </w:tcPr>
                <w:p w14:paraId="605BEC87">
                  <w:pPr>
                    <w:adjustRightInd w:val="0"/>
                    <w:snapToGrid w:val="0"/>
                    <w:rPr>
                      <w:szCs w:val="21"/>
                    </w:rPr>
                  </w:pPr>
                  <w:r>
                    <w:rPr>
                      <w:szCs w:val="21"/>
                    </w:rPr>
                    <w:t>项目现有厂区内已按要求配备应急物资、编制突发环境事件应急预案并定期开展演练。</w:t>
                  </w:r>
                </w:p>
              </w:tc>
              <w:tc>
                <w:tcPr>
                  <w:tcW w:w="427" w:type="pct"/>
                  <w:vAlign w:val="center"/>
                </w:tcPr>
                <w:p w14:paraId="54C1EBC6">
                  <w:pPr>
                    <w:spacing w:beforeLines="20" w:afterLines="20"/>
                    <w:jc w:val="center"/>
                    <w:rPr>
                      <w:szCs w:val="21"/>
                    </w:rPr>
                  </w:pPr>
                  <w:r>
                    <w:rPr>
                      <w:szCs w:val="21"/>
                    </w:rPr>
                    <w:t>相符</w:t>
                  </w:r>
                </w:p>
              </w:tc>
            </w:tr>
            <w:tr w14:paraId="3CCDDD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0E417CAF">
                  <w:pPr>
                    <w:spacing w:beforeLines="20" w:afterLines="20"/>
                    <w:jc w:val="center"/>
                    <w:rPr>
                      <w:szCs w:val="21"/>
                    </w:rPr>
                  </w:pPr>
                  <w:r>
                    <w:rPr>
                      <w:szCs w:val="21"/>
                    </w:rPr>
                    <w:t>6</w:t>
                  </w:r>
                </w:p>
              </w:tc>
              <w:tc>
                <w:tcPr>
                  <w:tcW w:w="459" w:type="pct"/>
                  <w:vMerge w:val="continue"/>
                  <w:vAlign w:val="center"/>
                </w:tcPr>
                <w:p w14:paraId="07C77372">
                  <w:pPr>
                    <w:spacing w:beforeLines="20" w:afterLines="20"/>
                    <w:jc w:val="center"/>
                    <w:rPr>
                      <w:szCs w:val="21"/>
                    </w:rPr>
                  </w:pPr>
                </w:p>
              </w:tc>
              <w:tc>
                <w:tcPr>
                  <w:tcW w:w="2098" w:type="pct"/>
                  <w:vAlign w:val="center"/>
                </w:tcPr>
                <w:p w14:paraId="24657C9B">
                  <w:pPr>
                    <w:adjustRightInd w:val="0"/>
                    <w:snapToGrid w:val="0"/>
                    <w:rPr>
                      <w:szCs w:val="21"/>
                    </w:rPr>
                  </w:pPr>
                  <w:r>
                    <w:rPr>
                      <w:szCs w:val="21"/>
                    </w:rPr>
                    <w:t>生产、使用、储存危险化学品或其他存在环境风险的企事业单位，应当制定风险防范措施，编制完善突发环境事件应急预案，防止发生环境污染事故。</w:t>
                  </w:r>
                </w:p>
              </w:tc>
              <w:tc>
                <w:tcPr>
                  <w:tcW w:w="1644" w:type="pct"/>
                  <w:vAlign w:val="center"/>
                </w:tcPr>
                <w:p w14:paraId="6B3C6710">
                  <w:pPr>
                    <w:adjustRightInd w:val="0"/>
                    <w:snapToGrid w:val="0"/>
                    <w:rPr>
                      <w:szCs w:val="21"/>
                    </w:rPr>
                  </w:pPr>
                  <w:r>
                    <w:rPr>
                      <w:szCs w:val="21"/>
                    </w:rPr>
                    <w:t>现有厂区内已制定风险防范措施并编制完成突发环境事件应急预案，通过加强日常管理等措施可有效防止发生环境污染事故。</w:t>
                  </w:r>
                </w:p>
              </w:tc>
              <w:tc>
                <w:tcPr>
                  <w:tcW w:w="427" w:type="pct"/>
                  <w:vAlign w:val="center"/>
                </w:tcPr>
                <w:p w14:paraId="1C26F4B7">
                  <w:pPr>
                    <w:spacing w:beforeLines="20" w:afterLines="20"/>
                    <w:jc w:val="center"/>
                    <w:rPr>
                      <w:szCs w:val="21"/>
                    </w:rPr>
                  </w:pPr>
                  <w:r>
                    <w:rPr>
                      <w:szCs w:val="21"/>
                    </w:rPr>
                    <w:t>相符</w:t>
                  </w:r>
                </w:p>
              </w:tc>
            </w:tr>
            <w:tr w14:paraId="1F1A09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5C65A89F">
                  <w:pPr>
                    <w:spacing w:beforeLines="20" w:afterLines="20"/>
                    <w:jc w:val="center"/>
                    <w:rPr>
                      <w:szCs w:val="21"/>
                    </w:rPr>
                  </w:pPr>
                  <w:r>
                    <w:rPr>
                      <w:szCs w:val="21"/>
                    </w:rPr>
                    <w:t>7</w:t>
                  </w:r>
                </w:p>
              </w:tc>
              <w:tc>
                <w:tcPr>
                  <w:tcW w:w="459" w:type="pct"/>
                  <w:vMerge w:val="continue"/>
                  <w:vAlign w:val="center"/>
                </w:tcPr>
                <w:p w14:paraId="510F08D2">
                  <w:pPr>
                    <w:spacing w:beforeLines="20" w:afterLines="20"/>
                    <w:jc w:val="center"/>
                    <w:rPr>
                      <w:szCs w:val="21"/>
                    </w:rPr>
                  </w:pPr>
                </w:p>
              </w:tc>
              <w:tc>
                <w:tcPr>
                  <w:tcW w:w="2098" w:type="pct"/>
                  <w:vAlign w:val="center"/>
                </w:tcPr>
                <w:p w14:paraId="77E7274F">
                  <w:pPr>
                    <w:adjustRightInd w:val="0"/>
                    <w:snapToGrid w:val="0"/>
                    <w:rPr>
                      <w:szCs w:val="21"/>
                    </w:rPr>
                  </w:pPr>
                  <w:r>
                    <w:rPr>
                      <w:szCs w:val="21"/>
                    </w:rPr>
                    <w:t>加强环境影响跟踪监测，建立健全各环境要素监控体系，完善并落实园区日常环境监测与污染源监控计划。</w:t>
                  </w:r>
                </w:p>
              </w:tc>
              <w:tc>
                <w:tcPr>
                  <w:tcW w:w="1644" w:type="pct"/>
                  <w:vAlign w:val="center"/>
                </w:tcPr>
                <w:p w14:paraId="279D5109">
                  <w:pPr>
                    <w:adjustRightInd w:val="0"/>
                    <w:snapToGrid w:val="0"/>
                    <w:rPr>
                      <w:szCs w:val="21"/>
                    </w:rPr>
                  </w:pPr>
                  <w:r>
                    <w:rPr>
                      <w:szCs w:val="21"/>
                    </w:rPr>
                    <w:t>现有项目已履行例行监测要求，扩建项目建成后将按要求履行例行监测计划。</w:t>
                  </w:r>
                </w:p>
              </w:tc>
              <w:tc>
                <w:tcPr>
                  <w:tcW w:w="427" w:type="pct"/>
                  <w:vAlign w:val="center"/>
                </w:tcPr>
                <w:p w14:paraId="435CFBF1">
                  <w:pPr>
                    <w:spacing w:beforeLines="20" w:afterLines="20"/>
                    <w:jc w:val="center"/>
                    <w:rPr>
                      <w:szCs w:val="21"/>
                    </w:rPr>
                  </w:pPr>
                  <w:r>
                    <w:rPr>
                      <w:szCs w:val="21"/>
                    </w:rPr>
                    <w:t>相符</w:t>
                  </w:r>
                </w:p>
              </w:tc>
            </w:tr>
            <w:tr w14:paraId="64D62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1F15ECCD">
                  <w:pPr>
                    <w:spacing w:beforeLines="20" w:afterLines="20"/>
                    <w:jc w:val="center"/>
                    <w:rPr>
                      <w:szCs w:val="21"/>
                    </w:rPr>
                  </w:pPr>
                  <w:r>
                    <w:rPr>
                      <w:szCs w:val="21"/>
                    </w:rPr>
                    <w:t>8</w:t>
                  </w:r>
                </w:p>
              </w:tc>
              <w:tc>
                <w:tcPr>
                  <w:tcW w:w="459" w:type="pct"/>
                  <w:vMerge w:val="restart"/>
                  <w:vAlign w:val="center"/>
                </w:tcPr>
                <w:p w14:paraId="12764821">
                  <w:pPr>
                    <w:spacing w:beforeLines="20" w:afterLines="20"/>
                    <w:jc w:val="center"/>
                    <w:rPr>
                      <w:szCs w:val="21"/>
                    </w:rPr>
                  </w:pPr>
                  <w:r>
                    <w:rPr>
                      <w:szCs w:val="21"/>
                    </w:rPr>
                    <w:t>资源开发效率要求</w:t>
                  </w:r>
                </w:p>
              </w:tc>
              <w:tc>
                <w:tcPr>
                  <w:tcW w:w="2098" w:type="pct"/>
                  <w:vAlign w:val="center"/>
                </w:tcPr>
                <w:p w14:paraId="2B1081F0">
                  <w:pPr>
                    <w:adjustRightInd w:val="0"/>
                    <w:snapToGrid w:val="0"/>
                    <w:rPr>
                      <w:szCs w:val="21"/>
                    </w:rPr>
                  </w:pPr>
                  <w:r>
                    <w:rPr>
                      <w:szCs w:val="21"/>
                    </w:rPr>
                    <w:t>大力倡导使用清洁能源。</w:t>
                  </w:r>
                </w:p>
              </w:tc>
              <w:tc>
                <w:tcPr>
                  <w:tcW w:w="1644" w:type="pct"/>
                  <w:vAlign w:val="center"/>
                </w:tcPr>
                <w:p w14:paraId="0491F575">
                  <w:pPr>
                    <w:adjustRightInd w:val="0"/>
                    <w:snapToGrid w:val="0"/>
                    <w:rPr>
                      <w:szCs w:val="21"/>
                    </w:rPr>
                  </w:pPr>
                  <w:r>
                    <w:rPr>
                      <w:szCs w:val="21"/>
                    </w:rPr>
                    <w:t>项目生产过程中设备采用电力能源。</w:t>
                  </w:r>
                </w:p>
              </w:tc>
              <w:tc>
                <w:tcPr>
                  <w:tcW w:w="427" w:type="pct"/>
                  <w:vAlign w:val="center"/>
                </w:tcPr>
                <w:p w14:paraId="7652B1E1">
                  <w:pPr>
                    <w:spacing w:beforeLines="20" w:afterLines="20"/>
                    <w:jc w:val="center"/>
                    <w:rPr>
                      <w:szCs w:val="21"/>
                    </w:rPr>
                  </w:pPr>
                  <w:r>
                    <w:rPr>
                      <w:szCs w:val="21"/>
                    </w:rPr>
                    <w:t>相符</w:t>
                  </w:r>
                </w:p>
              </w:tc>
            </w:tr>
            <w:tr w14:paraId="38CF6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26DB4F29">
                  <w:pPr>
                    <w:spacing w:beforeLines="20" w:afterLines="20"/>
                    <w:jc w:val="center"/>
                    <w:rPr>
                      <w:szCs w:val="21"/>
                    </w:rPr>
                  </w:pPr>
                  <w:r>
                    <w:rPr>
                      <w:szCs w:val="21"/>
                    </w:rPr>
                    <w:t>9</w:t>
                  </w:r>
                </w:p>
              </w:tc>
              <w:tc>
                <w:tcPr>
                  <w:tcW w:w="459" w:type="pct"/>
                  <w:vMerge w:val="continue"/>
                  <w:vAlign w:val="center"/>
                </w:tcPr>
                <w:p w14:paraId="7979BB56">
                  <w:pPr>
                    <w:spacing w:beforeLines="20" w:afterLines="20"/>
                    <w:jc w:val="center"/>
                    <w:rPr>
                      <w:szCs w:val="21"/>
                    </w:rPr>
                  </w:pPr>
                </w:p>
              </w:tc>
              <w:tc>
                <w:tcPr>
                  <w:tcW w:w="2098" w:type="pct"/>
                  <w:vAlign w:val="center"/>
                </w:tcPr>
                <w:p w14:paraId="385FF731">
                  <w:pPr>
                    <w:adjustRightInd w:val="0"/>
                    <w:snapToGrid w:val="0"/>
                    <w:rPr>
                      <w:szCs w:val="21"/>
                    </w:rPr>
                  </w:pPr>
                  <w:r>
                    <w:rPr>
                      <w:szCs w:val="21"/>
                    </w:rPr>
                    <w:t>提升废水资源化技术，提高水资源回用率。</w:t>
                  </w:r>
                </w:p>
              </w:tc>
              <w:tc>
                <w:tcPr>
                  <w:tcW w:w="1644" w:type="pct"/>
                  <w:vAlign w:val="center"/>
                </w:tcPr>
                <w:p w14:paraId="10C8ED88">
                  <w:pPr>
                    <w:adjustRightInd w:val="0"/>
                    <w:snapToGrid w:val="0"/>
                    <w:rPr>
                      <w:szCs w:val="21"/>
                    </w:rPr>
                  </w:pPr>
                  <w:r>
                    <w:rPr>
                      <w:rFonts w:hint="eastAsia"/>
                      <w:kern w:val="0"/>
                      <w:szCs w:val="21"/>
                      <w:lang w:val="en-US" w:eastAsia="zh-CN"/>
                    </w:rPr>
                    <w:t>生产废水</w:t>
                  </w:r>
                  <w:r>
                    <w:rPr>
                      <w:kern w:val="0"/>
                      <w:szCs w:val="21"/>
                    </w:rPr>
                    <w:t>经厂区污水处理设施处理后回用。</w:t>
                  </w:r>
                </w:p>
              </w:tc>
              <w:tc>
                <w:tcPr>
                  <w:tcW w:w="427" w:type="pct"/>
                  <w:vAlign w:val="center"/>
                </w:tcPr>
                <w:p w14:paraId="79320E16">
                  <w:pPr>
                    <w:spacing w:beforeLines="20" w:afterLines="20"/>
                    <w:jc w:val="center"/>
                    <w:rPr>
                      <w:szCs w:val="21"/>
                    </w:rPr>
                  </w:pPr>
                  <w:r>
                    <w:rPr>
                      <w:szCs w:val="21"/>
                    </w:rPr>
                    <w:t>相符</w:t>
                  </w:r>
                </w:p>
              </w:tc>
            </w:tr>
            <w:tr w14:paraId="05F53B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69" w:type="pct"/>
                  <w:vAlign w:val="center"/>
                </w:tcPr>
                <w:p w14:paraId="584B72BD">
                  <w:pPr>
                    <w:spacing w:beforeLines="20" w:afterLines="20"/>
                    <w:jc w:val="center"/>
                    <w:rPr>
                      <w:szCs w:val="21"/>
                    </w:rPr>
                  </w:pPr>
                  <w:r>
                    <w:rPr>
                      <w:szCs w:val="21"/>
                    </w:rPr>
                    <w:t>10</w:t>
                  </w:r>
                </w:p>
              </w:tc>
              <w:tc>
                <w:tcPr>
                  <w:tcW w:w="459" w:type="pct"/>
                  <w:vMerge w:val="continue"/>
                  <w:vAlign w:val="center"/>
                </w:tcPr>
                <w:p w14:paraId="6A902FBA">
                  <w:pPr>
                    <w:spacing w:beforeLines="20" w:afterLines="20"/>
                    <w:jc w:val="center"/>
                    <w:rPr>
                      <w:szCs w:val="21"/>
                    </w:rPr>
                  </w:pPr>
                </w:p>
              </w:tc>
              <w:tc>
                <w:tcPr>
                  <w:tcW w:w="2098" w:type="pct"/>
                  <w:vAlign w:val="center"/>
                </w:tcPr>
                <w:p w14:paraId="18F7CD5B">
                  <w:pPr>
                    <w:adjustRightInd w:val="0"/>
                    <w:snapToGrid w:val="0"/>
                    <w:rPr>
                      <w:szCs w:val="21"/>
                    </w:rPr>
                  </w:pPr>
                  <w:r>
                    <w:rPr>
                      <w:szCs w:val="21"/>
                    </w:rPr>
                    <w:t>禁燃区内禁止新建、扩建燃用高污染燃料的项目和设施，已建成的应逐步或依法限期改用天然气、电或者其他清洁能源。</w:t>
                  </w:r>
                </w:p>
              </w:tc>
              <w:tc>
                <w:tcPr>
                  <w:tcW w:w="1644" w:type="pct"/>
                  <w:vAlign w:val="center"/>
                </w:tcPr>
                <w:p w14:paraId="3CAC2412">
                  <w:pPr>
                    <w:adjustRightInd w:val="0"/>
                    <w:snapToGrid w:val="0"/>
                    <w:rPr>
                      <w:szCs w:val="21"/>
                    </w:rPr>
                  </w:pPr>
                  <w:r>
                    <w:rPr>
                      <w:szCs w:val="21"/>
                    </w:rPr>
                    <w:t>扩建项目及现有项目均不使用燃料，生产过程中设备均采用电力能源。</w:t>
                  </w:r>
                </w:p>
              </w:tc>
              <w:tc>
                <w:tcPr>
                  <w:tcW w:w="427" w:type="pct"/>
                  <w:vAlign w:val="center"/>
                </w:tcPr>
                <w:p w14:paraId="4AC15663">
                  <w:pPr>
                    <w:spacing w:beforeLines="20" w:afterLines="20"/>
                    <w:jc w:val="center"/>
                    <w:rPr>
                      <w:szCs w:val="21"/>
                    </w:rPr>
                  </w:pPr>
                  <w:r>
                    <w:rPr>
                      <w:szCs w:val="21"/>
                    </w:rPr>
                    <w:t>相符</w:t>
                  </w:r>
                </w:p>
              </w:tc>
            </w:tr>
          </w:tbl>
          <w:p w14:paraId="79D83780">
            <w:pPr>
              <w:pStyle w:val="5"/>
              <w:adjustRightInd w:val="0"/>
              <w:snapToGrid w:val="0"/>
              <w:spacing w:beforeLines="50" w:line="360" w:lineRule="auto"/>
              <w:ind w:firstLine="422"/>
              <w:rPr>
                <w:b/>
                <w:bCs/>
                <w:szCs w:val="21"/>
              </w:rPr>
            </w:pPr>
            <w:r>
              <w:rPr>
                <w:b/>
                <w:bCs/>
                <w:szCs w:val="21"/>
              </w:rPr>
              <w:t>（4）与《省生态环境厅关于进一步做好建设项目环境审批工作的通知》（苏环办[2019]36号）相符性</w:t>
            </w:r>
          </w:p>
          <w:p w14:paraId="63545A6B">
            <w:pPr>
              <w:pStyle w:val="5"/>
              <w:adjustRightInd w:val="0"/>
              <w:snapToGrid w:val="0"/>
              <w:spacing w:line="360" w:lineRule="auto"/>
              <w:ind w:firstLine="420"/>
              <w:rPr>
                <w:szCs w:val="21"/>
              </w:rPr>
            </w:pPr>
            <w:r>
              <w:rPr>
                <w:szCs w:val="21"/>
              </w:rPr>
              <w:t>项目与《省生态环境厅关于进一步做好建设项目环境审批工作的通知》（苏环办[2019]36号）相符性分析见表1-10。</w:t>
            </w:r>
          </w:p>
          <w:p w14:paraId="2A9D8C4B">
            <w:pPr>
              <w:pStyle w:val="5"/>
              <w:adjustRightInd w:val="0"/>
              <w:snapToGrid w:val="0"/>
              <w:spacing w:line="360" w:lineRule="auto"/>
              <w:ind w:firstLine="420"/>
              <w:rPr>
                <w:szCs w:val="21"/>
              </w:rPr>
            </w:pPr>
          </w:p>
          <w:p w14:paraId="0F5D4EB4">
            <w:pPr>
              <w:pStyle w:val="5"/>
              <w:adjustRightInd w:val="0"/>
              <w:snapToGrid w:val="0"/>
              <w:spacing w:line="360" w:lineRule="auto"/>
              <w:ind w:firstLine="420"/>
              <w:rPr>
                <w:szCs w:val="21"/>
              </w:rPr>
            </w:pPr>
          </w:p>
          <w:p w14:paraId="7CF08954">
            <w:pPr>
              <w:pStyle w:val="5"/>
              <w:adjustRightInd w:val="0"/>
              <w:snapToGrid w:val="0"/>
              <w:ind w:firstLine="0" w:firstLineChars="0"/>
              <w:jc w:val="center"/>
              <w:rPr>
                <w:b/>
                <w:bCs/>
                <w:szCs w:val="21"/>
              </w:rPr>
            </w:pPr>
            <w:r>
              <w:rPr>
                <w:b/>
                <w:bCs/>
                <w:szCs w:val="21"/>
              </w:rPr>
              <w:t>表1-10  与《省生态环境厅关于进一步做好建设项目环评审批工作的通知》相符性分析</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037"/>
              <w:gridCol w:w="2530"/>
              <w:gridCol w:w="653"/>
            </w:tblGrid>
            <w:tr w14:paraId="0F5A4F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7" w:type="dxa"/>
                  <w:vAlign w:val="center"/>
                </w:tcPr>
                <w:p w14:paraId="2E465D9B">
                  <w:pPr>
                    <w:pStyle w:val="52"/>
                    <w:adjustRightInd w:val="0"/>
                    <w:snapToGrid w:val="0"/>
                    <w:spacing w:line="240" w:lineRule="auto"/>
                    <w:rPr>
                      <w:rFonts w:eastAsia="宋体"/>
                      <w:b/>
                      <w:szCs w:val="21"/>
                    </w:rPr>
                  </w:pPr>
                  <w:r>
                    <w:rPr>
                      <w:rFonts w:eastAsia="宋体"/>
                      <w:b/>
                      <w:szCs w:val="21"/>
                    </w:rPr>
                    <w:t>与项目相关要求</w:t>
                  </w:r>
                </w:p>
              </w:tc>
              <w:tc>
                <w:tcPr>
                  <w:tcW w:w="2672" w:type="dxa"/>
                  <w:vAlign w:val="center"/>
                </w:tcPr>
                <w:p w14:paraId="058DCED4">
                  <w:pPr>
                    <w:pStyle w:val="52"/>
                    <w:adjustRightInd w:val="0"/>
                    <w:snapToGrid w:val="0"/>
                    <w:spacing w:line="240" w:lineRule="auto"/>
                    <w:rPr>
                      <w:rFonts w:eastAsia="宋体"/>
                      <w:b/>
                      <w:szCs w:val="21"/>
                    </w:rPr>
                  </w:pPr>
                  <w:r>
                    <w:rPr>
                      <w:rFonts w:eastAsia="宋体"/>
                      <w:b/>
                      <w:szCs w:val="21"/>
                    </w:rPr>
                    <w:t>本项目相符性分析</w:t>
                  </w:r>
                </w:p>
              </w:tc>
              <w:tc>
                <w:tcPr>
                  <w:tcW w:w="687" w:type="dxa"/>
                  <w:vAlign w:val="center"/>
                </w:tcPr>
                <w:p w14:paraId="6B56F939">
                  <w:pPr>
                    <w:pStyle w:val="52"/>
                    <w:adjustRightInd w:val="0"/>
                    <w:snapToGrid w:val="0"/>
                    <w:spacing w:line="240" w:lineRule="auto"/>
                    <w:rPr>
                      <w:rFonts w:eastAsia="宋体"/>
                      <w:b/>
                      <w:szCs w:val="21"/>
                    </w:rPr>
                  </w:pPr>
                  <w:r>
                    <w:rPr>
                      <w:rFonts w:eastAsia="宋体"/>
                      <w:b/>
                      <w:szCs w:val="21"/>
                    </w:rPr>
                    <w:t>是否符合</w:t>
                  </w:r>
                </w:p>
              </w:tc>
            </w:tr>
            <w:tr w14:paraId="6AACCA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7" w:type="dxa"/>
                  <w:vAlign w:val="center"/>
                </w:tcPr>
                <w:p w14:paraId="2C404B1B">
                  <w:pPr>
                    <w:adjustRightInd w:val="0"/>
                    <w:snapToGrid w:val="0"/>
                    <w:rPr>
                      <w:szCs w:val="21"/>
                    </w:rPr>
                  </w:pPr>
                  <w:r>
                    <w:rPr>
                      <w:szCs w:val="21"/>
                    </w:rPr>
                    <w:t>有下列情形之一的，不予批准：（1）建设项目类型及其选址、布局、规模等不符合环境保护法律法规和相关法定规划；（2）所在区域环境质量未达到国家或者地方环境质量标准，且建设项目拟采取的措施不能满足区域环境质量改善目标管理要求；（3）建设项目采取的污染防治措施无法确保污染物排放达到国家和地方排放标准，或者未采取必要措施预防和控制生态破坏；（4）改建、扩建和技术改造项目，未针对项目原有环境污染和生态破坏提出有效防止措施；（5）建设项目的环境影响报告书、环境影响报告表的基础资料数据明显不实，内容存在重大缺陷、遗漏，或者环境影响评价结论不明确、不合理。</w:t>
                  </w:r>
                </w:p>
              </w:tc>
              <w:tc>
                <w:tcPr>
                  <w:tcW w:w="2672" w:type="dxa"/>
                  <w:vAlign w:val="center"/>
                </w:tcPr>
                <w:p w14:paraId="41D93D86">
                  <w:pPr>
                    <w:adjustRightInd w:val="0"/>
                    <w:snapToGrid w:val="0"/>
                    <w:rPr>
                      <w:szCs w:val="21"/>
                    </w:rPr>
                  </w:pPr>
                  <w:r>
                    <w:rPr>
                      <w:szCs w:val="21"/>
                    </w:rPr>
                    <w:t>（1）项目选址位于</w:t>
                  </w:r>
                  <w:r>
                    <w:rPr>
                      <w:kern w:val="0"/>
                      <w:szCs w:val="21"/>
                    </w:rPr>
                    <w:t>江苏省金坛华罗庚高新技术产业开发区金东现代产业园片区</w:t>
                  </w:r>
                  <w:r>
                    <w:rPr>
                      <w:szCs w:val="21"/>
                    </w:rPr>
                    <w:t>，符合其规划要求；（2）项目采取的措施能够满足区域环境质量改善目标管理要求；（3）项目采取的污染防治措施能够满足污染物排放达到相关排放标准；（4）本项目为扩建项目，原有项目未造成环境污染和生态破坏；（5）本项目基础资料数据符合实际情况。</w:t>
                  </w:r>
                </w:p>
              </w:tc>
              <w:tc>
                <w:tcPr>
                  <w:tcW w:w="687" w:type="dxa"/>
                  <w:vAlign w:val="center"/>
                </w:tcPr>
                <w:p w14:paraId="61DED594">
                  <w:pPr>
                    <w:pStyle w:val="52"/>
                    <w:adjustRightInd w:val="0"/>
                    <w:snapToGrid w:val="0"/>
                    <w:spacing w:line="240" w:lineRule="auto"/>
                    <w:rPr>
                      <w:rFonts w:eastAsia="宋体"/>
                      <w:szCs w:val="21"/>
                    </w:rPr>
                  </w:pPr>
                  <w:r>
                    <w:rPr>
                      <w:rFonts w:eastAsia="宋体"/>
                      <w:szCs w:val="21"/>
                    </w:rPr>
                    <w:t>符合</w:t>
                  </w:r>
                </w:p>
              </w:tc>
            </w:tr>
            <w:tr w14:paraId="43904F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7" w:type="dxa"/>
                  <w:vAlign w:val="center"/>
                </w:tcPr>
                <w:p w14:paraId="17DAB17A">
                  <w:pPr>
                    <w:adjustRightInd w:val="0"/>
                    <w:snapToGrid w:val="0"/>
                    <w:rPr>
                      <w:szCs w:val="21"/>
                    </w:rPr>
                  </w:pPr>
                  <w:r>
                    <w:rPr>
                      <w:szCs w:val="21"/>
                    </w:rPr>
                    <w:t>排放主要污染物的建设项目，在环境影响评价文件审批前，须取得主要污染物排放总量指标。</w:t>
                  </w:r>
                </w:p>
              </w:tc>
              <w:tc>
                <w:tcPr>
                  <w:tcW w:w="2672" w:type="dxa"/>
                  <w:vAlign w:val="center"/>
                </w:tcPr>
                <w:p w14:paraId="18A6CCEB">
                  <w:pPr>
                    <w:adjustRightInd w:val="0"/>
                    <w:snapToGrid w:val="0"/>
                    <w:rPr>
                      <w:szCs w:val="21"/>
                    </w:rPr>
                  </w:pPr>
                  <w:r>
                    <w:rPr>
                      <w:szCs w:val="21"/>
                    </w:rPr>
                    <w:t>项目将按要求申请总量指标。</w:t>
                  </w:r>
                </w:p>
              </w:tc>
              <w:tc>
                <w:tcPr>
                  <w:tcW w:w="687" w:type="dxa"/>
                  <w:vAlign w:val="center"/>
                </w:tcPr>
                <w:p w14:paraId="00F94C38">
                  <w:pPr>
                    <w:adjustRightInd w:val="0"/>
                    <w:snapToGrid w:val="0"/>
                    <w:jc w:val="center"/>
                    <w:rPr>
                      <w:szCs w:val="21"/>
                    </w:rPr>
                  </w:pPr>
                  <w:r>
                    <w:rPr>
                      <w:szCs w:val="21"/>
                    </w:rPr>
                    <w:t>符合</w:t>
                  </w:r>
                </w:p>
              </w:tc>
            </w:tr>
            <w:tr w14:paraId="76D31B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7" w:type="dxa"/>
                  <w:vAlign w:val="center"/>
                </w:tcPr>
                <w:p w14:paraId="33F01643">
                  <w:pPr>
                    <w:adjustRightInd w:val="0"/>
                    <w:snapToGrid w:val="0"/>
                    <w:rPr>
                      <w:szCs w:val="21"/>
                    </w:rPr>
                  </w:pPr>
                  <w:r>
                    <w:rPr>
                      <w:szCs w:val="21"/>
                    </w:rPr>
                    <w:t>严禁在长江干流及主要支流岸线1公里范围内新建布局化工园区和化工企业。</w:t>
                  </w:r>
                </w:p>
              </w:tc>
              <w:tc>
                <w:tcPr>
                  <w:tcW w:w="2672" w:type="dxa"/>
                  <w:vAlign w:val="center"/>
                </w:tcPr>
                <w:p w14:paraId="5570A6B9">
                  <w:pPr>
                    <w:adjustRightInd w:val="0"/>
                    <w:snapToGrid w:val="0"/>
                    <w:rPr>
                      <w:szCs w:val="21"/>
                    </w:rPr>
                  </w:pPr>
                  <w:r>
                    <w:rPr>
                      <w:szCs w:val="21"/>
                    </w:rPr>
                    <w:t>项目不在长江干流及主要支流岸线1公里范围内。</w:t>
                  </w:r>
                </w:p>
              </w:tc>
              <w:tc>
                <w:tcPr>
                  <w:tcW w:w="687" w:type="dxa"/>
                  <w:vAlign w:val="center"/>
                </w:tcPr>
                <w:p w14:paraId="1347A242">
                  <w:pPr>
                    <w:adjustRightInd w:val="0"/>
                    <w:snapToGrid w:val="0"/>
                    <w:jc w:val="center"/>
                    <w:rPr>
                      <w:szCs w:val="21"/>
                    </w:rPr>
                  </w:pPr>
                  <w:r>
                    <w:rPr>
                      <w:szCs w:val="21"/>
                    </w:rPr>
                    <w:t>符合</w:t>
                  </w:r>
                </w:p>
              </w:tc>
            </w:tr>
            <w:tr w14:paraId="1EFB3A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7" w:type="dxa"/>
                  <w:vAlign w:val="center"/>
                </w:tcPr>
                <w:p w14:paraId="6D8ED749">
                  <w:pPr>
                    <w:adjustRightInd w:val="0"/>
                    <w:snapToGrid w:val="0"/>
                    <w:rPr>
                      <w:szCs w:val="21"/>
                    </w:rPr>
                  </w:pPr>
                  <w:r>
                    <w:rPr>
                      <w:szCs w:val="21"/>
                    </w:rPr>
                    <w:t>生态保护红线原则上按禁止开发区域的要求进行管理，严禁不符合主体功能定位的各类开发活动，严禁任意改变用途。</w:t>
                  </w:r>
                </w:p>
              </w:tc>
              <w:tc>
                <w:tcPr>
                  <w:tcW w:w="2672" w:type="dxa"/>
                  <w:vAlign w:val="center"/>
                </w:tcPr>
                <w:p w14:paraId="1B8787D0">
                  <w:pPr>
                    <w:adjustRightInd w:val="0"/>
                    <w:snapToGrid w:val="0"/>
                    <w:rPr>
                      <w:szCs w:val="21"/>
                    </w:rPr>
                  </w:pPr>
                  <w:r>
                    <w:rPr>
                      <w:szCs w:val="21"/>
                    </w:rPr>
                    <w:t>项目不在生态保护红线范围内。</w:t>
                  </w:r>
                </w:p>
              </w:tc>
              <w:tc>
                <w:tcPr>
                  <w:tcW w:w="687" w:type="dxa"/>
                  <w:vAlign w:val="center"/>
                </w:tcPr>
                <w:p w14:paraId="11C6E185">
                  <w:pPr>
                    <w:adjustRightInd w:val="0"/>
                    <w:snapToGrid w:val="0"/>
                    <w:jc w:val="center"/>
                    <w:rPr>
                      <w:szCs w:val="21"/>
                    </w:rPr>
                  </w:pPr>
                  <w:r>
                    <w:rPr>
                      <w:szCs w:val="21"/>
                    </w:rPr>
                    <w:t>符合</w:t>
                  </w:r>
                </w:p>
              </w:tc>
            </w:tr>
            <w:tr w14:paraId="3DD75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67" w:type="dxa"/>
                  <w:vAlign w:val="center"/>
                </w:tcPr>
                <w:p w14:paraId="4E0C4B9F">
                  <w:pPr>
                    <w:adjustRightInd w:val="0"/>
                    <w:snapToGrid w:val="0"/>
                    <w:rPr>
                      <w:szCs w:val="21"/>
                    </w:rPr>
                  </w:pPr>
                  <w:r>
                    <w:rPr>
                      <w:szCs w:val="21"/>
                    </w:rPr>
                    <w:t>禁止审批无法落实危险废物利用、处置途径的项目，从严审批危险废物产生量大、本地无配套利用处置能力、且需设区市统筹解决的项目。</w:t>
                  </w:r>
                </w:p>
              </w:tc>
              <w:tc>
                <w:tcPr>
                  <w:tcW w:w="2672" w:type="dxa"/>
                  <w:vAlign w:val="center"/>
                </w:tcPr>
                <w:p w14:paraId="3AA946AB">
                  <w:pPr>
                    <w:adjustRightInd w:val="0"/>
                    <w:snapToGrid w:val="0"/>
                    <w:rPr>
                      <w:szCs w:val="21"/>
                    </w:rPr>
                  </w:pPr>
                  <w:r>
                    <w:rPr>
                      <w:szCs w:val="21"/>
                    </w:rPr>
                    <w:t>项目产生的危险废物均收集后委托有资质单位处置。</w:t>
                  </w:r>
                </w:p>
              </w:tc>
              <w:tc>
                <w:tcPr>
                  <w:tcW w:w="687" w:type="dxa"/>
                  <w:vAlign w:val="center"/>
                </w:tcPr>
                <w:p w14:paraId="5B6DE1EB">
                  <w:pPr>
                    <w:adjustRightInd w:val="0"/>
                    <w:snapToGrid w:val="0"/>
                    <w:jc w:val="center"/>
                    <w:rPr>
                      <w:szCs w:val="21"/>
                    </w:rPr>
                  </w:pPr>
                  <w:r>
                    <w:rPr>
                      <w:szCs w:val="21"/>
                    </w:rPr>
                    <w:t>符合</w:t>
                  </w:r>
                </w:p>
              </w:tc>
            </w:tr>
          </w:tbl>
          <w:p w14:paraId="60EEB07C">
            <w:pPr>
              <w:pStyle w:val="82"/>
              <w:ind w:firstLine="480"/>
              <w:rPr>
                <w:color w:val="auto"/>
              </w:rPr>
            </w:pPr>
          </w:p>
          <w:p w14:paraId="792A60A1">
            <w:pPr>
              <w:pStyle w:val="82"/>
              <w:ind w:firstLine="480"/>
              <w:rPr>
                <w:color w:val="auto"/>
              </w:rPr>
            </w:pPr>
          </w:p>
          <w:p w14:paraId="3E51BA8E">
            <w:pPr>
              <w:pStyle w:val="82"/>
              <w:ind w:firstLine="480"/>
              <w:rPr>
                <w:color w:val="auto"/>
              </w:rPr>
            </w:pPr>
          </w:p>
          <w:p w14:paraId="63BE10A0">
            <w:pPr>
              <w:pStyle w:val="82"/>
              <w:ind w:firstLine="480"/>
              <w:rPr>
                <w:color w:val="auto"/>
              </w:rPr>
            </w:pPr>
          </w:p>
          <w:p w14:paraId="58CEB9B7">
            <w:pPr>
              <w:pStyle w:val="82"/>
              <w:ind w:firstLine="480"/>
              <w:rPr>
                <w:color w:val="auto"/>
              </w:rPr>
            </w:pPr>
          </w:p>
          <w:p w14:paraId="0F7976EC">
            <w:pPr>
              <w:pStyle w:val="82"/>
              <w:ind w:firstLine="480"/>
              <w:rPr>
                <w:color w:val="auto"/>
              </w:rPr>
            </w:pPr>
          </w:p>
          <w:p w14:paraId="50A419DA">
            <w:pPr>
              <w:pStyle w:val="82"/>
              <w:ind w:firstLine="480"/>
              <w:rPr>
                <w:color w:val="auto"/>
              </w:rPr>
            </w:pPr>
          </w:p>
          <w:p w14:paraId="1222EB1C">
            <w:pPr>
              <w:pStyle w:val="82"/>
              <w:ind w:firstLine="480"/>
              <w:rPr>
                <w:color w:val="auto"/>
              </w:rPr>
            </w:pPr>
          </w:p>
          <w:p w14:paraId="4E811F6B">
            <w:pPr>
              <w:pStyle w:val="4"/>
              <w:numPr>
                <w:ilvl w:val="2"/>
                <w:numId w:val="0"/>
              </w:numPr>
              <w:spacing w:before="0" w:after="0" w:line="240" w:lineRule="auto"/>
              <w:rPr>
                <w:sz w:val="21"/>
                <w:szCs w:val="21"/>
              </w:rPr>
            </w:pPr>
          </w:p>
        </w:tc>
      </w:tr>
    </w:tbl>
    <w:p w14:paraId="530E4F82">
      <w:pPr>
        <w:sectPr>
          <w:footerReference r:id="rId6" w:type="default"/>
          <w:pgSz w:w="11906" w:h="16838"/>
          <w:pgMar w:top="1701" w:right="1531" w:bottom="1701" w:left="1531" w:header="851" w:footer="851" w:gutter="0"/>
          <w:pgNumType w:start="1"/>
          <w:cols w:space="720" w:num="1"/>
          <w:docGrid w:linePitch="312" w:charSpace="0"/>
        </w:sectPr>
      </w:pPr>
    </w:p>
    <w:p w14:paraId="5C892FA2">
      <w:pPr>
        <w:pStyle w:val="21"/>
        <w:jc w:val="center"/>
        <w:outlineLvl w:val="0"/>
        <w:rPr>
          <w:rFonts w:ascii="Times New Roman" w:hAnsi="Times New Roman"/>
          <w:b/>
          <w:bCs/>
          <w:snapToGrid w:val="0"/>
          <w:szCs w:val="24"/>
        </w:rPr>
      </w:pPr>
      <w:bookmarkStart w:id="6" w:name="_Toc23237"/>
      <w:r>
        <w:rPr>
          <w:rFonts w:ascii="Times New Roman" w:hAnsi="Times New Roman"/>
          <w:b/>
          <w:bCs/>
          <w:snapToGrid w:val="0"/>
          <w:szCs w:val="24"/>
        </w:rPr>
        <w:t>二、建设项目工程分析</w:t>
      </w:r>
      <w:bookmarkEnd w:id="6"/>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602"/>
      </w:tblGrid>
      <w:tr w14:paraId="0CC7C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dxa"/>
            <w:vAlign w:val="center"/>
          </w:tcPr>
          <w:p w14:paraId="169F957F">
            <w:pPr>
              <w:pStyle w:val="21"/>
              <w:widowControl w:val="0"/>
              <w:adjustRightInd w:val="0"/>
              <w:snapToGrid w:val="0"/>
              <w:spacing w:before="0" w:beforeAutospacing="0" w:after="0" w:afterAutospacing="0"/>
              <w:jc w:val="center"/>
              <w:rPr>
                <w:rFonts w:ascii="Times New Roman" w:hAnsi="Times New Roman"/>
                <w:kern w:val="2"/>
                <w:sz w:val="21"/>
                <w:szCs w:val="21"/>
              </w:rPr>
            </w:pPr>
          </w:p>
          <w:p w14:paraId="4BD919C6">
            <w:pPr>
              <w:pStyle w:val="21"/>
              <w:widowControl w:val="0"/>
              <w:adjustRightInd w:val="0"/>
              <w:snapToGrid w:val="0"/>
              <w:spacing w:before="0" w:beforeAutospacing="0" w:after="0" w:afterAutospacing="0"/>
              <w:jc w:val="center"/>
              <w:rPr>
                <w:rFonts w:ascii="Times New Roman" w:hAnsi="Times New Roman"/>
                <w:kern w:val="2"/>
                <w:sz w:val="21"/>
                <w:szCs w:val="21"/>
              </w:rPr>
            </w:pPr>
          </w:p>
          <w:p w14:paraId="780902AC">
            <w:pPr>
              <w:pStyle w:val="21"/>
              <w:widowControl w:val="0"/>
              <w:adjustRightInd w:val="0"/>
              <w:snapToGrid w:val="0"/>
              <w:spacing w:before="0" w:beforeAutospacing="0" w:after="0" w:afterAutospacing="0"/>
              <w:jc w:val="center"/>
              <w:rPr>
                <w:rFonts w:ascii="Times New Roman" w:hAnsi="Times New Roman"/>
                <w:kern w:val="2"/>
                <w:sz w:val="21"/>
                <w:szCs w:val="21"/>
              </w:rPr>
            </w:pPr>
          </w:p>
          <w:p w14:paraId="2DE5648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59E73FF2">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EAB1F13">
            <w:pPr>
              <w:pStyle w:val="21"/>
              <w:widowControl w:val="0"/>
              <w:adjustRightInd w:val="0"/>
              <w:snapToGrid w:val="0"/>
              <w:spacing w:before="0" w:beforeAutospacing="0" w:after="0" w:afterAutospacing="0"/>
              <w:jc w:val="center"/>
              <w:rPr>
                <w:rFonts w:ascii="Times New Roman" w:hAnsi="Times New Roman"/>
                <w:kern w:val="2"/>
                <w:sz w:val="21"/>
                <w:szCs w:val="21"/>
              </w:rPr>
            </w:pPr>
          </w:p>
          <w:p w14:paraId="5FE8D99E">
            <w:pPr>
              <w:pStyle w:val="21"/>
              <w:widowControl w:val="0"/>
              <w:adjustRightInd w:val="0"/>
              <w:snapToGrid w:val="0"/>
              <w:spacing w:before="0" w:beforeAutospacing="0" w:after="0" w:afterAutospacing="0"/>
              <w:jc w:val="center"/>
              <w:rPr>
                <w:rFonts w:ascii="Times New Roman" w:hAnsi="Times New Roman"/>
                <w:kern w:val="2"/>
                <w:sz w:val="21"/>
                <w:szCs w:val="21"/>
              </w:rPr>
            </w:pPr>
          </w:p>
          <w:p w14:paraId="6A690D44">
            <w:pPr>
              <w:pStyle w:val="21"/>
              <w:widowControl w:val="0"/>
              <w:adjustRightInd w:val="0"/>
              <w:snapToGrid w:val="0"/>
              <w:spacing w:before="0" w:beforeAutospacing="0" w:after="0" w:afterAutospacing="0"/>
              <w:jc w:val="center"/>
              <w:rPr>
                <w:rFonts w:ascii="Times New Roman" w:hAnsi="Times New Roman"/>
                <w:kern w:val="2"/>
                <w:sz w:val="21"/>
                <w:szCs w:val="21"/>
              </w:rPr>
            </w:pPr>
          </w:p>
          <w:p w14:paraId="55448D0D">
            <w:pPr>
              <w:pStyle w:val="21"/>
              <w:widowControl w:val="0"/>
              <w:adjustRightInd w:val="0"/>
              <w:snapToGrid w:val="0"/>
              <w:spacing w:before="0" w:beforeAutospacing="0" w:after="0" w:afterAutospacing="0"/>
              <w:jc w:val="center"/>
              <w:rPr>
                <w:rFonts w:ascii="Times New Roman" w:hAnsi="Times New Roman"/>
                <w:kern w:val="2"/>
                <w:sz w:val="21"/>
                <w:szCs w:val="21"/>
              </w:rPr>
            </w:pPr>
          </w:p>
          <w:p w14:paraId="4D1728B4">
            <w:pPr>
              <w:pStyle w:val="21"/>
              <w:widowControl w:val="0"/>
              <w:adjustRightInd w:val="0"/>
              <w:snapToGrid w:val="0"/>
              <w:spacing w:before="0" w:beforeAutospacing="0" w:after="0" w:afterAutospacing="0"/>
              <w:jc w:val="center"/>
              <w:rPr>
                <w:rFonts w:ascii="Times New Roman" w:hAnsi="Times New Roman"/>
                <w:kern w:val="2"/>
                <w:sz w:val="21"/>
                <w:szCs w:val="21"/>
              </w:rPr>
            </w:pPr>
          </w:p>
          <w:p w14:paraId="2541B2B3">
            <w:pPr>
              <w:pStyle w:val="21"/>
              <w:widowControl w:val="0"/>
              <w:adjustRightInd w:val="0"/>
              <w:snapToGrid w:val="0"/>
              <w:spacing w:before="0" w:beforeAutospacing="0" w:after="0" w:afterAutospacing="0"/>
              <w:jc w:val="center"/>
              <w:rPr>
                <w:rFonts w:ascii="Times New Roman" w:hAnsi="Times New Roman"/>
                <w:kern w:val="2"/>
                <w:sz w:val="21"/>
                <w:szCs w:val="21"/>
              </w:rPr>
            </w:pPr>
          </w:p>
          <w:p w14:paraId="61828D6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214F1E6C">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1C0D473">
            <w:pPr>
              <w:pStyle w:val="21"/>
              <w:widowControl w:val="0"/>
              <w:adjustRightInd w:val="0"/>
              <w:snapToGrid w:val="0"/>
              <w:spacing w:before="0" w:beforeAutospacing="0" w:after="0" w:afterAutospacing="0"/>
              <w:jc w:val="center"/>
              <w:rPr>
                <w:rFonts w:ascii="Times New Roman" w:hAnsi="Times New Roman"/>
                <w:kern w:val="2"/>
                <w:sz w:val="21"/>
                <w:szCs w:val="21"/>
              </w:rPr>
            </w:pPr>
          </w:p>
          <w:p w14:paraId="44CADA4F">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A31857D">
            <w:pPr>
              <w:pStyle w:val="21"/>
              <w:widowControl w:val="0"/>
              <w:adjustRightInd w:val="0"/>
              <w:snapToGrid w:val="0"/>
              <w:spacing w:before="0" w:beforeAutospacing="0" w:after="0" w:afterAutospacing="0"/>
              <w:jc w:val="center"/>
              <w:rPr>
                <w:rFonts w:ascii="Times New Roman" w:hAnsi="Times New Roman"/>
                <w:kern w:val="2"/>
                <w:sz w:val="21"/>
                <w:szCs w:val="21"/>
              </w:rPr>
            </w:pPr>
          </w:p>
          <w:p w14:paraId="03243404">
            <w:pPr>
              <w:pStyle w:val="21"/>
              <w:widowControl w:val="0"/>
              <w:adjustRightInd w:val="0"/>
              <w:snapToGrid w:val="0"/>
              <w:spacing w:before="0" w:beforeAutospacing="0" w:after="0" w:afterAutospacing="0"/>
              <w:jc w:val="center"/>
              <w:rPr>
                <w:rFonts w:ascii="Times New Roman" w:hAnsi="Times New Roman"/>
                <w:kern w:val="2"/>
                <w:sz w:val="21"/>
                <w:szCs w:val="21"/>
              </w:rPr>
            </w:pPr>
          </w:p>
          <w:p w14:paraId="3DDCA495">
            <w:pPr>
              <w:pStyle w:val="21"/>
              <w:widowControl w:val="0"/>
              <w:adjustRightInd w:val="0"/>
              <w:snapToGrid w:val="0"/>
              <w:spacing w:before="0" w:beforeAutospacing="0" w:after="0" w:afterAutospacing="0"/>
              <w:jc w:val="center"/>
              <w:rPr>
                <w:rFonts w:ascii="Times New Roman" w:hAnsi="Times New Roman"/>
                <w:kern w:val="2"/>
                <w:sz w:val="21"/>
                <w:szCs w:val="21"/>
              </w:rPr>
            </w:pPr>
          </w:p>
          <w:p w14:paraId="0C6B7A8A">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F4D7F59">
            <w:pPr>
              <w:pStyle w:val="21"/>
              <w:widowControl w:val="0"/>
              <w:adjustRightInd w:val="0"/>
              <w:snapToGrid w:val="0"/>
              <w:spacing w:before="0" w:beforeAutospacing="0" w:after="0" w:afterAutospacing="0"/>
              <w:jc w:val="center"/>
              <w:rPr>
                <w:rFonts w:ascii="Times New Roman" w:hAnsi="Times New Roman"/>
                <w:kern w:val="2"/>
                <w:sz w:val="21"/>
                <w:szCs w:val="21"/>
              </w:rPr>
            </w:pPr>
          </w:p>
          <w:p w14:paraId="25C00982">
            <w:pPr>
              <w:pStyle w:val="21"/>
              <w:widowControl w:val="0"/>
              <w:adjustRightInd w:val="0"/>
              <w:snapToGrid w:val="0"/>
              <w:spacing w:before="0" w:beforeAutospacing="0" w:after="0" w:afterAutospacing="0"/>
              <w:jc w:val="center"/>
              <w:rPr>
                <w:rFonts w:ascii="Times New Roman" w:hAnsi="Times New Roman"/>
                <w:kern w:val="2"/>
                <w:sz w:val="21"/>
                <w:szCs w:val="21"/>
              </w:rPr>
            </w:pPr>
          </w:p>
          <w:p w14:paraId="72ED468F">
            <w:pPr>
              <w:pStyle w:val="21"/>
              <w:widowControl w:val="0"/>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建设内容</w:t>
            </w:r>
          </w:p>
          <w:p w14:paraId="4FCBEB71">
            <w:pPr>
              <w:pStyle w:val="21"/>
              <w:widowControl w:val="0"/>
              <w:adjustRightInd w:val="0"/>
              <w:snapToGrid w:val="0"/>
              <w:spacing w:before="0" w:beforeAutospacing="0" w:after="0" w:afterAutospacing="0"/>
              <w:jc w:val="center"/>
              <w:rPr>
                <w:rFonts w:ascii="Times New Roman" w:hAnsi="Times New Roman"/>
                <w:kern w:val="2"/>
                <w:sz w:val="21"/>
                <w:szCs w:val="21"/>
              </w:rPr>
            </w:pPr>
          </w:p>
          <w:p w14:paraId="0A4651E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793CF48E">
            <w:pPr>
              <w:pStyle w:val="21"/>
              <w:widowControl w:val="0"/>
              <w:adjustRightInd w:val="0"/>
              <w:snapToGrid w:val="0"/>
              <w:spacing w:before="0" w:beforeAutospacing="0" w:after="0" w:afterAutospacing="0"/>
              <w:jc w:val="center"/>
              <w:rPr>
                <w:rFonts w:ascii="Times New Roman" w:hAnsi="Times New Roman"/>
                <w:kern w:val="2"/>
                <w:sz w:val="21"/>
                <w:szCs w:val="21"/>
              </w:rPr>
            </w:pPr>
          </w:p>
          <w:p w14:paraId="7CED14D3">
            <w:pPr>
              <w:pStyle w:val="21"/>
              <w:widowControl w:val="0"/>
              <w:adjustRightInd w:val="0"/>
              <w:snapToGrid w:val="0"/>
              <w:spacing w:before="0" w:beforeAutospacing="0" w:after="0" w:afterAutospacing="0"/>
              <w:jc w:val="center"/>
              <w:rPr>
                <w:rFonts w:ascii="Times New Roman" w:hAnsi="Times New Roman"/>
                <w:kern w:val="2"/>
                <w:sz w:val="21"/>
                <w:szCs w:val="21"/>
              </w:rPr>
            </w:pPr>
          </w:p>
          <w:p w14:paraId="52E8C60E">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276ECB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69C2A1C3">
            <w:pPr>
              <w:pStyle w:val="21"/>
              <w:widowControl w:val="0"/>
              <w:adjustRightInd w:val="0"/>
              <w:snapToGrid w:val="0"/>
              <w:spacing w:before="0" w:beforeAutospacing="0" w:after="0" w:afterAutospacing="0"/>
              <w:jc w:val="center"/>
              <w:rPr>
                <w:rFonts w:ascii="Times New Roman" w:hAnsi="Times New Roman"/>
                <w:kern w:val="2"/>
                <w:sz w:val="21"/>
                <w:szCs w:val="21"/>
              </w:rPr>
            </w:pPr>
          </w:p>
          <w:p w14:paraId="34E3172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6E277D5C">
            <w:pPr>
              <w:pStyle w:val="21"/>
              <w:widowControl w:val="0"/>
              <w:adjustRightInd w:val="0"/>
              <w:snapToGrid w:val="0"/>
              <w:spacing w:before="0" w:beforeAutospacing="0" w:after="0" w:afterAutospacing="0"/>
              <w:jc w:val="center"/>
              <w:rPr>
                <w:rFonts w:ascii="Times New Roman" w:hAnsi="Times New Roman"/>
                <w:kern w:val="2"/>
                <w:sz w:val="21"/>
                <w:szCs w:val="21"/>
              </w:rPr>
            </w:pPr>
          </w:p>
          <w:p w14:paraId="3518D4DA">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A32FD6E">
            <w:pPr>
              <w:pStyle w:val="21"/>
              <w:widowControl w:val="0"/>
              <w:adjustRightInd w:val="0"/>
              <w:snapToGrid w:val="0"/>
              <w:spacing w:before="0" w:beforeAutospacing="0" w:after="0" w:afterAutospacing="0"/>
              <w:jc w:val="center"/>
              <w:rPr>
                <w:rFonts w:ascii="Times New Roman" w:hAnsi="Times New Roman"/>
                <w:kern w:val="2"/>
                <w:sz w:val="21"/>
                <w:szCs w:val="21"/>
              </w:rPr>
            </w:pPr>
          </w:p>
          <w:p w14:paraId="36453643">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330009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6586AD55">
            <w:pPr>
              <w:pStyle w:val="21"/>
              <w:widowControl w:val="0"/>
              <w:adjustRightInd w:val="0"/>
              <w:snapToGrid w:val="0"/>
              <w:spacing w:before="0" w:beforeAutospacing="0" w:after="0" w:afterAutospacing="0"/>
              <w:jc w:val="center"/>
              <w:rPr>
                <w:rFonts w:ascii="Times New Roman" w:hAnsi="Times New Roman"/>
                <w:kern w:val="2"/>
                <w:sz w:val="21"/>
                <w:szCs w:val="21"/>
              </w:rPr>
            </w:pPr>
          </w:p>
          <w:p w14:paraId="06A6B756">
            <w:pPr>
              <w:pStyle w:val="21"/>
              <w:widowControl w:val="0"/>
              <w:adjustRightInd w:val="0"/>
              <w:snapToGrid w:val="0"/>
              <w:spacing w:before="0" w:beforeAutospacing="0" w:after="0" w:afterAutospacing="0"/>
              <w:jc w:val="center"/>
              <w:rPr>
                <w:rFonts w:ascii="Times New Roman" w:hAnsi="Times New Roman"/>
                <w:kern w:val="2"/>
                <w:sz w:val="21"/>
                <w:szCs w:val="21"/>
              </w:rPr>
            </w:pPr>
          </w:p>
          <w:p w14:paraId="21061664">
            <w:pPr>
              <w:pStyle w:val="21"/>
              <w:widowControl w:val="0"/>
              <w:adjustRightInd w:val="0"/>
              <w:snapToGrid w:val="0"/>
              <w:spacing w:before="0" w:beforeAutospacing="0" w:after="0" w:afterAutospacing="0"/>
              <w:jc w:val="center"/>
              <w:rPr>
                <w:rFonts w:ascii="Times New Roman" w:hAnsi="Times New Roman"/>
                <w:kern w:val="2"/>
                <w:sz w:val="21"/>
                <w:szCs w:val="21"/>
              </w:rPr>
            </w:pPr>
          </w:p>
          <w:p w14:paraId="59F4D73E">
            <w:pPr>
              <w:pStyle w:val="21"/>
              <w:widowControl w:val="0"/>
              <w:adjustRightInd w:val="0"/>
              <w:snapToGrid w:val="0"/>
              <w:spacing w:before="0" w:beforeAutospacing="0" w:after="0" w:afterAutospacing="0"/>
              <w:jc w:val="center"/>
              <w:rPr>
                <w:rFonts w:ascii="Times New Roman" w:hAnsi="Times New Roman"/>
                <w:kern w:val="2"/>
                <w:sz w:val="21"/>
                <w:szCs w:val="21"/>
              </w:rPr>
            </w:pPr>
          </w:p>
          <w:p w14:paraId="64A9B804">
            <w:pPr>
              <w:pStyle w:val="21"/>
              <w:widowControl w:val="0"/>
              <w:adjustRightInd w:val="0"/>
              <w:snapToGrid w:val="0"/>
              <w:spacing w:before="0" w:beforeAutospacing="0" w:after="0" w:afterAutospacing="0"/>
              <w:jc w:val="center"/>
              <w:rPr>
                <w:rFonts w:ascii="Times New Roman" w:hAnsi="Times New Roman"/>
                <w:kern w:val="2"/>
                <w:sz w:val="21"/>
                <w:szCs w:val="21"/>
              </w:rPr>
            </w:pPr>
          </w:p>
          <w:p w14:paraId="1128361F">
            <w:pPr>
              <w:pStyle w:val="21"/>
              <w:widowControl w:val="0"/>
              <w:adjustRightInd w:val="0"/>
              <w:snapToGrid w:val="0"/>
              <w:spacing w:before="0" w:beforeAutospacing="0" w:after="0" w:afterAutospacing="0"/>
              <w:jc w:val="center"/>
              <w:rPr>
                <w:rFonts w:ascii="Times New Roman" w:hAnsi="Times New Roman"/>
                <w:kern w:val="2"/>
                <w:sz w:val="21"/>
                <w:szCs w:val="21"/>
              </w:rPr>
            </w:pPr>
          </w:p>
          <w:p w14:paraId="453787C8">
            <w:pPr>
              <w:pStyle w:val="21"/>
              <w:widowControl w:val="0"/>
              <w:adjustRightInd w:val="0"/>
              <w:snapToGrid w:val="0"/>
              <w:spacing w:before="0" w:beforeAutospacing="0" w:after="0" w:afterAutospacing="0"/>
              <w:jc w:val="center"/>
              <w:rPr>
                <w:rFonts w:ascii="Times New Roman" w:hAnsi="Times New Roman"/>
                <w:kern w:val="2"/>
                <w:sz w:val="21"/>
                <w:szCs w:val="21"/>
              </w:rPr>
            </w:pPr>
          </w:p>
          <w:p w14:paraId="64CE500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753D93B2">
            <w:pPr>
              <w:pStyle w:val="21"/>
              <w:widowControl w:val="0"/>
              <w:adjustRightInd w:val="0"/>
              <w:snapToGrid w:val="0"/>
              <w:spacing w:before="0" w:beforeAutospacing="0" w:after="0" w:afterAutospacing="0"/>
              <w:jc w:val="center"/>
              <w:rPr>
                <w:rFonts w:ascii="Times New Roman" w:hAnsi="Times New Roman"/>
                <w:kern w:val="2"/>
                <w:sz w:val="21"/>
                <w:szCs w:val="21"/>
              </w:rPr>
            </w:pPr>
          </w:p>
          <w:p w14:paraId="4E045168">
            <w:pPr>
              <w:pStyle w:val="21"/>
              <w:widowControl w:val="0"/>
              <w:adjustRightInd w:val="0"/>
              <w:snapToGrid w:val="0"/>
              <w:spacing w:before="0" w:beforeAutospacing="0" w:after="0" w:afterAutospacing="0"/>
              <w:jc w:val="center"/>
              <w:rPr>
                <w:rFonts w:ascii="Times New Roman" w:hAnsi="Times New Roman"/>
                <w:kern w:val="2"/>
                <w:sz w:val="21"/>
                <w:szCs w:val="21"/>
              </w:rPr>
            </w:pPr>
          </w:p>
          <w:p w14:paraId="42773407">
            <w:pPr>
              <w:pStyle w:val="21"/>
              <w:widowControl w:val="0"/>
              <w:adjustRightInd w:val="0"/>
              <w:snapToGrid w:val="0"/>
              <w:spacing w:before="0" w:beforeAutospacing="0" w:after="0" w:afterAutospacing="0"/>
              <w:jc w:val="center"/>
              <w:rPr>
                <w:rFonts w:ascii="Times New Roman" w:hAnsi="Times New Roman"/>
                <w:kern w:val="2"/>
                <w:sz w:val="21"/>
                <w:szCs w:val="21"/>
              </w:rPr>
            </w:pPr>
          </w:p>
          <w:p w14:paraId="4C22EBD3">
            <w:pPr>
              <w:pStyle w:val="21"/>
              <w:widowControl w:val="0"/>
              <w:adjustRightInd w:val="0"/>
              <w:snapToGrid w:val="0"/>
              <w:spacing w:before="0" w:beforeAutospacing="0" w:after="0" w:afterAutospacing="0"/>
              <w:jc w:val="center"/>
              <w:rPr>
                <w:rFonts w:ascii="Times New Roman" w:hAnsi="Times New Roman"/>
                <w:kern w:val="2"/>
                <w:sz w:val="21"/>
                <w:szCs w:val="21"/>
              </w:rPr>
            </w:pPr>
          </w:p>
          <w:p w14:paraId="5C972EB5">
            <w:pPr>
              <w:pStyle w:val="21"/>
              <w:widowControl w:val="0"/>
              <w:adjustRightInd w:val="0"/>
              <w:snapToGrid w:val="0"/>
              <w:spacing w:before="0" w:beforeAutospacing="0" w:after="0" w:afterAutospacing="0"/>
              <w:jc w:val="both"/>
              <w:rPr>
                <w:rFonts w:ascii="Times New Roman" w:hAnsi="Times New Roman"/>
                <w:kern w:val="2"/>
                <w:sz w:val="21"/>
                <w:szCs w:val="21"/>
              </w:rPr>
            </w:pPr>
          </w:p>
        </w:tc>
        <w:tc>
          <w:tcPr>
            <w:tcW w:w="8602" w:type="dxa"/>
          </w:tcPr>
          <w:p w14:paraId="01D49A89">
            <w:pPr>
              <w:adjustRightInd w:val="0"/>
              <w:snapToGrid w:val="0"/>
              <w:spacing w:line="360" w:lineRule="auto"/>
              <w:rPr>
                <w:b/>
                <w:bCs/>
                <w:kern w:val="0"/>
                <w:szCs w:val="21"/>
              </w:rPr>
            </w:pPr>
            <w:r>
              <w:rPr>
                <w:b/>
                <w:bCs/>
                <w:kern w:val="0"/>
                <w:szCs w:val="21"/>
              </w:rPr>
              <w:t>一、项目由来</w:t>
            </w:r>
          </w:p>
          <w:p w14:paraId="7CEA4D65">
            <w:pPr>
              <w:pStyle w:val="63"/>
              <w:adjustRightInd w:val="0"/>
              <w:snapToGrid w:val="0"/>
              <w:spacing w:line="360" w:lineRule="auto"/>
              <w:ind w:firstLine="420"/>
              <w:jc w:val="both"/>
              <w:rPr>
                <w:rFonts w:eastAsia="宋体"/>
                <w:b w:val="0"/>
                <w:bCs/>
                <w:kern w:val="0"/>
                <w:sz w:val="21"/>
                <w:szCs w:val="21"/>
              </w:rPr>
            </w:pPr>
            <w:r>
              <w:rPr>
                <w:rFonts w:eastAsia="宋体"/>
                <w:b w:val="0"/>
                <w:bCs/>
                <w:kern w:val="0"/>
                <w:sz w:val="21"/>
                <w:szCs w:val="21"/>
              </w:rPr>
              <w:t>常州朗博密封科技股份有限公司成立于2005年2月，注册地点位于常州市金坛区尧塘街道金博路1号，主要从事精密密封件、橡塑制品、金属加工件、精密型腔模的研发、设计、生产；销售自产产品；自营和代理各类商品及技术的进出口业务等。</w:t>
            </w:r>
          </w:p>
          <w:p w14:paraId="450E8F43">
            <w:pPr>
              <w:pStyle w:val="63"/>
              <w:adjustRightInd w:val="0"/>
              <w:snapToGrid w:val="0"/>
              <w:spacing w:line="360" w:lineRule="auto"/>
              <w:ind w:firstLine="420"/>
              <w:jc w:val="both"/>
              <w:rPr>
                <w:rFonts w:eastAsia="宋体"/>
                <w:b w:val="0"/>
                <w:bCs/>
                <w:kern w:val="0"/>
                <w:sz w:val="21"/>
                <w:szCs w:val="21"/>
              </w:rPr>
            </w:pPr>
            <w:bookmarkStart w:id="7" w:name="OLE_LINK46"/>
            <w:bookmarkStart w:id="8" w:name="OLE_LINK45"/>
            <w:r>
              <w:rPr>
                <w:rFonts w:eastAsia="宋体"/>
                <w:b w:val="0"/>
                <w:bCs/>
                <w:kern w:val="0"/>
                <w:sz w:val="21"/>
                <w:szCs w:val="21"/>
              </w:rPr>
              <w:t>常州朗博密封科技股份有限公司原有两个生产厂区，分别位于金坛区华城路216号（老厂区）和金坛区金东工业园尧塘街道金博路1号（新厂区）。</w:t>
            </w:r>
          </w:p>
          <w:p w14:paraId="2F89A9BB">
            <w:pPr>
              <w:pStyle w:val="63"/>
              <w:adjustRightInd w:val="0"/>
              <w:snapToGrid w:val="0"/>
              <w:spacing w:line="360" w:lineRule="auto"/>
              <w:ind w:firstLine="420"/>
              <w:jc w:val="both"/>
              <w:rPr>
                <w:rFonts w:eastAsia="宋体"/>
                <w:b w:val="0"/>
                <w:bCs/>
                <w:kern w:val="0"/>
                <w:sz w:val="21"/>
                <w:szCs w:val="21"/>
              </w:rPr>
            </w:pPr>
            <w:r>
              <w:rPr>
                <w:rFonts w:eastAsia="宋体"/>
                <w:b w:val="0"/>
                <w:bCs/>
                <w:kern w:val="0"/>
                <w:sz w:val="21"/>
                <w:szCs w:val="21"/>
              </w:rPr>
              <w:t>2005年6月金坛区环保局审批了“年产10000万只汽车用橡胶密封件”项目，并于2006年11月通过了金坛区环保局组织的环境保护竣工验收；2006年9月金坛区环保局审批了“铁路、列车、建筑、电器用橡胶密封件、精密型腔模登记表”项目，该项目至今尚未建设；2011年12月金坛区环保局审批了“新建特种橡胶-金属复合制品生产线”项目，并于2012年4月通过了金坛区环保局组织的环境保护竣工验收；2016年3月金坛区环保局审批了“扩建年产2.5亿件汽车用橡胶密封件项目”，尚未通过环境保护竣工验收。以上四个项目的建设地址均位于金坛区华城路216号（老厂区）。</w:t>
            </w:r>
          </w:p>
          <w:p w14:paraId="0CC8536B">
            <w:pPr>
              <w:pStyle w:val="63"/>
              <w:adjustRightInd w:val="0"/>
              <w:snapToGrid w:val="0"/>
              <w:spacing w:line="360" w:lineRule="auto"/>
              <w:ind w:firstLine="420"/>
              <w:jc w:val="both"/>
              <w:rPr>
                <w:rFonts w:eastAsia="宋体"/>
                <w:b w:val="0"/>
                <w:bCs/>
                <w:kern w:val="0"/>
                <w:sz w:val="21"/>
                <w:szCs w:val="21"/>
              </w:rPr>
            </w:pPr>
            <w:r>
              <w:rPr>
                <w:rFonts w:eastAsia="宋体"/>
                <w:b w:val="0"/>
                <w:bCs/>
                <w:kern w:val="0"/>
                <w:sz w:val="21"/>
                <w:szCs w:val="21"/>
              </w:rPr>
              <w:t>2011年，该公司选址于金坛区金东工业园尧塘街道金博路1号（新厂区）申报建设“年产2亿件轿车动力总成系统、制动系统及传动系统旋转密封件项目”，于2013年5月24日取得了金坛区环境保护局的审批意见（后于2016年5月27日坛环开审[2016]49号废止该批文），企业承诺，该项目只建厂房，“年产2亿件轿车动力总成系统、制动系统及传动系统旋转密封件”不实施。</w:t>
            </w:r>
            <w:bookmarkStart w:id="9" w:name="OLE_LINK3"/>
            <w:bookmarkStart w:id="10" w:name="OLE_LINK5"/>
            <w:r>
              <w:rPr>
                <w:rFonts w:eastAsia="宋体"/>
                <w:b w:val="0"/>
                <w:bCs/>
                <w:kern w:val="0"/>
                <w:sz w:val="21"/>
                <w:szCs w:val="21"/>
              </w:rPr>
              <w:t>2016年3月，该公司申报建设</w:t>
            </w:r>
            <w:bookmarkStart w:id="11" w:name="OLE_LINK7"/>
            <w:bookmarkStart w:id="12" w:name="OLE_LINK6"/>
            <w:r>
              <w:rPr>
                <w:rFonts w:eastAsia="宋体"/>
                <w:b w:val="0"/>
                <w:bCs/>
                <w:kern w:val="0"/>
                <w:sz w:val="21"/>
                <w:szCs w:val="21"/>
              </w:rPr>
              <w:t>“新建汽车用O型圈生产项目”</w:t>
            </w:r>
            <w:bookmarkEnd w:id="11"/>
            <w:bookmarkEnd w:id="12"/>
            <w:r>
              <w:rPr>
                <w:rFonts w:eastAsia="宋体"/>
                <w:b w:val="0"/>
                <w:bCs/>
                <w:kern w:val="0"/>
                <w:sz w:val="21"/>
                <w:szCs w:val="21"/>
              </w:rPr>
              <w:t>，并于2016年4月8日取得金坛区环保局的审批意见</w:t>
            </w:r>
            <w:bookmarkEnd w:id="9"/>
            <w:bookmarkEnd w:id="10"/>
            <w:r>
              <w:rPr>
                <w:rFonts w:eastAsia="宋体"/>
                <w:b w:val="0"/>
                <w:bCs/>
                <w:kern w:val="0"/>
                <w:sz w:val="21"/>
                <w:szCs w:val="21"/>
              </w:rPr>
              <w:t>；2016年4月，该公司申报建设“</w:t>
            </w:r>
            <w:bookmarkStart w:id="13" w:name="OLE_LINK9"/>
            <w:bookmarkStart w:id="14" w:name="OLE_LINK8"/>
            <w:r>
              <w:rPr>
                <w:rFonts w:eastAsia="宋体"/>
                <w:b w:val="0"/>
                <w:bCs/>
                <w:kern w:val="0"/>
                <w:sz w:val="21"/>
                <w:szCs w:val="21"/>
              </w:rPr>
              <w:t>新建汽车动力系统和制动系统橡胶零部件生产项目</w:t>
            </w:r>
            <w:bookmarkEnd w:id="13"/>
            <w:bookmarkEnd w:id="14"/>
            <w:r>
              <w:rPr>
                <w:rFonts w:eastAsia="宋体"/>
                <w:b w:val="0"/>
                <w:bCs/>
                <w:kern w:val="0"/>
                <w:sz w:val="21"/>
                <w:szCs w:val="21"/>
              </w:rPr>
              <w:t>”，并于2016年5月27日取得金坛区环保局的审批意见；2016年4月，该公司申报建设“新建研发中心建设项目”，并于2016年5月13日取得金坛区环保局的审批意见，以上三个项目均未建成投产。（新厂区）</w:t>
            </w:r>
          </w:p>
          <w:p w14:paraId="6C3A496D">
            <w:pPr>
              <w:pStyle w:val="63"/>
              <w:adjustRightInd w:val="0"/>
              <w:snapToGrid w:val="0"/>
              <w:spacing w:line="360" w:lineRule="auto"/>
              <w:ind w:firstLine="420"/>
              <w:jc w:val="both"/>
              <w:rPr>
                <w:rFonts w:eastAsia="宋体"/>
                <w:b w:val="0"/>
                <w:bCs/>
                <w:kern w:val="0"/>
                <w:sz w:val="21"/>
                <w:szCs w:val="21"/>
              </w:rPr>
            </w:pPr>
            <w:r>
              <w:rPr>
                <w:rFonts w:eastAsia="宋体"/>
                <w:b w:val="0"/>
                <w:bCs/>
                <w:kern w:val="0"/>
                <w:sz w:val="21"/>
                <w:szCs w:val="21"/>
              </w:rPr>
              <w:t>2017年3月，该公司申报了“</w:t>
            </w:r>
            <w:bookmarkStart w:id="15" w:name="OLE_LINK48"/>
            <w:bookmarkStart w:id="16" w:name="OLE_LINK49"/>
            <w:r>
              <w:rPr>
                <w:rFonts w:eastAsia="宋体"/>
                <w:b w:val="0"/>
                <w:bCs/>
                <w:kern w:val="0"/>
                <w:sz w:val="21"/>
                <w:szCs w:val="21"/>
              </w:rPr>
              <w:t>迁建年产2.7亿件橡胶制品项目</w:t>
            </w:r>
            <w:bookmarkEnd w:id="15"/>
            <w:bookmarkEnd w:id="16"/>
            <w:r>
              <w:rPr>
                <w:rFonts w:eastAsia="宋体"/>
                <w:b w:val="0"/>
                <w:bCs/>
                <w:kern w:val="0"/>
                <w:sz w:val="21"/>
                <w:szCs w:val="21"/>
              </w:rPr>
              <w:t>”，并于</w:t>
            </w:r>
            <w:bookmarkStart w:id="17" w:name="OLE_LINK50"/>
            <w:bookmarkStart w:id="18" w:name="OLE_LINK51"/>
            <w:r>
              <w:rPr>
                <w:rFonts w:eastAsia="宋体"/>
                <w:b w:val="0"/>
                <w:bCs/>
                <w:kern w:val="0"/>
                <w:sz w:val="21"/>
                <w:szCs w:val="21"/>
              </w:rPr>
              <w:t>2017年4月25日取得金坛区环境保护局的审批意见</w:t>
            </w:r>
            <w:bookmarkEnd w:id="17"/>
            <w:bookmarkEnd w:id="18"/>
            <w:r>
              <w:rPr>
                <w:rFonts w:eastAsia="宋体"/>
                <w:b w:val="0"/>
                <w:bCs/>
                <w:kern w:val="0"/>
                <w:sz w:val="21"/>
                <w:szCs w:val="21"/>
              </w:rPr>
              <w:t>，该项目于2017年9月28日通过了金坛区环境保护局组织的环境保护竣工验收。（至此，老厂区不再生产，新厂区仅投产运营该项目。）</w:t>
            </w:r>
          </w:p>
          <w:bookmarkEnd w:id="7"/>
          <w:bookmarkEnd w:id="8"/>
          <w:p w14:paraId="793321B6">
            <w:pPr>
              <w:pStyle w:val="63"/>
              <w:adjustRightInd w:val="0"/>
              <w:snapToGrid w:val="0"/>
              <w:spacing w:line="360" w:lineRule="auto"/>
              <w:ind w:firstLine="420"/>
              <w:jc w:val="both"/>
              <w:rPr>
                <w:rFonts w:eastAsia="宋体"/>
                <w:b w:val="0"/>
                <w:bCs/>
                <w:kern w:val="0"/>
                <w:sz w:val="21"/>
                <w:szCs w:val="21"/>
              </w:rPr>
            </w:pPr>
            <w:r>
              <w:rPr>
                <w:rFonts w:eastAsia="宋体"/>
                <w:b w:val="0"/>
                <w:bCs/>
                <w:kern w:val="0"/>
                <w:sz w:val="21"/>
                <w:szCs w:val="21"/>
              </w:rPr>
              <w:t>公司现有“新建生产橡胶密封件项目”于2016年3月取得原常</w:t>
            </w:r>
            <w:r>
              <w:rPr>
                <w:rFonts w:eastAsia="宋体"/>
                <w:b w:val="0"/>
                <w:bCs/>
                <w:sz w:val="21"/>
                <w:szCs w:val="21"/>
              </w:rPr>
              <w:t>州市金坛区环境保护局审批意见（坛环开审﹝2016﹞23号），并于</w:t>
            </w:r>
            <w:bookmarkStart w:id="19" w:name="OLE_LINK53"/>
            <w:bookmarkStart w:id="20" w:name="OLE_LINK52"/>
            <w:r>
              <w:rPr>
                <w:rFonts w:eastAsia="宋体"/>
                <w:b w:val="0"/>
                <w:bCs/>
                <w:sz w:val="21"/>
                <w:szCs w:val="21"/>
              </w:rPr>
              <w:t>2018年9月通过竣工环境保护验收</w:t>
            </w:r>
            <w:bookmarkEnd w:id="19"/>
            <w:bookmarkEnd w:id="20"/>
            <w:r>
              <w:rPr>
                <w:rFonts w:eastAsia="宋体"/>
                <w:b w:val="0"/>
                <w:bCs/>
                <w:sz w:val="21"/>
                <w:szCs w:val="21"/>
              </w:rPr>
              <w:t>，现有项目产能为</w:t>
            </w:r>
            <w:r>
              <w:rPr>
                <w:rFonts w:eastAsia="宋体"/>
                <w:b w:val="0"/>
                <w:bCs/>
                <w:kern w:val="0"/>
                <w:sz w:val="21"/>
                <w:szCs w:val="21"/>
              </w:rPr>
              <w:t>年产O型圈1.8亿件、其他橡胶件0.7亿件、橡胶&amp;金属复合制品0.2亿件。</w:t>
            </w:r>
          </w:p>
          <w:p w14:paraId="3710FA82">
            <w:pPr>
              <w:pStyle w:val="63"/>
              <w:adjustRightInd w:val="0"/>
              <w:snapToGrid w:val="0"/>
              <w:spacing w:line="360" w:lineRule="auto"/>
              <w:ind w:firstLine="420"/>
              <w:jc w:val="both"/>
              <w:rPr>
                <w:rFonts w:eastAsia="宋体"/>
                <w:b w:val="0"/>
                <w:bCs/>
                <w:kern w:val="0"/>
                <w:sz w:val="21"/>
                <w:szCs w:val="21"/>
              </w:rPr>
            </w:pPr>
            <w:r>
              <w:rPr>
                <w:rFonts w:eastAsia="宋体"/>
                <w:b w:val="0"/>
                <w:bCs/>
                <w:kern w:val="0"/>
                <w:sz w:val="21"/>
                <w:szCs w:val="21"/>
              </w:rPr>
              <w:t>为扩大生产规模、增加产品多样性，常州朗博密封科技股份有限公司拟投资6860万元建设新建新能源汽车配套橡胶功能件项目，建设地点位于常州市金坛区尧塘街道金博路1号。拟扩建项目利用现有厂区内已建车间一、车间二、车间三、车间四和车间五从事生产，合计厂房建筑面积约34398m</w:t>
            </w:r>
            <w:r>
              <w:rPr>
                <w:rFonts w:eastAsia="宋体"/>
                <w:b w:val="0"/>
                <w:bCs/>
                <w:kern w:val="0"/>
                <w:sz w:val="21"/>
                <w:szCs w:val="21"/>
                <w:vertAlign w:val="superscript"/>
              </w:rPr>
              <w:t>2</w:t>
            </w:r>
            <w:r>
              <w:rPr>
                <w:rFonts w:eastAsia="宋体"/>
                <w:b w:val="0"/>
                <w:bCs/>
                <w:kern w:val="0"/>
                <w:sz w:val="21"/>
                <w:szCs w:val="21"/>
              </w:rPr>
              <w:t>，新建年产O型圈33600万件、杂件1200万件和轴封、油封720万件。</w:t>
            </w:r>
          </w:p>
          <w:p w14:paraId="0B410495">
            <w:pPr>
              <w:pStyle w:val="63"/>
              <w:adjustRightInd w:val="0"/>
              <w:snapToGrid w:val="0"/>
              <w:spacing w:line="360" w:lineRule="auto"/>
              <w:ind w:firstLine="420"/>
              <w:jc w:val="both"/>
              <w:rPr>
                <w:rFonts w:eastAsia="宋体"/>
                <w:b w:val="0"/>
                <w:bCs/>
                <w:sz w:val="21"/>
                <w:szCs w:val="21"/>
              </w:rPr>
            </w:pPr>
            <w:r>
              <w:rPr>
                <w:rFonts w:eastAsia="宋体"/>
                <w:b w:val="0"/>
                <w:bCs/>
                <w:kern w:val="0"/>
                <w:sz w:val="21"/>
                <w:szCs w:val="21"/>
              </w:rPr>
              <w:t>根据《中华人民共和国环境保护法》、《中华人民共和国环境影响评价法》和《建设项目环境保护管理条例》中有关规定及《建设项目环境影响评价分类管理名录》（2021年版）中相关规定，本项目属于“</w:t>
            </w:r>
            <w:r>
              <w:rPr>
                <w:rFonts w:eastAsia="宋体"/>
                <w:b w:val="0"/>
                <w:bCs/>
                <w:sz w:val="21"/>
                <w:szCs w:val="21"/>
              </w:rPr>
              <w:t>二十六、橡胶和塑料制品业</w:t>
            </w:r>
            <w:r>
              <w:rPr>
                <w:rFonts w:eastAsia="宋体"/>
                <w:b w:val="0"/>
                <w:bCs/>
                <w:kern w:val="0"/>
                <w:sz w:val="21"/>
                <w:szCs w:val="21"/>
              </w:rPr>
              <w:t>”中“</w:t>
            </w:r>
            <w:r>
              <w:rPr>
                <w:rFonts w:eastAsia="宋体"/>
                <w:b w:val="0"/>
                <w:bCs/>
                <w:sz w:val="21"/>
                <w:szCs w:val="21"/>
              </w:rPr>
              <w:t>52 橡胶制品业 291</w:t>
            </w:r>
            <w:r>
              <w:rPr>
                <w:rFonts w:eastAsia="宋体"/>
                <w:b w:val="0"/>
                <w:bCs/>
                <w:kern w:val="0"/>
                <w:sz w:val="21"/>
                <w:szCs w:val="21"/>
              </w:rPr>
              <w:t>”中</w:t>
            </w:r>
            <w:r>
              <w:rPr>
                <w:rFonts w:eastAsia="宋体"/>
                <w:b w:val="0"/>
                <w:bCs/>
                <w:sz w:val="21"/>
                <w:szCs w:val="21"/>
              </w:rPr>
              <w:t>的“其他”）、《中华人民共和国环境影响评价法》（2018年修正版）、《建设项目环境保护管理条例》（国务院第682号令）及《建设项目环境影响评价分类管理名录》（2021年版）等相关法律法规的规定，编制完成本环境影响报告表，供建设单位报环境保护行政主管部门审批和作为污染防治建设的依据。</w:t>
            </w:r>
          </w:p>
          <w:p w14:paraId="15F9A266">
            <w:pPr>
              <w:pStyle w:val="63"/>
              <w:adjustRightInd w:val="0"/>
              <w:snapToGrid w:val="0"/>
              <w:spacing w:line="360" w:lineRule="auto"/>
              <w:ind w:firstLine="0" w:firstLineChars="0"/>
              <w:rPr>
                <w:rFonts w:eastAsia="宋体"/>
                <w:sz w:val="21"/>
                <w:szCs w:val="21"/>
              </w:rPr>
            </w:pPr>
            <w:r>
              <w:rPr>
                <w:rFonts w:eastAsia="宋体"/>
                <w:sz w:val="21"/>
                <w:szCs w:val="21"/>
              </w:rPr>
              <w:t>二、建设内容</w:t>
            </w:r>
          </w:p>
          <w:p w14:paraId="517E2159">
            <w:pPr>
              <w:pStyle w:val="64"/>
              <w:adjustRightInd w:val="0"/>
              <w:snapToGrid w:val="0"/>
              <w:spacing w:line="360" w:lineRule="auto"/>
              <w:ind w:firstLine="422"/>
              <w:rPr>
                <w:rFonts w:eastAsia="宋体"/>
                <w:b/>
                <w:bCs/>
                <w:sz w:val="21"/>
                <w:szCs w:val="21"/>
              </w:rPr>
            </w:pPr>
            <w:r>
              <w:rPr>
                <w:rFonts w:eastAsia="宋体"/>
                <w:b/>
                <w:bCs/>
                <w:sz w:val="21"/>
                <w:szCs w:val="21"/>
              </w:rPr>
              <w:t>1、项目产品方案</w:t>
            </w:r>
          </w:p>
          <w:p w14:paraId="3E9B62C7">
            <w:pPr>
              <w:pStyle w:val="64"/>
              <w:adjustRightInd w:val="0"/>
              <w:snapToGrid w:val="0"/>
              <w:spacing w:line="360" w:lineRule="auto"/>
              <w:ind w:firstLine="420"/>
              <w:rPr>
                <w:rFonts w:eastAsia="宋体"/>
                <w:sz w:val="21"/>
                <w:szCs w:val="21"/>
              </w:rPr>
            </w:pPr>
            <w:r>
              <w:rPr>
                <w:rFonts w:eastAsia="宋体"/>
                <w:sz w:val="21"/>
                <w:szCs w:val="21"/>
              </w:rPr>
              <w:t>本项目主体工程及产品方案见表2-1。</w:t>
            </w:r>
          </w:p>
          <w:p w14:paraId="7580023F">
            <w:pPr>
              <w:adjustRightInd w:val="0"/>
              <w:snapToGrid w:val="0"/>
              <w:spacing w:line="360" w:lineRule="auto"/>
              <w:ind w:firstLine="420" w:firstLineChars="200"/>
              <w:rPr>
                <w:szCs w:val="21"/>
              </w:rPr>
            </w:pPr>
          </w:p>
          <w:p w14:paraId="174598F8">
            <w:pPr>
              <w:pStyle w:val="53"/>
              <w:adjustRightInd w:val="0"/>
              <w:snapToGrid w:val="0"/>
              <w:spacing w:beforeLines="0" w:afterLines="0" w:line="360" w:lineRule="auto"/>
              <w:ind w:firstLine="420" w:firstLineChars="200"/>
              <w:jc w:val="both"/>
              <w:rPr>
                <w:rFonts w:eastAsia="宋体"/>
                <w:b w:val="0"/>
                <w:bCs/>
                <w:sz w:val="21"/>
                <w:szCs w:val="21"/>
              </w:rPr>
            </w:pPr>
          </w:p>
          <w:p w14:paraId="02EAE0F1">
            <w:pPr>
              <w:pStyle w:val="53"/>
              <w:adjustRightInd w:val="0"/>
              <w:snapToGrid w:val="0"/>
              <w:spacing w:beforeLines="0" w:afterLines="0" w:line="360" w:lineRule="auto"/>
              <w:ind w:firstLine="420" w:firstLineChars="200"/>
              <w:jc w:val="left"/>
              <w:rPr>
                <w:rFonts w:eastAsia="宋体"/>
                <w:b w:val="0"/>
                <w:bCs/>
                <w:sz w:val="21"/>
                <w:szCs w:val="21"/>
              </w:rPr>
            </w:pPr>
          </w:p>
          <w:p w14:paraId="4E244758">
            <w:pPr>
              <w:pStyle w:val="53"/>
              <w:adjustRightInd w:val="0"/>
              <w:snapToGrid w:val="0"/>
              <w:spacing w:beforeLines="0" w:afterLines="0" w:line="360" w:lineRule="auto"/>
              <w:ind w:firstLine="420" w:firstLineChars="200"/>
              <w:jc w:val="left"/>
              <w:rPr>
                <w:rFonts w:eastAsia="宋体"/>
                <w:b w:val="0"/>
                <w:bCs/>
                <w:sz w:val="21"/>
                <w:szCs w:val="21"/>
              </w:rPr>
            </w:pPr>
          </w:p>
          <w:p w14:paraId="17C53E17">
            <w:pPr>
              <w:pStyle w:val="53"/>
              <w:adjustRightInd w:val="0"/>
              <w:snapToGrid w:val="0"/>
              <w:spacing w:beforeLines="0" w:afterLines="0" w:line="360" w:lineRule="auto"/>
              <w:ind w:firstLine="420" w:firstLineChars="200"/>
              <w:jc w:val="left"/>
              <w:rPr>
                <w:rFonts w:eastAsia="宋体"/>
                <w:b w:val="0"/>
                <w:bCs/>
                <w:sz w:val="21"/>
                <w:szCs w:val="21"/>
              </w:rPr>
            </w:pPr>
          </w:p>
          <w:p w14:paraId="1A0643F9">
            <w:pPr>
              <w:pStyle w:val="53"/>
              <w:adjustRightInd w:val="0"/>
              <w:snapToGrid w:val="0"/>
              <w:spacing w:beforeLines="0" w:afterLines="0" w:line="360" w:lineRule="auto"/>
              <w:ind w:firstLine="420" w:firstLineChars="200"/>
              <w:jc w:val="left"/>
              <w:rPr>
                <w:rFonts w:eastAsia="宋体"/>
                <w:b w:val="0"/>
                <w:bCs/>
                <w:sz w:val="21"/>
                <w:szCs w:val="21"/>
              </w:rPr>
            </w:pPr>
          </w:p>
          <w:p w14:paraId="315F53A3">
            <w:pPr>
              <w:pStyle w:val="53"/>
              <w:adjustRightInd w:val="0"/>
              <w:snapToGrid w:val="0"/>
              <w:spacing w:beforeLines="0" w:afterLines="0" w:line="360" w:lineRule="auto"/>
              <w:ind w:firstLine="420" w:firstLineChars="200"/>
              <w:jc w:val="left"/>
              <w:rPr>
                <w:rFonts w:eastAsia="宋体"/>
                <w:b w:val="0"/>
                <w:bCs/>
                <w:sz w:val="21"/>
                <w:szCs w:val="21"/>
              </w:rPr>
            </w:pPr>
          </w:p>
          <w:p w14:paraId="21A8DF58">
            <w:pPr>
              <w:pStyle w:val="53"/>
              <w:adjustRightInd w:val="0"/>
              <w:snapToGrid w:val="0"/>
              <w:spacing w:beforeLines="0" w:afterLines="0" w:line="360" w:lineRule="auto"/>
              <w:ind w:firstLine="420" w:firstLineChars="200"/>
              <w:jc w:val="left"/>
              <w:rPr>
                <w:rFonts w:eastAsia="宋体"/>
                <w:b w:val="0"/>
                <w:bCs/>
                <w:sz w:val="21"/>
                <w:szCs w:val="21"/>
              </w:rPr>
            </w:pPr>
          </w:p>
          <w:p w14:paraId="268F5BA9">
            <w:pPr>
              <w:pStyle w:val="53"/>
              <w:adjustRightInd w:val="0"/>
              <w:snapToGrid w:val="0"/>
              <w:spacing w:beforeLines="0" w:afterLines="0" w:line="360" w:lineRule="auto"/>
              <w:ind w:firstLine="420" w:firstLineChars="200"/>
              <w:jc w:val="left"/>
              <w:rPr>
                <w:rFonts w:eastAsia="宋体"/>
                <w:b w:val="0"/>
                <w:bCs/>
                <w:sz w:val="21"/>
                <w:szCs w:val="21"/>
              </w:rPr>
            </w:pPr>
          </w:p>
          <w:p w14:paraId="4C9BAEDC">
            <w:pPr>
              <w:pStyle w:val="53"/>
              <w:adjustRightInd w:val="0"/>
              <w:snapToGrid w:val="0"/>
              <w:spacing w:beforeLines="0" w:afterLines="0" w:line="360" w:lineRule="auto"/>
              <w:ind w:firstLine="420" w:firstLineChars="200"/>
              <w:jc w:val="left"/>
              <w:rPr>
                <w:rFonts w:eastAsia="宋体"/>
                <w:b w:val="0"/>
                <w:bCs/>
                <w:sz w:val="21"/>
                <w:szCs w:val="21"/>
              </w:rPr>
            </w:pPr>
          </w:p>
          <w:p w14:paraId="4FF3CF17">
            <w:pPr>
              <w:pStyle w:val="53"/>
              <w:adjustRightInd w:val="0"/>
              <w:snapToGrid w:val="0"/>
              <w:spacing w:beforeLines="0" w:afterLines="0" w:line="360" w:lineRule="auto"/>
              <w:ind w:firstLine="420" w:firstLineChars="200"/>
              <w:jc w:val="left"/>
              <w:rPr>
                <w:rFonts w:eastAsia="宋体"/>
                <w:b w:val="0"/>
                <w:bCs/>
                <w:sz w:val="21"/>
                <w:szCs w:val="21"/>
              </w:rPr>
            </w:pPr>
          </w:p>
          <w:p w14:paraId="58ED920F">
            <w:pPr>
              <w:pStyle w:val="53"/>
              <w:adjustRightInd w:val="0"/>
              <w:snapToGrid w:val="0"/>
              <w:spacing w:beforeLines="0" w:afterLines="0" w:line="360" w:lineRule="auto"/>
              <w:ind w:firstLine="420" w:firstLineChars="200"/>
              <w:jc w:val="left"/>
              <w:rPr>
                <w:rFonts w:eastAsia="宋体"/>
                <w:b w:val="0"/>
                <w:bCs/>
                <w:sz w:val="21"/>
                <w:szCs w:val="21"/>
              </w:rPr>
            </w:pPr>
          </w:p>
          <w:p w14:paraId="289ED207">
            <w:pPr>
              <w:pStyle w:val="53"/>
              <w:adjustRightInd w:val="0"/>
              <w:snapToGrid w:val="0"/>
              <w:spacing w:beforeLines="0" w:afterLines="0" w:line="360" w:lineRule="auto"/>
              <w:ind w:firstLine="420" w:firstLineChars="200"/>
              <w:jc w:val="left"/>
              <w:rPr>
                <w:rFonts w:eastAsia="宋体"/>
                <w:b w:val="0"/>
                <w:bCs/>
                <w:sz w:val="21"/>
                <w:szCs w:val="21"/>
              </w:rPr>
            </w:pPr>
          </w:p>
          <w:p w14:paraId="152AAE57">
            <w:pPr>
              <w:pStyle w:val="53"/>
              <w:adjustRightInd w:val="0"/>
              <w:snapToGrid w:val="0"/>
              <w:spacing w:beforeLines="0" w:afterLines="0" w:line="360" w:lineRule="auto"/>
              <w:ind w:firstLine="420" w:firstLineChars="200"/>
              <w:jc w:val="left"/>
              <w:rPr>
                <w:rFonts w:eastAsia="宋体"/>
                <w:b w:val="0"/>
                <w:bCs/>
                <w:sz w:val="21"/>
                <w:szCs w:val="21"/>
              </w:rPr>
            </w:pPr>
          </w:p>
          <w:p w14:paraId="186A4B32">
            <w:pPr>
              <w:pStyle w:val="53"/>
              <w:adjustRightInd w:val="0"/>
              <w:snapToGrid w:val="0"/>
              <w:spacing w:beforeLines="0" w:afterLines="0" w:line="360" w:lineRule="auto"/>
              <w:ind w:firstLine="420" w:firstLineChars="200"/>
              <w:jc w:val="left"/>
              <w:rPr>
                <w:rFonts w:eastAsia="宋体"/>
                <w:b w:val="0"/>
                <w:bCs/>
                <w:sz w:val="21"/>
                <w:szCs w:val="21"/>
              </w:rPr>
            </w:pPr>
          </w:p>
          <w:p w14:paraId="08B897BD">
            <w:pPr>
              <w:pStyle w:val="53"/>
              <w:adjustRightInd w:val="0"/>
              <w:snapToGrid w:val="0"/>
              <w:spacing w:beforeLines="0" w:afterLines="0" w:line="360" w:lineRule="auto"/>
              <w:ind w:firstLine="420" w:firstLineChars="200"/>
              <w:jc w:val="left"/>
              <w:rPr>
                <w:rFonts w:eastAsia="宋体"/>
                <w:b w:val="0"/>
                <w:bCs/>
                <w:sz w:val="21"/>
                <w:szCs w:val="21"/>
              </w:rPr>
            </w:pPr>
          </w:p>
          <w:p w14:paraId="526CFAB5">
            <w:pPr>
              <w:pStyle w:val="53"/>
              <w:adjustRightInd w:val="0"/>
              <w:snapToGrid w:val="0"/>
              <w:spacing w:beforeLines="0" w:afterLines="0" w:line="360" w:lineRule="auto"/>
              <w:ind w:firstLine="420" w:firstLineChars="200"/>
              <w:jc w:val="left"/>
              <w:rPr>
                <w:rFonts w:eastAsia="宋体"/>
                <w:b w:val="0"/>
                <w:bCs/>
                <w:sz w:val="21"/>
                <w:szCs w:val="21"/>
              </w:rPr>
            </w:pPr>
          </w:p>
          <w:p w14:paraId="7C50372B">
            <w:pPr>
              <w:pStyle w:val="53"/>
              <w:adjustRightInd w:val="0"/>
              <w:snapToGrid w:val="0"/>
              <w:spacing w:beforeLines="0" w:afterLines="0" w:line="360" w:lineRule="auto"/>
              <w:ind w:firstLine="420" w:firstLineChars="200"/>
              <w:jc w:val="left"/>
              <w:rPr>
                <w:rFonts w:eastAsia="宋体"/>
                <w:b w:val="0"/>
                <w:bCs/>
                <w:sz w:val="21"/>
                <w:szCs w:val="21"/>
              </w:rPr>
            </w:pPr>
          </w:p>
          <w:p w14:paraId="58ECCFB9">
            <w:pPr>
              <w:pStyle w:val="53"/>
              <w:adjustRightInd w:val="0"/>
              <w:snapToGrid w:val="0"/>
              <w:spacing w:beforeLines="0" w:afterLines="0" w:line="360" w:lineRule="auto"/>
              <w:ind w:firstLine="420" w:firstLineChars="200"/>
              <w:jc w:val="left"/>
              <w:rPr>
                <w:rFonts w:eastAsia="宋体"/>
                <w:b w:val="0"/>
                <w:bCs/>
                <w:sz w:val="21"/>
                <w:szCs w:val="21"/>
              </w:rPr>
            </w:pPr>
          </w:p>
          <w:p w14:paraId="6BC81CEB">
            <w:pPr>
              <w:pStyle w:val="53"/>
              <w:adjustRightInd w:val="0"/>
              <w:snapToGrid w:val="0"/>
              <w:spacing w:beforeLines="0" w:afterLines="0" w:line="360" w:lineRule="auto"/>
              <w:ind w:firstLine="420" w:firstLineChars="200"/>
              <w:jc w:val="left"/>
              <w:rPr>
                <w:rFonts w:eastAsia="宋体"/>
                <w:b w:val="0"/>
                <w:bCs/>
                <w:sz w:val="21"/>
                <w:szCs w:val="21"/>
              </w:rPr>
            </w:pPr>
          </w:p>
          <w:p w14:paraId="68E0C4D6">
            <w:pPr>
              <w:pStyle w:val="53"/>
              <w:adjustRightInd w:val="0"/>
              <w:snapToGrid w:val="0"/>
              <w:spacing w:beforeLines="0" w:afterLines="0" w:line="360" w:lineRule="auto"/>
              <w:ind w:firstLine="420" w:firstLineChars="200"/>
              <w:jc w:val="left"/>
              <w:rPr>
                <w:rFonts w:eastAsia="宋体"/>
                <w:b w:val="0"/>
                <w:bCs/>
                <w:sz w:val="21"/>
                <w:szCs w:val="21"/>
              </w:rPr>
            </w:pPr>
          </w:p>
          <w:p w14:paraId="61F38D62">
            <w:pPr>
              <w:pStyle w:val="53"/>
              <w:adjustRightInd w:val="0"/>
              <w:snapToGrid w:val="0"/>
              <w:spacing w:beforeLines="0" w:afterLines="0" w:line="360" w:lineRule="auto"/>
              <w:ind w:firstLine="420" w:firstLineChars="200"/>
              <w:jc w:val="left"/>
              <w:rPr>
                <w:rFonts w:eastAsia="宋体"/>
                <w:b w:val="0"/>
                <w:bCs/>
                <w:sz w:val="21"/>
                <w:szCs w:val="21"/>
              </w:rPr>
            </w:pPr>
          </w:p>
        </w:tc>
      </w:tr>
    </w:tbl>
    <w:p w14:paraId="38C78D75">
      <w:pPr>
        <w:sectPr>
          <w:pgSz w:w="11906" w:h="16838"/>
          <w:pgMar w:top="1701" w:right="1531" w:bottom="1701" w:left="1531" w:header="851" w:footer="851" w:gutter="0"/>
          <w:cols w:space="720" w:num="1"/>
          <w:docGrid w:linePitch="312" w:charSpace="0"/>
        </w:sectPr>
      </w:pPr>
    </w:p>
    <w:p w14:paraId="236FFC50">
      <w:pPr>
        <w:pStyle w:val="46"/>
        <w:adjustRightInd w:val="0"/>
        <w:snapToGrid w:val="0"/>
        <w:spacing w:beforeLines="0" w:afterLines="0"/>
        <w:rPr>
          <w:rFonts w:eastAsia="宋体"/>
          <w:sz w:val="21"/>
          <w:szCs w:val="21"/>
        </w:rPr>
      </w:pPr>
      <w:r>
        <w:rPr>
          <w:rFonts w:eastAsia="宋体"/>
          <w:sz w:val="21"/>
          <w:szCs w:val="21"/>
        </w:rPr>
        <w:t>表2-1  建设项目主体工程及产品方案</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75"/>
        <w:gridCol w:w="1277"/>
        <w:gridCol w:w="1053"/>
        <w:gridCol w:w="1213"/>
        <w:gridCol w:w="767"/>
        <w:gridCol w:w="818"/>
        <w:gridCol w:w="1085"/>
        <w:gridCol w:w="1058"/>
        <w:gridCol w:w="2693"/>
        <w:gridCol w:w="1328"/>
        <w:gridCol w:w="1325"/>
      </w:tblGrid>
      <w:tr w14:paraId="39A59A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Merge w:val="restart"/>
            <w:vAlign w:val="center"/>
          </w:tcPr>
          <w:p w14:paraId="53FBE0D8">
            <w:pPr>
              <w:pStyle w:val="58"/>
              <w:widowControl w:val="0"/>
              <w:rPr>
                <w:rFonts w:eastAsia="宋体"/>
                <w:szCs w:val="21"/>
              </w:rPr>
            </w:pPr>
            <w:r>
              <w:rPr>
                <w:rFonts w:eastAsia="宋体"/>
                <w:szCs w:val="21"/>
              </w:rPr>
              <w:t>序号</w:t>
            </w:r>
          </w:p>
        </w:tc>
        <w:tc>
          <w:tcPr>
            <w:tcW w:w="473" w:type="pct"/>
            <w:vMerge w:val="restart"/>
            <w:vAlign w:val="center"/>
          </w:tcPr>
          <w:p w14:paraId="7BC9A213">
            <w:pPr>
              <w:pStyle w:val="58"/>
              <w:widowControl w:val="0"/>
              <w:rPr>
                <w:rFonts w:eastAsia="宋体"/>
                <w:szCs w:val="21"/>
              </w:rPr>
            </w:pPr>
            <w:r>
              <w:rPr>
                <w:rFonts w:eastAsia="宋体"/>
                <w:szCs w:val="21"/>
              </w:rPr>
              <w:t>工程名称</w:t>
            </w:r>
          </w:p>
        </w:tc>
        <w:tc>
          <w:tcPr>
            <w:tcW w:w="839" w:type="pct"/>
            <w:gridSpan w:val="2"/>
            <w:vMerge w:val="restart"/>
            <w:vAlign w:val="center"/>
          </w:tcPr>
          <w:p w14:paraId="72B9EDD2">
            <w:pPr>
              <w:pStyle w:val="58"/>
              <w:widowControl w:val="0"/>
              <w:rPr>
                <w:rFonts w:eastAsia="宋体"/>
                <w:szCs w:val="21"/>
              </w:rPr>
            </w:pPr>
            <w:r>
              <w:rPr>
                <w:rFonts w:eastAsia="宋体"/>
                <w:szCs w:val="21"/>
              </w:rPr>
              <w:t>产品名称</w:t>
            </w:r>
          </w:p>
        </w:tc>
        <w:tc>
          <w:tcPr>
            <w:tcW w:w="1381" w:type="pct"/>
            <w:gridSpan w:val="4"/>
            <w:vAlign w:val="center"/>
          </w:tcPr>
          <w:p w14:paraId="324C60D7">
            <w:pPr>
              <w:pStyle w:val="58"/>
              <w:widowControl w:val="0"/>
              <w:rPr>
                <w:rFonts w:eastAsia="宋体"/>
                <w:szCs w:val="21"/>
              </w:rPr>
            </w:pPr>
            <w:r>
              <w:rPr>
                <w:rFonts w:eastAsia="宋体"/>
                <w:szCs w:val="21"/>
              </w:rPr>
              <w:t>设计能力（亿件</w:t>
            </w:r>
            <w:r>
              <w:rPr>
                <w:rFonts w:eastAsia="宋体"/>
                <w:b w:val="0"/>
                <w:bCs/>
                <w:szCs w:val="21"/>
              </w:rPr>
              <w:t>/</w:t>
            </w:r>
            <w:r>
              <w:rPr>
                <w:rFonts w:eastAsia="宋体"/>
                <w:szCs w:val="21"/>
              </w:rPr>
              <w:t>a）</w:t>
            </w:r>
          </w:p>
        </w:tc>
        <w:tc>
          <w:tcPr>
            <w:tcW w:w="997" w:type="pct"/>
            <w:vMerge w:val="restart"/>
            <w:vAlign w:val="center"/>
          </w:tcPr>
          <w:p w14:paraId="72B6A84D">
            <w:pPr>
              <w:pStyle w:val="58"/>
              <w:widowControl w:val="0"/>
              <w:rPr>
                <w:rFonts w:eastAsia="宋体"/>
                <w:szCs w:val="21"/>
              </w:rPr>
            </w:pPr>
            <w:r>
              <w:rPr>
                <w:rFonts w:eastAsia="宋体"/>
                <w:szCs w:val="21"/>
              </w:rPr>
              <w:t>产品规格（mm）</w:t>
            </w:r>
          </w:p>
        </w:tc>
        <w:tc>
          <w:tcPr>
            <w:tcW w:w="492" w:type="pct"/>
            <w:vMerge w:val="restart"/>
            <w:vAlign w:val="center"/>
          </w:tcPr>
          <w:p w14:paraId="7F92F392">
            <w:pPr>
              <w:pStyle w:val="58"/>
              <w:widowControl w:val="0"/>
              <w:rPr>
                <w:rFonts w:eastAsia="宋体"/>
                <w:szCs w:val="21"/>
              </w:rPr>
            </w:pPr>
            <w:r>
              <w:rPr>
                <w:rFonts w:eastAsia="宋体"/>
                <w:szCs w:val="21"/>
              </w:rPr>
              <w:t>年运行时数（h）</w:t>
            </w:r>
          </w:p>
        </w:tc>
        <w:tc>
          <w:tcPr>
            <w:tcW w:w="491" w:type="pct"/>
            <w:vMerge w:val="restart"/>
            <w:vAlign w:val="center"/>
          </w:tcPr>
          <w:p w14:paraId="58CC5C0E">
            <w:pPr>
              <w:pStyle w:val="58"/>
              <w:widowControl w:val="0"/>
              <w:rPr>
                <w:rFonts w:eastAsia="宋体"/>
                <w:szCs w:val="21"/>
              </w:rPr>
            </w:pPr>
            <w:r>
              <w:rPr>
                <w:rFonts w:eastAsia="宋体"/>
                <w:szCs w:val="21"/>
              </w:rPr>
              <w:t>备注</w:t>
            </w:r>
          </w:p>
        </w:tc>
      </w:tr>
      <w:tr w14:paraId="09575D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Merge w:val="continue"/>
            <w:vAlign w:val="center"/>
          </w:tcPr>
          <w:p w14:paraId="5DD26130">
            <w:pPr>
              <w:pStyle w:val="58"/>
              <w:widowControl w:val="0"/>
              <w:rPr>
                <w:rFonts w:eastAsia="宋体"/>
                <w:szCs w:val="21"/>
              </w:rPr>
            </w:pPr>
          </w:p>
        </w:tc>
        <w:tc>
          <w:tcPr>
            <w:tcW w:w="473" w:type="pct"/>
            <w:vMerge w:val="continue"/>
            <w:vAlign w:val="center"/>
          </w:tcPr>
          <w:p w14:paraId="50B8E258">
            <w:pPr>
              <w:pStyle w:val="58"/>
              <w:widowControl w:val="0"/>
              <w:rPr>
                <w:rFonts w:eastAsia="宋体"/>
                <w:szCs w:val="21"/>
              </w:rPr>
            </w:pPr>
          </w:p>
        </w:tc>
        <w:tc>
          <w:tcPr>
            <w:tcW w:w="839" w:type="pct"/>
            <w:gridSpan w:val="2"/>
            <w:vMerge w:val="continue"/>
            <w:vAlign w:val="center"/>
          </w:tcPr>
          <w:p w14:paraId="621560CC">
            <w:pPr>
              <w:pStyle w:val="58"/>
              <w:widowControl w:val="0"/>
              <w:rPr>
                <w:rFonts w:eastAsia="宋体"/>
                <w:szCs w:val="21"/>
              </w:rPr>
            </w:pPr>
          </w:p>
        </w:tc>
        <w:tc>
          <w:tcPr>
            <w:tcW w:w="587" w:type="pct"/>
            <w:gridSpan w:val="2"/>
            <w:vAlign w:val="center"/>
          </w:tcPr>
          <w:p w14:paraId="291D3465">
            <w:pPr>
              <w:pStyle w:val="58"/>
              <w:widowControl w:val="0"/>
              <w:rPr>
                <w:rFonts w:eastAsia="宋体"/>
                <w:szCs w:val="21"/>
              </w:rPr>
            </w:pPr>
            <w:r>
              <w:rPr>
                <w:rFonts w:eastAsia="宋体"/>
                <w:szCs w:val="21"/>
              </w:rPr>
              <w:t>现有项目</w:t>
            </w:r>
          </w:p>
        </w:tc>
        <w:tc>
          <w:tcPr>
            <w:tcW w:w="402" w:type="pct"/>
            <w:vMerge w:val="restart"/>
            <w:vAlign w:val="center"/>
          </w:tcPr>
          <w:p w14:paraId="40DF967E">
            <w:pPr>
              <w:pStyle w:val="58"/>
              <w:widowControl w:val="0"/>
              <w:rPr>
                <w:rFonts w:eastAsia="宋体"/>
                <w:szCs w:val="21"/>
              </w:rPr>
            </w:pPr>
            <w:r>
              <w:rPr>
                <w:rFonts w:eastAsia="宋体"/>
                <w:szCs w:val="21"/>
              </w:rPr>
              <w:t>扩建后全厂</w:t>
            </w:r>
          </w:p>
        </w:tc>
        <w:tc>
          <w:tcPr>
            <w:tcW w:w="392" w:type="pct"/>
            <w:vMerge w:val="restart"/>
            <w:vAlign w:val="center"/>
          </w:tcPr>
          <w:p w14:paraId="5851B403">
            <w:pPr>
              <w:pStyle w:val="58"/>
              <w:widowControl w:val="0"/>
              <w:rPr>
                <w:rFonts w:eastAsia="宋体"/>
                <w:szCs w:val="21"/>
              </w:rPr>
            </w:pPr>
            <w:r>
              <w:rPr>
                <w:rFonts w:eastAsia="宋体"/>
                <w:szCs w:val="21"/>
              </w:rPr>
              <w:t>变化量</w:t>
            </w:r>
          </w:p>
        </w:tc>
        <w:tc>
          <w:tcPr>
            <w:tcW w:w="997" w:type="pct"/>
            <w:vMerge w:val="continue"/>
            <w:vAlign w:val="center"/>
          </w:tcPr>
          <w:p w14:paraId="5EA09A55">
            <w:pPr>
              <w:pStyle w:val="58"/>
              <w:widowControl w:val="0"/>
              <w:rPr>
                <w:rFonts w:eastAsia="宋体"/>
                <w:szCs w:val="21"/>
              </w:rPr>
            </w:pPr>
          </w:p>
        </w:tc>
        <w:tc>
          <w:tcPr>
            <w:tcW w:w="492" w:type="pct"/>
            <w:vMerge w:val="continue"/>
            <w:vAlign w:val="center"/>
          </w:tcPr>
          <w:p w14:paraId="3FD67942">
            <w:pPr>
              <w:pStyle w:val="58"/>
              <w:widowControl w:val="0"/>
              <w:rPr>
                <w:rFonts w:eastAsia="宋体"/>
                <w:szCs w:val="21"/>
              </w:rPr>
            </w:pPr>
          </w:p>
        </w:tc>
        <w:tc>
          <w:tcPr>
            <w:tcW w:w="491" w:type="pct"/>
            <w:vMerge w:val="continue"/>
          </w:tcPr>
          <w:p w14:paraId="452850E8">
            <w:pPr>
              <w:pStyle w:val="58"/>
              <w:widowControl w:val="0"/>
              <w:rPr>
                <w:rFonts w:eastAsia="宋体"/>
                <w:szCs w:val="21"/>
              </w:rPr>
            </w:pPr>
          </w:p>
        </w:tc>
      </w:tr>
      <w:tr w14:paraId="41BC93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Merge w:val="continue"/>
            <w:vAlign w:val="center"/>
          </w:tcPr>
          <w:p w14:paraId="156A9577">
            <w:pPr>
              <w:pStyle w:val="58"/>
              <w:widowControl w:val="0"/>
              <w:rPr>
                <w:rFonts w:eastAsia="宋体"/>
                <w:szCs w:val="21"/>
              </w:rPr>
            </w:pPr>
          </w:p>
        </w:tc>
        <w:tc>
          <w:tcPr>
            <w:tcW w:w="473" w:type="pct"/>
            <w:vMerge w:val="continue"/>
            <w:vAlign w:val="center"/>
          </w:tcPr>
          <w:p w14:paraId="66C8B34D">
            <w:pPr>
              <w:pStyle w:val="58"/>
              <w:widowControl w:val="0"/>
              <w:rPr>
                <w:rFonts w:eastAsia="宋体"/>
                <w:szCs w:val="21"/>
              </w:rPr>
            </w:pPr>
          </w:p>
        </w:tc>
        <w:tc>
          <w:tcPr>
            <w:tcW w:w="839" w:type="pct"/>
            <w:gridSpan w:val="2"/>
            <w:vMerge w:val="continue"/>
            <w:vAlign w:val="center"/>
          </w:tcPr>
          <w:p w14:paraId="17DF7731">
            <w:pPr>
              <w:pStyle w:val="58"/>
              <w:widowControl w:val="0"/>
              <w:rPr>
                <w:rFonts w:eastAsia="宋体"/>
                <w:szCs w:val="21"/>
              </w:rPr>
            </w:pPr>
          </w:p>
        </w:tc>
        <w:tc>
          <w:tcPr>
            <w:tcW w:w="284" w:type="pct"/>
            <w:tcBorders>
              <w:bottom w:val="single" w:color="auto" w:sz="4" w:space="0"/>
              <w:right w:val="single" w:color="auto" w:sz="4" w:space="0"/>
            </w:tcBorders>
            <w:vAlign w:val="center"/>
          </w:tcPr>
          <w:p w14:paraId="35C74DE3">
            <w:pPr>
              <w:pStyle w:val="58"/>
              <w:widowControl w:val="0"/>
              <w:rPr>
                <w:rFonts w:eastAsia="宋体"/>
                <w:szCs w:val="21"/>
              </w:rPr>
            </w:pPr>
            <w:r>
              <w:rPr>
                <w:rFonts w:eastAsia="宋体"/>
                <w:szCs w:val="21"/>
              </w:rPr>
              <w:t>环评批复</w:t>
            </w:r>
          </w:p>
        </w:tc>
        <w:tc>
          <w:tcPr>
            <w:tcW w:w="302" w:type="pct"/>
            <w:tcBorders>
              <w:left w:val="single" w:color="auto" w:sz="4" w:space="0"/>
              <w:bottom w:val="single" w:color="auto" w:sz="4" w:space="0"/>
            </w:tcBorders>
            <w:vAlign w:val="center"/>
          </w:tcPr>
          <w:p w14:paraId="6E3CCB1E">
            <w:pPr>
              <w:pStyle w:val="58"/>
              <w:widowControl w:val="0"/>
              <w:rPr>
                <w:rFonts w:eastAsia="宋体"/>
                <w:szCs w:val="21"/>
              </w:rPr>
            </w:pPr>
            <w:r>
              <w:rPr>
                <w:rFonts w:eastAsia="宋体"/>
                <w:szCs w:val="21"/>
              </w:rPr>
              <w:t>验收/实际</w:t>
            </w:r>
          </w:p>
        </w:tc>
        <w:tc>
          <w:tcPr>
            <w:tcW w:w="402" w:type="pct"/>
            <w:vMerge w:val="continue"/>
            <w:vAlign w:val="center"/>
          </w:tcPr>
          <w:p w14:paraId="2C0BBA14">
            <w:pPr>
              <w:pStyle w:val="58"/>
              <w:widowControl w:val="0"/>
              <w:rPr>
                <w:rFonts w:eastAsia="宋体"/>
                <w:szCs w:val="21"/>
              </w:rPr>
            </w:pPr>
          </w:p>
        </w:tc>
        <w:tc>
          <w:tcPr>
            <w:tcW w:w="392" w:type="pct"/>
            <w:vMerge w:val="continue"/>
            <w:vAlign w:val="center"/>
          </w:tcPr>
          <w:p w14:paraId="75DF2260">
            <w:pPr>
              <w:pStyle w:val="58"/>
              <w:widowControl w:val="0"/>
              <w:rPr>
                <w:rFonts w:eastAsia="宋体"/>
                <w:szCs w:val="21"/>
              </w:rPr>
            </w:pPr>
          </w:p>
        </w:tc>
        <w:tc>
          <w:tcPr>
            <w:tcW w:w="997" w:type="pct"/>
            <w:vMerge w:val="continue"/>
            <w:vAlign w:val="center"/>
          </w:tcPr>
          <w:p w14:paraId="2E5D95DA">
            <w:pPr>
              <w:pStyle w:val="58"/>
              <w:widowControl w:val="0"/>
              <w:rPr>
                <w:rFonts w:eastAsia="宋体"/>
                <w:szCs w:val="21"/>
              </w:rPr>
            </w:pPr>
          </w:p>
        </w:tc>
        <w:tc>
          <w:tcPr>
            <w:tcW w:w="492" w:type="pct"/>
            <w:vMerge w:val="continue"/>
            <w:vAlign w:val="center"/>
          </w:tcPr>
          <w:p w14:paraId="38B333D3">
            <w:pPr>
              <w:pStyle w:val="58"/>
              <w:widowControl w:val="0"/>
              <w:rPr>
                <w:rFonts w:eastAsia="宋体"/>
                <w:szCs w:val="21"/>
              </w:rPr>
            </w:pPr>
          </w:p>
        </w:tc>
        <w:tc>
          <w:tcPr>
            <w:tcW w:w="491" w:type="pct"/>
            <w:vMerge w:val="continue"/>
          </w:tcPr>
          <w:p w14:paraId="20C9E505">
            <w:pPr>
              <w:pStyle w:val="58"/>
              <w:widowControl w:val="0"/>
              <w:rPr>
                <w:rFonts w:eastAsia="宋体"/>
                <w:szCs w:val="21"/>
              </w:rPr>
            </w:pPr>
          </w:p>
        </w:tc>
      </w:tr>
      <w:tr w14:paraId="182067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00AABCC5">
            <w:pPr>
              <w:pStyle w:val="58"/>
              <w:widowControl w:val="0"/>
              <w:rPr>
                <w:rFonts w:eastAsia="宋体"/>
                <w:b w:val="0"/>
                <w:bCs/>
                <w:szCs w:val="21"/>
              </w:rPr>
            </w:pPr>
            <w:r>
              <w:rPr>
                <w:rFonts w:eastAsia="宋体"/>
                <w:b w:val="0"/>
                <w:bCs/>
                <w:szCs w:val="21"/>
              </w:rPr>
              <w:t>1</w:t>
            </w:r>
          </w:p>
        </w:tc>
        <w:tc>
          <w:tcPr>
            <w:tcW w:w="473" w:type="pct"/>
            <w:vAlign w:val="center"/>
          </w:tcPr>
          <w:p w14:paraId="4A23F5E7">
            <w:pPr>
              <w:pStyle w:val="58"/>
              <w:widowControl w:val="0"/>
              <w:rPr>
                <w:rFonts w:eastAsia="宋体"/>
                <w:b w:val="0"/>
                <w:bCs/>
                <w:szCs w:val="21"/>
              </w:rPr>
            </w:pPr>
            <w:r>
              <w:rPr>
                <w:rFonts w:eastAsia="宋体"/>
                <w:b w:val="0"/>
                <w:bCs/>
                <w:szCs w:val="21"/>
              </w:rPr>
              <w:t>橡胶件生产线</w:t>
            </w:r>
          </w:p>
        </w:tc>
        <w:tc>
          <w:tcPr>
            <w:tcW w:w="839" w:type="pct"/>
            <w:gridSpan w:val="2"/>
            <w:vAlign w:val="center"/>
          </w:tcPr>
          <w:p w14:paraId="3488FA98">
            <w:pPr>
              <w:jc w:val="center"/>
              <w:rPr>
                <w:szCs w:val="21"/>
              </w:rPr>
            </w:pPr>
            <w:r>
              <w:rPr>
                <w:szCs w:val="21"/>
              </w:rPr>
              <w:t>其他橡胶件</w:t>
            </w:r>
          </w:p>
        </w:tc>
        <w:tc>
          <w:tcPr>
            <w:tcW w:w="284" w:type="pct"/>
            <w:tcBorders>
              <w:top w:val="single" w:color="auto" w:sz="4" w:space="0"/>
              <w:right w:val="single" w:color="auto" w:sz="4" w:space="0"/>
            </w:tcBorders>
            <w:vAlign w:val="center"/>
          </w:tcPr>
          <w:p w14:paraId="50A33431">
            <w:pPr>
              <w:spacing w:line="300" w:lineRule="exact"/>
              <w:jc w:val="center"/>
              <w:rPr>
                <w:szCs w:val="21"/>
              </w:rPr>
            </w:pPr>
            <w:r>
              <w:rPr>
                <w:szCs w:val="21"/>
              </w:rPr>
              <w:t>0.7亿件/年</w:t>
            </w:r>
          </w:p>
        </w:tc>
        <w:tc>
          <w:tcPr>
            <w:tcW w:w="302" w:type="pct"/>
            <w:tcBorders>
              <w:top w:val="single" w:color="auto" w:sz="4" w:space="0"/>
              <w:left w:val="single" w:color="auto" w:sz="4" w:space="0"/>
            </w:tcBorders>
            <w:vAlign w:val="center"/>
          </w:tcPr>
          <w:p w14:paraId="2A298ACE">
            <w:pPr>
              <w:spacing w:line="300" w:lineRule="exact"/>
              <w:jc w:val="center"/>
              <w:rPr>
                <w:szCs w:val="21"/>
              </w:rPr>
            </w:pPr>
            <w:r>
              <w:rPr>
                <w:szCs w:val="21"/>
              </w:rPr>
              <w:t>0.7亿件/年</w:t>
            </w:r>
          </w:p>
        </w:tc>
        <w:tc>
          <w:tcPr>
            <w:tcW w:w="402" w:type="pct"/>
            <w:vAlign w:val="center"/>
          </w:tcPr>
          <w:p w14:paraId="481646AA">
            <w:pPr>
              <w:spacing w:line="300" w:lineRule="exact"/>
              <w:jc w:val="center"/>
              <w:rPr>
                <w:szCs w:val="21"/>
              </w:rPr>
            </w:pPr>
            <w:r>
              <w:rPr>
                <w:szCs w:val="21"/>
              </w:rPr>
              <w:t>0.7亿件/年</w:t>
            </w:r>
          </w:p>
        </w:tc>
        <w:tc>
          <w:tcPr>
            <w:tcW w:w="392" w:type="pct"/>
            <w:vAlign w:val="center"/>
          </w:tcPr>
          <w:p w14:paraId="1D532586">
            <w:pPr>
              <w:pStyle w:val="58"/>
              <w:widowControl w:val="0"/>
              <w:rPr>
                <w:rFonts w:eastAsia="宋体"/>
                <w:b w:val="0"/>
                <w:bCs/>
                <w:szCs w:val="21"/>
              </w:rPr>
            </w:pPr>
            <w:r>
              <w:rPr>
                <w:rFonts w:eastAsia="宋体"/>
                <w:b w:val="0"/>
                <w:bCs/>
                <w:szCs w:val="21"/>
              </w:rPr>
              <w:t>0</w:t>
            </w:r>
          </w:p>
        </w:tc>
        <w:tc>
          <w:tcPr>
            <w:tcW w:w="997" w:type="pct"/>
            <w:vAlign w:val="center"/>
          </w:tcPr>
          <w:p w14:paraId="6F622EB9">
            <w:pPr>
              <w:jc w:val="center"/>
              <w:rPr>
                <w:szCs w:val="21"/>
              </w:rPr>
            </w:pPr>
            <w:r>
              <w:rPr>
                <w:szCs w:val="21"/>
              </w:rPr>
              <w:t>50.5*2.2</w:t>
            </w:r>
          </w:p>
        </w:tc>
        <w:tc>
          <w:tcPr>
            <w:tcW w:w="492" w:type="pct"/>
            <w:vAlign w:val="center"/>
          </w:tcPr>
          <w:p w14:paraId="550BAEDF">
            <w:pPr>
              <w:pStyle w:val="58"/>
              <w:widowControl w:val="0"/>
              <w:rPr>
                <w:rFonts w:eastAsia="宋体"/>
                <w:b w:val="0"/>
                <w:bCs/>
                <w:szCs w:val="21"/>
              </w:rPr>
            </w:pPr>
            <w:r>
              <w:rPr>
                <w:rFonts w:eastAsia="宋体"/>
                <w:b w:val="0"/>
                <w:bCs/>
                <w:szCs w:val="21"/>
              </w:rPr>
              <w:t>7200</w:t>
            </w:r>
          </w:p>
        </w:tc>
        <w:tc>
          <w:tcPr>
            <w:tcW w:w="491" w:type="pct"/>
          </w:tcPr>
          <w:p w14:paraId="65DBD79C">
            <w:pPr>
              <w:pStyle w:val="58"/>
              <w:widowControl w:val="0"/>
              <w:rPr>
                <w:rFonts w:eastAsia="宋体"/>
                <w:b w:val="0"/>
                <w:bCs/>
                <w:szCs w:val="21"/>
              </w:rPr>
            </w:pPr>
          </w:p>
        </w:tc>
      </w:tr>
      <w:tr w14:paraId="607FD2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74994B2A">
            <w:pPr>
              <w:pStyle w:val="58"/>
              <w:widowControl w:val="0"/>
              <w:rPr>
                <w:rFonts w:eastAsia="宋体"/>
                <w:b w:val="0"/>
                <w:bCs/>
                <w:szCs w:val="21"/>
              </w:rPr>
            </w:pPr>
            <w:r>
              <w:rPr>
                <w:rFonts w:eastAsia="宋体"/>
                <w:b w:val="0"/>
                <w:bCs/>
                <w:szCs w:val="21"/>
              </w:rPr>
              <w:t>2</w:t>
            </w:r>
          </w:p>
        </w:tc>
        <w:tc>
          <w:tcPr>
            <w:tcW w:w="473" w:type="pct"/>
            <w:vAlign w:val="center"/>
          </w:tcPr>
          <w:p w14:paraId="3CACDEF2">
            <w:pPr>
              <w:pStyle w:val="58"/>
              <w:widowControl w:val="0"/>
              <w:rPr>
                <w:rFonts w:eastAsia="宋体"/>
                <w:b w:val="0"/>
                <w:bCs/>
                <w:szCs w:val="21"/>
              </w:rPr>
            </w:pPr>
            <w:r>
              <w:rPr>
                <w:rFonts w:eastAsia="宋体"/>
                <w:b w:val="0"/>
                <w:bCs/>
                <w:szCs w:val="21"/>
              </w:rPr>
              <w:t>橡胶/金属复合生产线</w:t>
            </w:r>
          </w:p>
        </w:tc>
        <w:tc>
          <w:tcPr>
            <w:tcW w:w="839" w:type="pct"/>
            <w:gridSpan w:val="2"/>
            <w:vAlign w:val="center"/>
          </w:tcPr>
          <w:p w14:paraId="4A077A66">
            <w:pPr>
              <w:spacing w:line="300" w:lineRule="exact"/>
              <w:jc w:val="center"/>
              <w:rPr>
                <w:szCs w:val="21"/>
              </w:rPr>
            </w:pPr>
            <w:r>
              <w:rPr>
                <w:kern w:val="0"/>
                <w:szCs w:val="21"/>
              </w:rPr>
              <w:t>橡胶&amp;金属复合制品</w:t>
            </w:r>
          </w:p>
        </w:tc>
        <w:tc>
          <w:tcPr>
            <w:tcW w:w="284" w:type="pct"/>
            <w:tcBorders>
              <w:top w:val="single" w:color="auto" w:sz="4" w:space="0"/>
              <w:right w:val="single" w:color="auto" w:sz="4" w:space="0"/>
            </w:tcBorders>
            <w:vAlign w:val="center"/>
          </w:tcPr>
          <w:p w14:paraId="7CAA4595">
            <w:pPr>
              <w:spacing w:line="300" w:lineRule="exact"/>
              <w:jc w:val="center"/>
              <w:rPr>
                <w:szCs w:val="21"/>
              </w:rPr>
            </w:pPr>
            <w:r>
              <w:rPr>
                <w:szCs w:val="21"/>
              </w:rPr>
              <w:t>0.2亿件/年</w:t>
            </w:r>
          </w:p>
        </w:tc>
        <w:tc>
          <w:tcPr>
            <w:tcW w:w="302" w:type="pct"/>
            <w:tcBorders>
              <w:top w:val="single" w:color="auto" w:sz="4" w:space="0"/>
              <w:left w:val="single" w:color="auto" w:sz="4" w:space="0"/>
            </w:tcBorders>
            <w:vAlign w:val="center"/>
          </w:tcPr>
          <w:p w14:paraId="78E61E22">
            <w:pPr>
              <w:spacing w:line="300" w:lineRule="exact"/>
              <w:jc w:val="center"/>
              <w:rPr>
                <w:szCs w:val="21"/>
              </w:rPr>
            </w:pPr>
            <w:r>
              <w:rPr>
                <w:szCs w:val="21"/>
              </w:rPr>
              <w:t>0.2亿件/年</w:t>
            </w:r>
          </w:p>
        </w:tc>
        <w:tc>
          <w:tcPr>
            <w:tcW w:w="402" w:type="pct"/>
            <w:vAlign w:val="center"/>
          </w:tcPr>
          <w:p w14:paraId="3410036A">
            <w:pPr>
              <w:spacing w:line="300" w:lineRule="exact"/>
              <w:jc w:val="center"/>
              <w:rPr>
                <w:szCs w:val="21"/>
              </w:rPr>
            </w:pPr>
            <w:r>
              <w:rPr>
                <w:szCs w:val="21"/>
              </w:rPr>
              <w:t>0.2亿件/年</w:t>
            </w:r>
          </w:p>
        </w:tc>
        <w:tc>
          <w:tcPr>
            <w:tcW w:w="392" w:type="pct"/>
            <w:vAlign w:val="center"/>
          </w:tcPr>
          <w:p w14:paraId="1D099192">
            <w:pPr>
              <w:pStyle w:val="58"/>
              <w:widowControl w:val="0"/>
              <w:rPr>
                <w:rFonts w:eastAsia="宋体"/>
                <w:b w:val="0"/>
                <w:bCs/>
                <w:szCs w:val="21"/>
              </w:rPr>
            </w:pPr>
            <w:r>
              <w:rPr>
                <w:rFonts w:eastAsia="宋体"/>
                <w:b w:val="0"/>
                <w:bCs/>
                <w:szCs w:val="21"/>
              </w:rPr>
              <w:t>0</w:t>
            </w:r>
          </w:p>
        </w:tc>
        <w:tc>
          <w:tcPr>
            <w:tcW w:w="997" w:type="pct"/>
            <w:vAlign w:val="center"/>
          </w:tcPr>
          <w:p w14:paraId="44DF20D2">
            <w:pPr>
              <w:ind w:left="-378" w:leftChars="-180" w:firstLine="378" w:firstLineChars="180"/>
              <w:jc w:val="center"/>
              <w:rPr>
                <w:szCs w:val="21"/>
              </w:rPr>
            </w:pPr>
            <w:r>
              <w:rPr>
                <w:szCs w:val="21"/>
              </w:rPr>
              <w:t>HTC 42 60 7</w:t>
            </w:r>
          </w:p>
        </w:tc>
        <w:tc>
          <w:tcPr>
            <w:tcW w:w="492" w:type="pct"/>
            <w:vAlign w:val="center"/>
          </w:tcPr>
          <w:p w14:paraId="55229ED9">
            <w:pPr>
              <w:pStyle w:val="58"/>
              <w:widowControl w:val="0"/>
              <w:rPr>
                <w:rFonts w:eastAsia="宋体"/>
                <w:b w:val="0"/>
                <w:bCs/>
                <w:szCs w:val="21"/>
              </w:rPr>
            </w:pPr>
            <w:r>
              <w:rPr>
                <w:rFonts w:eastAsia="宋体"/>
                <w:b w:val="0"/>
                <w:bCs/>
                <w:szCs w:val="21"/>
              </w:rPr>
              <w:t>7200</w:t>
            </w:r>
          </w:p>
        </w:tc>
        <w:tc>
          <w:tcPr>
            <w:tcW w:w="491" w:type="pct"/>
          </w:tcPr>
          <w:p w14:paraId="0FB53204">
            <w:pPr>
              <w:pStyle w:val="58"/>
              <w:widowControl w:val="0"/>
              <w:rPr>
                <w:rFonts w:eastAsia="宋体"/>
                <w:b w:val="0"/>
                <w:bCs/>
                <w:szCs w:val="21"/>
              </w:rPr>
            </w:pPr>
          </w:p>
        </w:tc>
      </w:tr>
      <w:tr w14:paraId="574DB3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2BC12A65">
            <w:pPr>
              <w:pStyle w:val="58"/>
              <w:widowControl w:val="0"/>
              <w:rPr>
                <w:rFonts w:eastAsia="宋体"/>
                <w:b w:val="0"/>
                <w:bCs/>
                <w:szCs w:val="21"/>
              </w:rPr>
            </w:pPr>
            <w:r>
              <w:rPr>
                <w:rFonts w:eastAsia="宋体"/>
                <w:b w:val="0"/>
                <w:bCs/>
                <w:szCs w:val="21"/>
              </w:rPr>
              <w:t>3</w:t>
            </w:r>
          </w:p>
        </w:tc>
        <w:tc>
          <w:tcPr>
            <w:tcW w:w="473" w:type="pct"/>
            <w:vAlign w:val="center"/>
          </w:tcPr>
          <w:p w14:paraId="42659587">
            <w:pPr>
              <w:pStyle w:val="58"/>
              <w:widowControl w:val="0"/>
              <w:rPr>
                <w:rFonts w:eastAsia="宋体"/>
                <w:b w:val="0"/>
                <w:bCs/>
                <w:szCs w:val="21"/>
              </w:rPr>
            </w:pPr>
            <w:r>
              <w:rPr>
                <w:rFonts w:eastAsia="宋体"/>
                <w:b w:val="0"/>
                <w:bCs/>
                <w:szCs w:val="21"/>
              </w:rPr>
              <w:t>橡胶件生产线</w:t>
            </w:r>
          </w:p>
        </w:tc>
        <w:tc>
          <w:tcPr>
            <w:tcW w:w="839" w:type="pct"/>
            <w:gridSpan w:val="2"/>
            <w:vAlign w:val="center"/>
          </w:tcPr>
          <w:p w14:paraId="748AC21C">
            <w:pPr>
              <w:jc w:val="center"/>
              <w:rPr>
                <w:szCs w:val="21"/>
              </w:rPr>
            </w:pPr>
            <w:r>
              <w:rPr>
                <w:szCs w:val="21"/>
              </w:rPr>
              <w:t>汽车用</w:t>
            </w:r>
          </w:p>
          <w:p w14:paraId="72C35D56">
            <w:pPr>
              <w:jc w:val="center"/>
              <w:rPr>
                <w:szCs w:val="21"/>
              </w:rPr>
            </w:pPr>
            <w:r>
              <w:rPr>
                <w:szCs w:val="21"/>
              </w:rPr>
              <w:t>O型圈</w:t>
            </w:r>
          </w:p>
        </w:tc>
        <w:tc>
          <w:tcPr>
            <w:tcW w:w="284" w:type="pct"/>
            <w:tcBorders>
              <w:top w:val="single" w:color="auto" w:sz="4" w:space="0"/>
              <w:right w:val="single" w:color="auto" w:sz="4" w:space="0"/>
            </w:tcBorders>
            <w:vAlign w:val="center"/>
          </w:tcPr>
          <w:p w14:paraId="00769655">
            <w:pPr>
              <w:jc w:val="center"/>
              <w:rPr>
                <w:szCs w:val="21"/>
              </w:rPr>
            </w:pPr>
            <w:r>
              <w:rPr>
                <w:kern w:val="0"/>
                <w:szCs w:val="21"/>
              </w:rPr>
              <w:t>3.8亿件/年</w:t>
            </w:r>
          </w:p>
        </w:tc>
        <w:tc>
          <w:tcPr>
            <w:tcW w:w="302" w:type="pct"/>
            <w:tcBorders>
              <w:top w:val="single" w:color="auto" w:sz="4" w:space="0"/>
              <w:left w:val="single" w:color="auto" w:sz="4" w:space="0"/>
            </w:tcBorders>
            <w:vAlign w:val="center"/>
          </w:tcPr>
          <w:p w14:paraId="20B2F1F7">
            <w:pPr>
              <w:pStyle w:val="58"/>
              <w:widowControl w:val="0"/>
              <w:rPr>
                <w:rFonts w:eastAsia="宋体"/>
                <w:b w:val="0"/>
                <w:bCs/>
                <w:szCs w:val="21"/>
              </w:rPr>
            </w:pPr>
            <w:r>
              <w:rPr>
                <w:rFonts w:eastAsia="宋体"/>
                <w:b w:val="0"/>
                <w:bCs/>
                <w:szCs w:val="21"/>
              </w:rPr>
              <w:t>1.8亿件/年</w:t>
            </w:r>
          </w:p>
        </w:tc>
        <w:tc>
          <w:tcPr>
            <w:tcW w:w="402" w:type="pct"/>
            <w:vAlign w:val="center"/>
          </w:tcPr>
          <w:p w14:paraId="36C33670">
            <w:pPr>
              <w:pStyle w:val="58"/>
              <w:widowControl w:val="0"/>
              <w:rPr>
                <w:rFonts w:eastAsia="宋体"/>
                <w:b w:val="0"/>
                <w:bCs/>
                <w:szCs w:val="21"/>
              </w:rPr>
            </w:pPr>
            <w:r>
              <w:rPr>
                <w:rFonts w:eastAsia="宋体"/>
                <w:b w:val="0"/>
                <w:bCs/>
                <w:szCs w:val="21"/>
              </w:rPr>
              <w:t>3.8亿件/年</w:t>
            </w:r>
          </w:p>
        </w:tc>
        <w:tc>
          <w:tcPr>
            <w:tcW w:w="392" w:type="pct"/>
            <w:vAlign w:val="center"/>
          </w:tcPr>
          <w:p w14:paraId="57754C60">
            <w:pPr>
              <w:pStyle w:val="58"/>
              <w:widowControl w:val="0"/>
              <w:rPr>
                <w:rFonts w:eastAsia="宋体"/>
                <w:b w:val="0"/>
                <w:bCs/>
                <w:szCs w:val="21"/>
              </w:rPr>
            </w:pPr>
            <w:r>
              <w:rPr>
                <w:rFonts w:eastAsia="宋体"/>
                <w:b w:val="0"/>
                <w:bCs/>
                <w:szCs w:val="21"/>
              </w:rPr>
              <w:t>0</w:t>
            </w:r>
          </w:p>
        </w:tc>
        <w:tc>
          <w:tcPr>
            <w:tcW w:w="997" w:type="pct"/>
            <w:vAlign w:val="center"/>
          </w:tcPr>
          <w:p w14:paraId="7A61A73C">
            <w:pPr>
              <w:jc w:val="center"/>
              <w:rPr>
                <w:szCs w:val="21"/>
              </w:rPr>
            </w:pPr>
            <w:r>
              <w:rPr>
                <w:szCs w:val="21"/>
              </w:rPr>
              <w:t>41*1.8，50.5*2.2</w:t>
            </w:r>
          </w:p>
        </w:tc>
        <w:tc>
          <w:tcPr>
            <w:tcW w:w="492" w:type="pct"/>
            <w:vAlign w:val="center"/>
          </w:tcPr>
          <w:p w14:paraId="4EDD61AE">
            <w:pPr>
              <w:pStyle w:val="58"/>
              <w:widowControl w:val="0"/>
              <w:rPr>
                <w:rFonts w:eastAsia="宋体"/>
                <w:b w:val="0"/>
                <w:bCs/>
                <w:szCs w:val="21"/>
              </w:rPr>
            </w:pPr>
            <w:r>
              <w:rPr>
                <w:rFonts w:eastAsia="宋体"/>
                <w:b w:val="0"/>
                <w:bCs/>
                <w:szCs w:val="21"/>
              </w:rPr>
              <w:t>7200</w:t>
            </w:r>
          </w:p>
        </w:tc>
        <w:tc>
          <w:tcPr>
            <w:tcW w:w="491" w:type="pct"/>
            <w:vAlign w:val="center"/>
          </w:tcPr>
          <w:p w14:paraId="6D42A861">
            <w:pPr>
              <w:jc w:val="center"/>
              <w:rPr>
                <w:szCs w:val="21"/>
              </w:rPr>
            </w:pPr>
            <w:r>
              <w:rPr>
                <w:szCs w:val="21"/>
              </w:rPr>
              <w:t>“新建汽车用O型圈生产项目</w:t>
            </w:r>
            <w:r>
              <w:rPr>
                <w:rFonts w:hint="eastAsia"/>
                <w:szCs w:val="21"/>
              </w:rPr>
              <w:t>（2亿件/年）</w:t>
            </w:r>
            <w:r>
              <w:rPr>
                <w:szCs w:val="21"/>
              </w:rPr>
              <w:t>”未投产，属于已批待建</w:t>
            </w:r>
          </w:p>
        </w:tc>
      </w:tr>
      <w:tr w14:paraId="7C0AAE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22338352">
            <w:pPr>
              <w:pStyle w:val="58"/>
              <w:widowControl w:val="0"/>
              <w:rPr>
                <w:rFonts w:eastAsia="宋体"/>
                <w:b w:val="0"/>
                <w:bCs/>
                <w:szCs w:val="21"/>
              </w:rPr>
            </w:pPr>
            <w:r>
              <w:rPr>
                <w:rFonts w:eastAsia="宋体"/>
                <w:b w:val="0"/>
                <w:bCs/>
                <w:szCs w:val="21"/>
              </w:rPr>
              <w:t>4</w:t>
            </w:r>
          </w:p>
        </w:tc>
        <w:tc>
          <w:tcPr>
            <w:tcW w:w="473" w:type="pct"/>
            <w:vAlign w:val="center"/>
          </w:tcPr>
          <w:p w14:paraId="65469B04">
            <w:pPr>
              <w:pStyle w:val="58"/>
              <w:widowControl w:val="0"/>
              <w:rPr>
                <w:rFonts w:eastAsia="宋体"/>
                <w:b w:val="0"/>
                <w:bCs/>
                <w:szCs w:val="21"/>
              </w:rPr>
            </w:pPr>
            <w:r>
              <w:rPr>
                <w:rFonts w:eastAsia="宋体"/>
                <w:b w:val="0"/>
                <w:bCs/>
                <w:szCs w:val="21"/>
              </w:rPr>
              <w:t>橡胶/金属复合生产线</w:t>
            </w:r>
          </w:p>
        </w:tc>
        <w:tc>
          <w:tcPr>
            <w:tcW w:w="839" w:type="pct"/>
            <w:gridSpan w:val="2"/>
            <w:vAlign w:val="center"/>
          </w:tcPr>
          <w:p w14:paraId="5EE77000">
            <w:pPr>
              <w:pStyle w:val="85"/>
              <w:spacing w:line="240" w:lineRule="auto"/>
              <w:ind w:firstLine="0"/>
              <w:rPr>
                <w:rFonts w:ascii="Times New Roman" w:eastAsia="宋体"/>
                <w:szCs w:val="21"/>
              </w:rPr>
            </w:pPr>
            <w:r>
              <w:rPr>
                <w:rFonts w:ascii="Times New Roman" w:eastAsia="宋体"/>
                <w:sz w:val="21"/>
                <w:szCs w:val="21"/>
              </w:rPr>
              <w:t>动力系统油封</w:t>
            </w:r>
          </w:p>
        </w:tc>
        <w:tc>
          <w:tcPr>
            <w:tcW w:w="284" w:type="pct"/>
            <w:tcBorders>
              <w:top w:val="single" w:color="auto" w:sz="4" w:space="0"/>
              <w:right w:val="single" w:color="auto" w:sz="4" w:space="0"/>
            </w:tcBorders>
            <w:vAlign w:val="center"/>
          </w:tcPr>
          <w:p w14:paraId="502AD097">
            <w:pPr>
              <w:jc w:val="center"/>
              <w:rPr>
                <w:szCs w:val="21"/>
              </w:rPr>
            </w:pPr>
            <w:r>
              <w:t>0.48亿件</w:t>
            </w:r>
            <w:r>
              <w:rPr>
                <w:kern w:val="0"/>
                <w:szCs w:val="21"/>
              </w:rPr>
              <w:t>/年</w:t>
            </w:r>
          </w:p>
        </w:tc>
        <w:tc>
          <w:tcPr>
            <w:tcW w:w="302" w:type="pct"/>
            <w:tcBorders>
              <w:top w:val="single" w:color="auto" w:sz="4" w:space="0"/>
              <w:left w:val="single" w:color="auto" w:sz="4" w:space="0"/>
            </w:tcBorders>
            <w:vAlign w:val="center"/>
          </w:tcPr>
          <w:p w14:paraId="2F2E41A5">
            <w:pPr>
              <w:pStyle w:val="58"/>
              <w:widowControl w:val="0"/>
              <w:rPr>
                <w:rFonts w:eastAsia="宋体"/>
                <w:b w:val="0"/>
                <w:bCs/>
                <w:szCs w:val="21"/>
              </w:rPr>
            </w:pPr>
            <w:r>
              <w:rPr>
                <w:rFonts w:eastAsia="宋体"/>
                <w:b w:val="0"/>
                <w:bCs/>
                <w:szCs w:val="21"/>
              </w:rPr>
              <w:t>0</w:t>
            </w:r>
          </w:p>
        </w:tc>
        <w:tc>
          <w:tcPr>
            <w:tcW w:w="402" w:type="pct"/>
            <w:vAlign w:val="center"/>
          </w:tcPr>
          <w:p w14:paraId="7E1EFB65">
            <w:pPr>
              <w:jc w:val="center"/>
              <w:rPr>
                <w:szCs w:val="21"/>
              </w:rPr>
            </w:pPr>
            <w:r>
              <w:t>0.48亿件</w:t>
            </w:r>
            <w:r>
              <w:rPr>
                <w:kern w:val="0"/>
                <w:szCs w:val="21"/>
              </w:rPr>
              <w:t>/年</w:t>
            </w:r>
          </w:p>
        </w:tc>
        <w:tc>
          <w:tcPr>
            <w:tcW w:w="392" w:type="pct"/>
            <w:vAlign w:val="center"/>
          </w:tcPr>
          <w:p w14:paraId="29722F48">
            <w:pPr>
              <w:pStyle w:val="58"/>
              <w:widowControl w:val="0"/>
              <w:rPr>
                <w:rFonts w:eastAsia="宋体"/>
                <w:b w:val="0"/>
                <w:bCs/>
                <w:szCs w:val="21"/>
              </w:rPr>
            </w:pPr>
            <w:r>
              <w:rPr>
                <w:rFonts w:eastAsia="宋体"/>
                <w:b w:val="0"/>
                <w:bCs/>
                <w:szCs w:val="21"/>
              </w:rPr>
              <w:t>0</w:t>
            </w:r>
          </w:p>
        </w:tc>
        <w:tc>
          <w:tcPr>
            <w:tcW w:w="997" w:type="pct"/>
            <w:vAlign w:val="center"/>
          </w:tcPr>
          <w:p w14:paraId="25166396">
            <w:pPr>
              <w:jc w:val="center"/>
              <w:rPr>
                <w:szCs w:val="21"/>
              </w:rPr>
            </w:pPr>
            <w:r>
              <w:rPr>
                <w:szCs w:val="21"/>
              </w:rPr>
              <w:t>发动机曲轴油封、变速箱油封等</w:t>
            </w:r>
          </w:p>
        </w:tc>
        <w:tc>
          <w:tcPr>
            <w:tcW w:w="492" w:type="pct"/>
            <w:vAlign w:val="center"/>
          </w:tcPr>
          <w:p w14:paraId="5F2212A8">
            <w:pPr>
              <w:pStyle w:val="58"/>
              <w:widowControl w:val="0"/>
              <w:rPr>
                <w:rFonts w:eastAsia="宋体"/>
                <w:szCs w:val="21"/>
              </w:rPr>
            </w:pPr>
            <w:r>
              <w:rPr>
                <w:rFonts w:eastAsia="宋体"/>
                <w:b w:val="0"/>
                <w:bCs/>
                <w:szCs w:val="21"/>
              </w:rPr>
              <w:t>/</w:t>
            </w:r>
          </w:p>
        </w:tc>
        <w:tc>
          <w:tcPr>
            <w:tcW w:w="491" w:type="pct"/>
            <w:vMerge w:val="restart"/>
            <w:vAlign w:val="center"/>
          </w:tcPr>
          <w:p w14:paraId="3FD3400A">
            <w:pPr>
              <w:jc w:val="center"/>
              <w:rPr>
                <w:szCs w:val="21"/>
              </w:rPr>
            </w:pPr>
            <w:r>
              <w:rPr>
                <w:szCs w:val="21"/>
              </w:rPr>
              <w:t>“新建汽车动力系统和制动系统橡胶零部件生产项目”未投产，属于已批待建</w:t>
            </w:r>
          </w:p>
        </w:tc>
      </w:tr>
      <w:tr w14:paraId="73EF4B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0620B7F8">
            <w:pPr>
              <w:pStyle w:val="58"/>
              <w:widowControl w:val="0"/>
              <w:rPr>
                <w:rFonts w:eastAsia="宋体"/>
                <w:b w:val="0"/>
                <w:bCs/>
                <w:szCs w:val="21"/>
              </w:rPr>
            </w:pPr>
            <w:r>
              <w:rPr>
                <w:rFonts w:eastAsia="宋体"/>
                <w:b w:val="0"/>
                <w:bCs/>
                <w:szCs w:val="21"/>
              </w:rPr>
              <w:t>5</w:t>
            </w:r>
          </w:p>
        </w:tc>
        <w:tc>
          <w:tcPr>
            <w:tcW w:w="473" w:type="pct"/>
            <w:vAlign w:val="center"/>
          </w:tcPr>
          <w:p w14:paraId="57F1854F">
            <w:pPr>
              <w:pStyle w:val="58"/>
              <w:widowControl w:val="0"/>
              <w:rPr>
                <w:rFonts w:eastAsia="宋体"/>
                <w:b w:val="0"/>
                <w:bCs/>
                <w:szCs w:val="21"/>
              </w:rPr>
            </w:pPr>
            <w:r>
              <w:rPr>
                <w:rFonts w:eastAsia="宋体"/>
                <w:b w:val="0"/>
                <w:bCs/>
                <w:szCs w:val="21"/>
              </w:rPr>
              <w:t>橡胶件生产线</w:t>
            </w:r>
          </w:p>
        </w:tc>
        <w:tc>
          <w:tcPr>
            <w:tcW w:w="839" w:type="pct"/>
            <w:gridSpan w:val="2"/>
            <w:vAlign w:val="center"/>
          </w:tcPr>
          <w:p w14:paraId="28B1BCC2">
            <w:pPr>
              <w:pStyle w:val="85"/>
              <w:spacing w:line="240" w:lineRule="auto"/>
              <w:ind w:firstLine="0"/>
              <w:rPr>
                <w:rFonts w:ascii="Times New Roman" w:eastAsia="宋体"/>
                <w:szCs w:val="21"/>
              </w:rPr>
            </w:pPr>
            <w:r>
              <w:rPr>
                <w:rFonts w:ascii="Times New Roman" w:eastAsia="宋体"/>
                <w:sz w:val="21"/>
                <w:szCs w:val="21"/>
              </w:rPr>
              <w:t>动力系统橡胶密封垫圈</w:t>
            </w:r>
          </w:p>
        </w:tc>
        <w:tc>
          <w:tcPr>
            <w:tcW w:w="284" w:type="pct"/>
            <w:tcBorders>
              <w:top w:val="single" w:color="auto" w:sz="4" w:space="0"/>
              <w:right w:val="single" w:color="auto" w:sz="4" w:space="0"/>
            </w:tcBorders>
            <w:vAlign w:val="center"/>
          </w:tcPr>
          <w:p w14:paraId="08D972C6">
            <w:pPr>
              <w:jc w:val="center"/>
              <w:rPr>
                <w:szCs w:val="21"/>
              </w:rPr>
            </w:pPr>
            <w:r>
              <w:t>0.8亿件</w:t>
            </w:r>
            <w:r>
              <w:rPr>
                <w:kern w:val="0"/>
                <w:szCs w:val="21"/>
              </w:rPr>
              <w:t>/年</w:t>
            </w:r>
          </w:p>
        </w:tc>
        <w:tc>
          <w:tcPr>
            <w:tcW w:w="302" w:type="pct"/>
            <w:tcBorders>
              <w:top w:val="single" w:color="auto" w:sz="4" w:space="0"/>
              <w:left w:val="single" w:color="auto" w:sz="4" w:space="0"/>
            </w:tcBorders>
            <w:vAlign w:val="center"/>
          </w:tcPr>
          <w:p w14:paraId="3BD11905">
            <w:pPr>
              <w:pStyle w:val="58"/>
              <w:widowControl w:val="0"/>
              <w:rPr>
                <w:rFonts w:eastAsia="宋体"/>
                <w:b w:val="0"/>
                <w:bCs/>
                <w:szCs w:val="21"/>
              </w:rPr>
            </w:pPr>
            <w:r>
              <w:rPr>
                <w:rFonts w:eastAsia="宋体"/>
                <w:b w:val="0"/>
                <w:bCs/>
                <w:szCs w:val="21"/>
              </w:rPr>
              <w:t>0</w:t>
            </w:r>
          </w:p>
        </w:tc>
        <w:tc>
          <w:tcPr>
            <w:tcW w:w="402" w:type="pct"/>
            <w:vAlign w:val="center"/>
          </w:tcPr>
          <w:p w14:paraId="5D3C8B91">
            <w:pPr>
              <w:jc w:val="center"/>
              <w:rPr>
                <w:szCs w:val="21"/>
              </w:rPr>
            </w:pPr>
            <w:r>
              <w:t>0.8亿件</w:t>
            </w:r>
            <w:r>
              <w:rPr>
                <w:kern w:val="0"/>
                <w:szCs w:val="21"/>
              </w:rPr>
              <w:t>/年</w:t>
            </w:r>
          </w:p>
        </w:tc>
        <w:tc>
          <w:tcPr>
            <w:tcW w:w="392" w:type="pct"/>
            <w:vAlign w:val="center"/>
          </w:tcPr>
          <w:p w14:paraId="49BFB6AF">
            <w:pPr>
              <w:pStyle w:val="58"/>
              <w:widowControl w:val="0"/>
              <w:rPr>
                <w:rFonts w:eastAsia="宋体"/>
                <w:b w:val="0"/>
                <w:bCs/>
                <w:szCs w:val="21"/>
              </w:rPr>
            </w:pPr>
            <w:r>
              <w:rPr>
                <w:rFonts w:eastAsia="宋体"/>
                <w:b w:val="0"/>
                <w:bCs/>
                <w:szCs w:val="21"/>
              </w:rPr>
              <w:t>0</w:t>
            </w:r>
          </w:p>
        </w:tc>
        <w:tc>
          <w:tcPr>
            <w:tcW w:w="997" w:type="pct"/>
            <w:vAlign w:val="center"/>
          </w:tcPr>
          <w:p w14:paraId="31A0E2C1">
            <w:pPr>
              <w:jc w:val="center"/>
              <w:rPr>
                <w:szCs w:val="21"/>
              </w:rPr>
            </w:pPr>
            <w:r>
              <w:rPr>
                <w:szCs w:val="21"/>
              </w:rPr>
              <w:t>发动机室缸垫、歧管垫等</w:t>
            </w:r>
          </w:p>
        </w:tc>
        <w:tc>
          <w:tcPr>
            <w:tcW w:w="492" w:type="pct"/>
            <w:vAlign w:val="center"/>
          </w:tcPr>
          <w:p w14:paraId="58E37E07">
            <w:pPr>
              <w:pStyle w:val="58"/>
              <w:widowControl w:val="0"/>
              <w:rPr>
                <w:rFonts w:eastAsia="宋体"/>
                <w:szCs w:val="21"/>
              </w:rPr>
            </w:pPr>
            <w:r>
              <w:rPr>
                <w:rFonts w:eastAsia="宋体"/>
                <w:b w:val="0"/>
                <w:bCs/>
                <w:szCs w:val="21"/>
              </w:rPr>
              <w:t>/</w:t>
            </w:r>
          </w:p>
        </w:tc>
        <w:tc>
          <w:tcPr>
            <w:tcW w:w="491" w:type="pct"/>
            <w:vMerge w:val="continue"/>
          </w:tcPr>
          <w:p w14:paraId="09C71D54">
            <w:pPr>
              <w:pStyle w:val="58"/>
              <w:widowControl w:val="0"/>
              <w:rPr>
                <w:rFonts w:eastAsia="宋体"/>
                <w:b w:val="0"/>
                <w:bCs/>
                <w:szCs w:val="21"/>
              </w:rPr>
            </w:pPr>
          </w:p>
        </w:tc>
      </w:tr>
      <w:tr w14:paraId="51CE29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2899352F">
            <w:pPr>
              <w:pStyle w:val="58"/>
              <w:widowControl w:val="0"/>
              <w:rPr>
                <w:rFonts w:eastAsia="宋体"/>
                <w:b w:val="0"/>
                <w:bCs/>
                <w:szCs w:val="21"/>
              </w:rPr>
            </w:pPr>
            <w:r>
              <w:rPr>
                <w:rFonts w:eastAsia="宋体"/>
                <w:b w:val="0"/>
                <w:bCs/>
                <w:szCs w:val="21"/>
              </w:rPr>
              <w:t>6</w:t>
            </w:r>
          </w:p>
        </w:tc>
        <w:tc>
          <w:tcPr>
            <w:tcW w:w="473" w:type="pct"/>
            <w:vAlign w:val="center"/>
          </w:tcPr>
          <w:p w14:paraId="3DC730A4">
            <w:pPr>
              <w:pStyle w:val="58"/>
              <w:widowControl w:val="0"/>
              <w:rPr>
                <w:rFonts w:eastAsia="宋体"/>
                <w:b w:val="0"/>
                <w:bCs/>
                <w:szCs w:val="21"/>
              </w:rPr>
            </w:pPr>
            <w:r>
              <w:rPr>
                <w:rFonts w:eastAsia="宋体"/>
                <w:b w:val="0"/>
                <w:bCs/>
                <w:szCs w:val="21"/>
              </w:rPr>
              <w:t>橡胶件生产线</w:t>
            </w:r>
          </w:p>
        </w:tc>
        <w:tc>
          <w:tcPr>
            <w:tcW w:w="839" w:type="pct"/>
            <w:gridSpan w:val="2"/>
            <w:vAlign w:val="center"/>
          </w:tcPr>
          <w:p w14:paraId="3D2B4258">
            <w:pPr>
              <w:pStyle w:val="85"/>
              <w:spacing w:line="240" w:lineRule="auto"/>
              <w:ind w:firstLine="0"/>
              <w:rPr>
                <w:rFonts w:ascii="Times New Roman" w:eastAsia="宋体"/>
                <w:szCs w:val="21"/>
              </w:rPr>
            </w:pPr>
            <w:r>
              <w:rPr>
                <w:rFonts w:ascii="Times New Roman" w:eastAsia="宋体"/>
                <w:sz w:val="21"/>
                <w:szCs w:val="21"/>
              </w:rPr>
              <w:t>制动系统助力皮膜</w:t>
            </w:r>
          </w:p>
        </w:tc>
        <w:tc>
          <w:tcPr>
            <w:tcW w:w="284" w:type="pct"/>
            <w:tcBorders>
              <w:right w:val="single" w:color="auto" w:sz="4" w:space="0"/>
            </w:tcBorders>
            <w:vAlign w:val="center"/>
          </w:tcPr>
          <w:p w14:paraId="57914AB5">
            <w:pPr>
              <w:jc w:val="center"/>
              <w:rPr>
                <w:szCs w:val="21"/>
              </w:rPr>
            </w:pPr>
            <w:r>
              <w:t>0.06亿件</w:t>
            </w:r>
            <w:r>
              <w:rPr>
                <w:kern w:val="0"/>
                <w:szCs w:val="21"/>
              </w:rPr>
              <w:t>/年</w:t>
            </w:r>
          </w:p>
        </w:tc>
        <w:tc>
          <w:tcPr>
            <w:tcW w:w="302" w:type="pct"/>
            <w:tcBorders>
              <w:left w:val="single" w:color="auto" w:sz="4" w:space="0"/>
            </w:tcBorders>
            <w:vAlign w:val="center"/>
          </w:tcPr>
          <w:p w14:paraId="22EFD5A9">
            <w:pPr>
              <w:pStyle w:val="58"/>
              <w:widowControl w:val="0"/>
              <w:rPr>
                <w:rFonts w:eastAsia="宋体"/>
                <w:b w:val="0"/>
                <w:bCs/>
                <w:szCs w:val="21"/>
              </w:rPr>
            </w:pPr>
            <w:r>
              <w:rPr>
                <w:rFonts w:eastAsia="宋体"/>
                <w:b w:val="0"/>
                <w:bCs/>
                <w:szCs w:val="21"/>
              </w:rPr>
              <w:t>0</w:t>
            </w:r>
          </w:p>
        </w:tc>
        <w:tc>
          <w:tcPr>
            <w:tcW w:w="402" w:type="pct"/>
            <w:vAlign w:val="center"/>
          </w:tcPr>
          <w:p w14:paraId="33DC1F7E">
            <w:pPr>
              <w:jc w:val="center"/>
              <w:rPr>
                <w:szCs w:val="21"/>
              </w:rPr>
            </w:pPr>
            <w:r>
              <w:t>0.06亿件</w:t>
            </w:r>
            <w:r>
              <w:rPr>
                <w:kern w:val="0"/>
                <w:szCs w:val="21"/>
              </w:rPr>
              <w:t>/年</w:t>
            </w:r>
          </w:p>
        </w:tc>
        <w:tc>
          <w:tcPr>
            <w:tcW w:w="392" w:type="pct"/>
            <w:vAlign w:val="center"/>
          </w:tcPr>
          <w:p w14:paraId="396864C3">
            <w:pPr>
              <w:pStyle w:val="58"/>
              <w:widowControl w:val="0"/>
              <w:rPr>
                <w:rFonts w:eastAsia="宋体"/>
                <w:b w:val="0"/>
                <w:bCs/>
                <w:szCs w:val="21"/>
              </w:rPr>
            </w:pPr>
            <w:r>
              <w:rPr>
                <w:rFonts w:eastAsia="宋体"/>
                <w:b w:val="0"/>
                <w:bCs/>
                <w:szCs w:val="21"/>
              </w:rPr>
              <w:t>0</w:t>
            </w:r>
          </w:p>
        </w:tc>
        <w:tc>
          <w:tcPr>
            <w:tcW w:w="997" w:type="pct"/>
            <w:vAlign w:val="center"/>
          </w:tcPr>
          <w:p w14:paraId="7F4A0D1C">
            <w:pPr>
              <w:jc w:val="center"/>
              <w:rPr>
                <w:szCs w:val="21"/>
              </w:rPr>
            </w:pPr>
            <w:r>
              <w:rPr>
                <w:szCs w:val="21"/>
              </w:rPr>
              <w:t>制动器真空助力器皮膜</w:t>
            </w:r>
          </w:p>
        </w:tc>
        <w:tc>
          <w:tcPr>
            <w:tcW w:w="492" w:type="pct"/>
            <w:vAlign w:val="center"/>
          </w:tcPr>
          <w:p w14:paraId="3CB85588">
            <w:pPr>
              <w:pStyle w:val="58"/>
              <w:widowControl w:val="0"/>
              <w:rPr>
                <w:rFonts w:eastAsia="宋体"/>
                <w:szCs w:val="21"/>
              </w:rPr>
            </w:pPr>
            <w:r>
              <w:rPr>
                <w:rFonts w:eastAsia="宋体"/>
                <w:b w:val="0"/>
                <w:bCs/>
                <w:szCs w:val="21"/>
              </w:rPr>
              <w:t>/</w:t>
            </w:r>
          </w:p>
        </w:tc>
        <w:tc>
          <w:tcPr>
            <w:tcW w:w="491" w:type="pct"/>
            <w:vMerge w:val="continue"/>
          </w:tcPr>
          <w:p w14:paraId="7A6C315C">
            <w:pPr>
              <w:pStyle w:val="58"/>
              <w:widowControl w:val="0"/>
              <w:rPr>
                <w:rFonts w:eastAsia="宋体"/>
                <w:b w:val="0"/>
                <w:bCs/>
                <w:szCs w:val="21"/>
              </w:rPr>
            </w:pPr>
          </w:p>
        </w:tc>
      </w:tr>
      <w:tr w14:paraId="52A53E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1DBCDC51">
            <w:pPr>
              <w:pStyle w:val="58"/>
              <w:widowControl w:val="0"/>
              <w:rPr>
                <w:rFonts w:eastAsia="宋体"/>
                <w:b w:val="0"/>
                <w:bCs/>
                <w:szCs w:val="21"/>
              </w:rPr>
            </w:pPr>
            <w:r>
              <w:rPr>
                <w:rFonts w:eastAsia="宋体"/>
                <w:b w:val="0"/>
                <w:bCs/>
                <w:szCs w:val="21"/>
              </w:rPr>
              <w:t>7</w:t>
            </w:r>
          </w:p>
        </w:tc>
        <w:tc>
          <w:tcPr>
            <w:tcW w:w="473" w:type="pct"/>
            <w:vAlign w:val="center"/>
          </w:tcPr>
          <w:p w14:paraId="232F000F">
            <w:pPr>
              <w:pStyle w:val="58"/>
              <w:widowControl w:val="0"/>
              <w:rPr>
                <w:rFonts w:eastAsia="宋体"/>
                <w:b w:val="0"/>
                <w:bCs/>
                <w:szCs w:val="21"/>
              </w:rPr>
            </w:pPr>
            <w:r>
              <w:rPr>
                <w:rFonts w:eastAsia="宋体"/>
                <w:b w:val="0"/>
                <w:bCs/>
                <w:szCs w:val="21"/>
              </w:rPr>
              <w:t>橡胶件生产线</w:t>
            </w:r>
          </w:p>
        </w:tc>
        <w:tc>
          <w:tcPr>
            <w:tcW w:w="839" w:type="pct"/>
            <w:gridSpan w:val="2"/>
            <w:vAlign w:val="center"/>
          </w:tcPr>
          <w:p w14:paraId="0FE0FDC0">
            <w:pPr>
              <w:pStyle w:val="85"/>
              <w:spacing w:line="240" w:lineRule="auto"/>
              <w:ind w:firstLine="0"/>
              <w:rPr>
                <w:rFonts w:ascii="Times New Roman" w:eastAsia="宋体"/>
                <w:szCs w:val="21"/>
              </w:rPr>
            </w:pPr>
            <w:r>
              <w:rPr>
                <w:rFonts w:ascii="Times New Roman" w:eastAsia="宋体"/>
                <w:sz w:val="21"/>
                <w:szCs w:val="21"/>
              </w:rPr>
              <w:t>制动系统橡胶件</w:t>
            </w:r>
          </w:p>
        </w:tc>
        <w:tc>
          <w:tcPr>
            <w:tcW w:w="284" w:type="pct"/>
            <w:tcBorders>
              <w:right w:val="single" w:color="auto" w:sz="4" w:space="0"/>
            </w:tcBorders>
            <w:vAlign w:val="center"/>
          </w:tcPr>
          <w:p w14:paraId="560BC674">
            <w:pPr>
              <w:jc w:val="center"/>
              <w:rPr>
                <w:szCs w:val="21"/>
              </w:rPr>
            </w:pPr>
            <w:r>
              <w:t>0.3亿件</w:t>
            </w:r>
            <w:r>
              <w:rPr>
                <w:kern w:val="0"/>
                <w:szCs w:val="21"/>
              </w:rPr>
              <w:t>/年</w:t>
            </w:r>
          </w:p>
        </w:tc>
        <w:tc>
          <w:tcPr>
            <w:tcW w:w="302" w:type="pct"/>
            <w:tcBorders>
              <w:left w:val="single" w:color="auto" w:sz="4" w:space="0"/>
            </w:tcBorders>
            <w:vAlign w:val="center"/>
          </w:tcPr>
          <w:p w14:paraId="448B26E8">
            <w:pPr>
              <w:pStyle w:val="58"/>
              <w:widowControl w:val="0"/>
              <w:rPr>
                <w:rFonts w:eastAsia="宋体"/>
                <w:b w:val="0"/>
                <w:bCs/>
                <w:szCs w:val="21"/>
              </w:rPr>
            </w:pPr>
            <w:r>
              <w:rPr>
                <w:rFonts w:eastAsia="宋体"/>
                <w:b w:val="0"/>
                <w:bCs/>
                <w:szCs w:val="21"/>
              </w:rPr>
              <w:t>0</w:t>
            </w:r>
          </w:p>
        </w:tc>
        <w:tc>
          <w:tcPr>
            <w:tcW w:w="402" w:type="pct"/>
            <w:vAlign w:val="center"/>
          </w:tcPr>
          <w:p w14:paraId="133BC6B6">
            <w:pPr>
              <w:jc w:val="center"/>
              <w:rPr>
                <w:szCs w:val="21"/>
              </w:rPr>
            </w:pPr>
            <w:r>
              <w:t>0.3亿件</w:t>
            </w:r>
            <w:r>
              <w:rPr>
                <w:kern w:val="0"/>
                <w:szCs w:val="21"/>
              </w:rPr>
              <w:t>/年</w:t>
            </w:r>
          </w:p>
        </w:tc>
        <w:tc>
          <w:tcPr>
            <w:tcW w:w="392" w:type="pct"/>
            <w:vAlign w:val="center"/>
          </w:tcPr>
          <w:p w14:paraId="473CDAC1">
            <w:pPr>
              <w:pStyle w:val="58"/>
              <w:widowControl w:val="0"/>
              <w:rPr>
                <w:rFonts w:eastAsia="宋体"/>
                <w:b w:val="0"/>
                <w:bCs/>
                <w:szCs w:val="21"/>
              </w:rPr>
            </w:pPr>
            <w:r>
              <w:rPr>
                <w:rFonts w:eastAsia="宋体"/>
                <w:b w:val="0"/>
                <w:bCs/>
                <w:szCs w:val="21"/>
              </w:rPr>
              <w:t>0</w:t>
            </w:r>
          </w:p>
        </w:tc>
        <w:tc>
          <w:tcPr>
            <w:tcW w:w="997" w:type="pct"/>
            <w:vAlign w:val="center"/>
          </w:tcPr>
          <w:p w14:paraId="68619666">
            <w:pPr>
              <w:jc w:val="center"/>
              <w:rPr>
                <w:szCs w:val="21"/>
              </w:rPr>
            </w:pPr>
            <w:r>
              <w:rPr>
                <w:szCs w:val="21"/>
              </w:rPr>
              <w:t>制动卡钳防尘罩、制动主缸密封件等</w:t>
            </w:r>
          </w:p>
        </w:tc>
        <w:tc>
          <w:tcPr>
            <w:tcW w:w="492" w:type="pct"/>
            <w:vAlign w:val="center"/>
          </w:tcPr>
          <w:p w14:paraId="42DD805E">
            <w:pPr>
              <w:pStyle w:val="58"/>
              <w:widowControl w:val="0"/>
              <w:rPr>
                <w:rFonts w:eastAsia="宋体"/>
                <w:szCs w:val="21"/>
              </w:rPr>
            </w:pPr>
            <w:r>
              <w:rPr>
                <w:rFonts w:eastAsia="宋体"/>
                <w:b w:val="0"/>
                <w:bCs/>
                <w:szCs w:val="21"/>
              </w:rPr>
              <w:t>/</w:t>
            </w:r>
          </w:p>
        </w:tc>
        <w:tc>
          <w:tcPr>
            <w:tcW w:w="491" w:type="pct"/>
            <w:vMerge w:val="continue"/>
          </w:tcPr>
          <w:p w14:paraId="52C21EBE">
            <w:pPr>
              <w:pStyle w:val="58"/>
              <w:widowControl w:val="0"/>
              <w:rPr>
                <w:rFonts w:eastAsia="宋体"/>
                <w:b w:val="0"/>
                <w:bCs/>
                <w:szCs w:val="21"/>
              </w:rPr>
            </w:pPr>
          </w:p>
        </w:tc>
      </w:tr>
      <w:tr w14:paraId="3CBF2D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Merge w:val="restart"/>
            <w:vAlign w:val="center"/>
          </w:tcPr>
          <w:p w14:paraId="1C7B467F">
            <w:pPr>
              <w:pStyle w:val="58"/>
              <w:widowControl w:val="0"/>
              <w:rPr>
                <w:rFonts w:eastAsia="宋体"/>
                <w:b w:val="0"/>
                <w:bCs/>
                <w:szCs w:val="21"/>
              </w:rPr>
            </w:pPr>
            <w:r>
              <w:rPr>
                <w:rFonts w:eastAsia="宋体"/>
                <w:b w:val="0"/>
                <w:bCs/>
                <w:szCs w:val="21"/>
              </w:rPr>
              <w:t>8</w:t>
            </w:r>
          </w:p>
        </w:tc>
        <w:tc>
          <w:tcPr>
            <w:tcW w:w="473" w:type="pct"/>
            <w:vMerge w:val="restart"/>
            <w:vAlign w:val="center"/>
          </w:tcPr>
          <w:p w14:paraId="48434FB3">
            <w:pPr>
              <w:pStyle w:val="58"/>
              <w:widowControl w:val="0"/>
              <w:rPr>
                <w:rFonts w:eastAsia="宋体"/>
                <w:b w:val="0"/>
                <w:bCs/>
                <w:szCs w:val="21"/>
              </w:rPr>
            </w:pPr>
            <w:r>
              <w:rPr>
                <w:rFonts w:eastAsia="宋体"/>
                <w:b w:val="0"/>
                <w:bCs/>
                <w:szCs w:val="21"/>
              </w:rPr>
              <w:t>橡胶件生产线</w:t>
            </w:r>
          </w:p>
        </w:tc>
        <w:tc>
          <w:tcPr>
            <w:tcW w:w="390" w:type="pct"/>
            <w:vMerge w:val="restart"/>
            <w:tcBorders>
              <w:right w:val="single" w:color="auto" w:sz="4" w:space="0"/>
            </w:tcBorders>
            <w:vAlign w:val="center"/>
          </w:tcPr>
          <w:p w14:paraId="1428E0DF">
            <w:pPr>
              <w:spacing w:line="300" w:lineRule="exact"/>
              <w:jc w:val="center"/>
              <w:rPr>
                <w:szCs w:val="21"/>
              </w:rPr>
            </w:pPr>
            <w:r>
              <w:rPr>
                <w:szCs w:val="21"/>
              </w:rPr>
              <w:t>汽车用橡胶密封件</w:t>
            </w:r>
          </w:p>
        </w:tc>
        <w:tc>
          <w:tcPr>
            <w:tcW w:w="448" w:type="pct"/>
            <w:tcBorders>
              <w:left w:val="single" w:color="auto" w:sz="4" w:space="0"/>
            </w:tcBorders>
            <w:vAlign w:val="center"/>
          </w:tcPr>
          <w:p w14:paraId="08E5875C">
            <w:pPr>
              <w:jc w:val="center"/>
              <w:rPr>
                <w:szCs w:val="21"/>
              </w:rPr>
            </w:pPr>
            <w:r>
              <w:rPr>
                <w:szCs w:val="21"/>
              </w:rPr>
              <w:t>O型圈</w:t>
            </w:r>
          </w:p>
        </w:tc>
        <w:tc>
          <w:tcPr>
            <w:tcW w:w="284" w:type="pct"/>
            <w:tcBorders>
              <w:right w:val="single" w:color="auto" w:sz="4" w:space="0"/>
            </w:tcBorders>
            <w:vAlign w:val="center"/>
          </w:tcPr>
          <w:p w14:paraId="6FA58B68">
            <w:pPr>
              <w:spacing w:line="300" w:lineRule="exact"/>
              <w:jc w:val="center"/>
            </w:pPr>
            <w:r>
              <w:rPr>
                <w:szCs w:val="21"/>
              </w:rPr>
              <w:t>1.8亿件/年</w:t>
            </w:r>
          </w:p>
        </w:tc>
        <w:tc>
          <w:tcPr>
            <w:tcW w:w="302" w:type="pct"/>
            <w:tcBorders>
              <w:left w:val="single" w:color="auto" w:sz="4" w:space="0"/>
            </w:tcBorders>
            <w:vAlign w:val="center"/>
          </w:tcPr>
          <w:p w14:paraId="6C5575F0">
            <w:pPr>
              <w:pStyle w:val="58"/>
              <w:widowControl w:val="0"/>
              <w:rPr>
                <w:rFonts w:eastAsia="宋体"/>
                <w:b w:val="0"/>
                <w:bCs/>
                <w:szCs w:val="21"/>
              </w:rPr>
            </w:pPr>
            <w:r>
              <w:rPr>
                <w:rFonts w:eastAsia="宋体"/>
                <w:b w:val="0"/>
                <w:bCs/>
                <w:szCs w:val="21"/>
              </w:rPr>
              <w:t>0</w:t>
            </w:r>
          </w:p>
        </w:tc>
        <w:tc>
          <w:tcPr>
            <w:tcW w:w="402" w:type="pct"/>
            <w:vAlign w:val="center"/>
          </w:tcPr>
          <w:p w14:paraId="014E4D64">
            <w:pPr>
              <w:pStyle w:val="58"/>
              <w:widowControl w:val="0"/>
              <w:rPr>
                <w:rFonts w:eastAsia="宋体"/>
                <w:b w:val="0"/>
                <w:bCs/>
                <w:szCs w:val="21"/>
              </w:rPr>
            </w:pPr>
            <w:r>
              <w:rPr>
                <w:rFonts w:eastAsia="宋体"/>
                <w:b w:val="0"/>
                <w:bCs/>
                <w:szCs w:val="21"/>
              </w:rPr>
              <w:t>0</w:t>
            </w:r>
          </w:p>
        </w:tc>
        <w:tc>
          <w:tcPr>
            <w:tcW w:w="392" w:type="pct"/>
            <w:vAlign w:val="center"/>
          </w:tcPr>
          <w:p w14:paraId="2E2A92AC">
            <w:pPr>
              <w:pStyle w:val="58"/>
              <w:widowControl w:val="0"/>
              <w:rPr>
                <w:rFonts w:eastAsia="宋体"/>
                <w:b w:val="0"/>
                <w:bCs/>
                <w:szCs w:val="21"/>
              </w:rPr>
            </w:pPr>
            <w:r>
              <w:rPr>
                <w:rFonts w:eastAsia="宋体"/>
                <w:b w:val="0"/>
                <w:bCs/>
                <w:szCs w:val="21"/>
              </w:rPr>
              <w:t>0</w:t>
            </w:r>
          </w:p>
        </w:tc>
        <w:tc>
          <w:tcPr>
            <w:tcW w:w="997" w:type="pct"/>
            <w:vAlign w:val="center"/>
          </w:tcPr>
          <w:p w14:paraId="2693D528">
            <w:pPr>
              <w:jc w:val="center"/>
              <w:rPr>
                <w:szCs w:val="21"/>
              </w:rPr>
            </w:pPr>
            <w:r>
              <w:rPr>
                <w:szCs w:val="21"/>
              </w:rPr>
              <w:t>41*1.8，50.5*2.2</w:t>
            </w:r>
          </w:p>
        </w:tc>
        <w:tc>
          <w:tcPr>
            <w:tcW w:w="492" w:type="pct"/>
            <w:vAlign w:val="center"/>
          </w:tcPr>
          <w:p w14:paraId="070AE382">
            <w:pPr>
              <w:pStyle w:val="58"/>
              <w:widowControl w:val="0"/>
              <w:rPr>
                <w:rFonts w:eastAsia="宋体"/>
                <w:b w:val="0"/>
                <w:bCs/>
                <w:szCs w:val="21"/>
              </w:rPr>
            </w:pPr>
            <w:r>
              <w:rPr>
                <w:rFonts w:eastAsia="宋体"/>
                <w:b w:val="0"/>
                <w:bCs/>
                <w:szCs w:val="21"/>
              </w:rPr>
              <w:t>/</w:t>
            </w:r>
          </w:p>
        </w:tc>
        <w:tc>
          <w:tcPr>
            <w:tcW w:w="491" w:type="pct"/>
          </w:tcPr>
          <w:p w14:paraId="5E32E1D2">
            <w:pPr>
              <w:pStyle w:val="58"/>
              <w:widowControl w:val="0"/>
              <w:rPr>
                <w:rFonts w:eastAsia="宋体"/>
                <w:b w:val="0"/>
                <w:bCs/>
                <w:szCs w:val="21"/>
              </w:rPr>
            </w:pPr>
          </w:p>
        </w:tc>
      </w:tr>
      <w:tr w14:paraId="5D91B7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Merge w:val="continue"/>
            <w:vAlign w:val="center"/>
          </w:tcPr>
          <w:p w14:paraId="5666FD73">
            <w:pPr>
              <w:pStyle w:val="58"/>
              <w:widowControl w:val="0"/>
              <w:rPr>
                <w:rFonts w:eastAsia="宋体"/>
                <w:b w:val="0"/>
                <w:bCs/>
                <w:szCs w:val="21"/>
              </w:rPr>
            </w:pPr>
          </w:p>
        </w:tc>
        <w:tc>
          <w:tcPr>
            <w:tcW w:w="473" w:type="pct"/>
            <w:vMerge w:val="continue"/>
            <w:vAlign w:val="center"/>
          </w:tcPr>
          <w:p w14:paraId="52026365">
            <w:pPr>
              <w:pStyle w:val="58"/>
              <w:widowControl w:val="0"/>
              <w:rPr>
                <w:rFonts w:eastAsia="宋体"/>
                <w:b w:val="0"/>
                <w:bCs/>
                <w:szCs w:val="21"/>
              </w:rPr>
            </w:pPr>
          </w:p>
        </w:tc>
        <w:tc>
          <w:tcPr>
            <w:tcW w:w="390" w:type="pct"/>
            <w:vMerge w:val="continue"/>
            <w:tcBorders>
              <w:right w:val="single" w:color="auto" w:sz="4" w:space="0"/>
            </w:tcBorders>
            <w:vAlign w:val="center"/>
          </w:tcPr>
          <w:p w14:paraId="19C9CD62">
            <w:pPr>
              <w:spacing w:line="300" w:lineRule="exact"/>
              <w:jc w:val="center"/>
              <w:rPr>
                <w:szCs w:val="21"/>
              </w:rPr>
            </w:pPr>
          </w:p>
        </w:tc>
        <w:tc>
          <w:tcPr>
            <w:tcW w:w="448" w:type="pct"/>
            <w:tcBorders>
              <w:left w:val="single" w:color="auto" w:sz="4" w:space="0"/>
            </w:tcBorders>
            <w:vAlign w:val="center"/>
          </w:tcPr>
          <w:p w14:paraId="1CD8BBA0">
            <w:pPr>
              <w:jc w:val="center"/>
              <w:rPr>
                <w:szCs w:val="21"/>
              </w:rPr>
            </w:pPr>
            <w:r>
              <w:rPr>
                <w:szCs w:val="21"/>
              </w:rPr>
              <w:t>橡胶杂件</w:t>
            </w:r>
          </w:p>
        </w:tc>
        <w:tc>
          <w:tcPr>
            <w:tcW w:w="284" w:type="pct"/>
            <w:tcBorders>
              <w:right w:val="single" w:color="auto" w:sz="4" w:space="0"/>
            </w:tcBorders>
            <w:vAlign w:val="center"/>
          </w:tcPr>
          <w:p w14:paraId="747568C7">
            <w:pPr>
              <w:spacing w:line="300" w:lineRule="exact"/>
              <w:jc w:val="center"/>
            </w:pPr>
            <w:r>
              <w:rPr>
                <w:szCs w:val="21"/>
              </w:rPr>
              <w:t>0.7亿件/年</w:t>
            </w:r>
          </w:p>
        </w:tc>
        <w:tc>
          <w:tcPr>
            <w:tcW w:w="302" w:type="pct"/>
            <w:tcBorders>
              <w:left w:val="single" w:color="auto" w:sz="4" w:space="0"/>
            </w:tcBorders>
            <w:vAlign w:val="center"/>
          </w:tcPr>
          <w:p w14:paraId="2920F03D">
            <w:pPr>
              <w:pStyle w:val="58"/>
              <w:widowControl w:val="0"/>
              <w:rPr>
                <w:rFonts w:eastAsia="宋体"/>
                <w:b w:val="0"/>
                <w:bCs/>
                <w:szCs w:val="21"/>
              </w:rPr>
            </w:pPr>
            <w:r>
              <w:rPr>
                <w:rFonts w:eastAsia="宋体"/>
                <w:b w:val="0"/>
                <w:bCs/>
                <w:szCs w:val="21"/>
              </w:rPr>
              <w:t>0</w:t>
            </w:r>
          </w:p>
        </w:tc>
        <w:tc>
          <w:tcPr>
            <w:tcW w:w="402" w:type="pct"/>
            <w:vAlign w:val="center"/>
          </w:tcPr>
          <w:p w14:paraId="1E865FF3">
            <w:pPr>
              <w:pStyle w:val="58"/>
              <w:widowControl w:val="0"/>
              <w:rPr>
                <w:rFonts w:eastAsia="宋体"/>
                <w:b w:val="0"/>
                <w:bCs/>
                <w:szCs w:val="21"/>
              </w:rPr>
            </w:pPr>
            <w:r>
              <w:rPr>
                <w:rFonts w:eastAsia="宋体"/>
                <w:b w:val="0"/>
                <w:bCs/>
                <w:szCs w:val="21"/>
              </w:rPr>
              <w:t>0</w:t>
            </w:r>
          </w:p>
        </w:tc>
        <w:tc>
          <w:tcPr>
            <w:tcW w:w="392" w:type="pct"/>
            <w:vAlign w:val="center"/>
          </w:tcPr>
          <w:p w14:paraId="7982AA9A">
            <w:pPr>
              <w:pStyle w:val="58"/>
              <w:widowControl w:val="0"/>
              <w:rPr>
                <w:rFonts w:eastAsia="宋体"/>
                <w:b w:val="0"/>
                <w:bCs/>
                <w:szCs w:val="21"/>
              </w:rPr>
            </w:pPr>
            <w:r>
              <w:rPr>
                <w:rFonts w:eastAsia="宋体"/>
                <w:b w:val="0"/>
                <w:bCs/>
                <w:szCs w:val="21"/>
              </w:rPr>
              <w:t>0</w:t>
            </w:r>
          </w:p>
        </w:tc>
        <w:tc>
          <w:tcPr>
            <w:tcW w:w="997" w:type="pct"/>
            <w:vAlign w:val="center"/>
          </w:tcPr>
          <w:p w14:paraId="2B1A2A4C">
            <w:pPr>
              <w:jc w:val="center"/>
              <w:rPr>
                <w:szCs w:val="21"/>
              </w:rPr>
            </w:pPr>
            <w:r>
              <w:rPr>
                <w:szCs w:val="21"/>
              </w:rPr>
              <w:t>橡胶杂件</w:t>
            </w:r>
          </w:p>
        </w:tc>
        <w:tc>
          <w:tcPr>
            <w:tcW w:w="492" w:type="pct"/>
            <w:vAlign w:val="center"/>
          </w:tcPr>
          <w:p w14:paraId="3E73A524">
            <w:pPr>
              <w:pStyle w:val="58"/>
              <w:widowControl w:val="0"/>
              <w:rPr>
                <w:rFonts w:eastAsia="宋体"/>
                <w:b w:val="0"/>
                <w:bCs/>
                <w:szCs w:val="21"/>
              </w:rPr>
            </w:pPr>
            <w:r>
              <w:rPr>
                <w:rFonts w:eastAsia="宋体"/>
                <w:b w:val="0"/>
                <w:bCs/>
                <w:szCs w:val="21"/>
              </w:rPr>
              <w:t>/</w:t>
            </w:r>
          </w:p>
        </w:tc>
        <w:tc>
          <w:tcPr>
            <w:tcW w:w="491" w:type="pct"/>
          </w:tcPr>
          <w:p w14:paraId="78C56108">
            <w:pPr>
              <w:pStyle w:val="58"/>
              <w:widowControl w:val="0"/>
              <w:rPr>
                <w:rFonts w:eastAsia="宋体"/>
                <w:b w:val="0"/>
                <w:bCs/>
                <w:szCs w:val="21"/>
              </w:rPr>
            </w:pPr>
          </w:p>
        </w:tc>
      </w:tr>
      <w:tr w14:paraId="0F051D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6C7ACD78">
            <w:pPr>
              <w:pStyle w:val="58"/>
              <w:widowControl w:val="0"/>
              <w:rPr>
                <w:rFonts w:eastAsia="宋体"/>
                <w:b w:val="0"/>
                <w:bCs/>
                <w:szCs w:val="21"/>
              </w:rPr>
            </w:pPr>
            <w:r>
              <w:rPr>
                <w:rFonts w:eastAsia="宋体"/>
                <w:b w:val="0"/>
                <w:bCs/>
                <w:szCs w:val="21"/>
              </w:rPr>
              <w:t>9</w:t>
            </w:r>
          </w:p>
        </w:tc>
        <w:tc>
          <w:tcPr>
            <w:tcW w:w="473" w:type="pct"/>
            <w:vAlign w:val="center"/>
          </w:tcPr>
          <w:p w14:paraId="7966F044">
            <w:pPr>
              <w:pStyle w:val="58"/>
              <w:widowControl w:val="0"/>
              <w:rPr>
                <w:rFonts w:eastAsia="宋体"/>
                <w:b w:val="0"/>
                <w:bCs/>
                <w:szCs w:val="21"/>
              </w:rPr>
            </w:pPr>
            <w:r>
              <w:rPr>
                <w:rFonts w:eastAsia="宋体"/>
                <w:b w:val="0"/>
                <w:bCs/>
                <w:szCs w:val="21"/>
              </w:rPr>
              <w:t>橡胶/金属复合生产线</w:t>
            </w:r>
          </w:p>
        </w:tc>
        <w:tc>
          <w:tcPr>
            <w:tcW w:w="839" w:type="pct"/>
            <w:gridSpan w:val="2"/>
            <w:vAlign w:val="center"/>
          </w:tcPr>
          <w:p w14:paraId="530E1CB4">
            <w:pPr>
              <w:spacing w:line="300" w:lineRule="exact"/>
              <w:jc w:val="center"/>
              <w:rPr>
                <w:szCs w:val="21"/>
              </w:rPr>
            </w:pPr>
            <w:r>
              <w:rPr>
                <w:kern w:val="0"/>
                <w:szCs w:val="21"/>
              </w:rPr>
              <w:t>特种橡胶-金属复合制品</w:t>
            </w:r>
          </w:p>
        </w:tc>
        <w:tc>
          <w:tcPr>
            <w:tcW w:w="284" w:type="pct"/>
            <w:tcBorders>
              <w:right w:val="single" w:color="auto" w:sz="4" w:space="0"/>
            </w:tcBorders>
            <w:vAlign w:val="center"/>
          </w:tcPr>
          <w:p w14:paraId="00BF3EC0">
            <w:pPr>
              <w:spacing w:line="300" w:lineRule="exact"/>
              <w:jc w:val="center"/>
              <w:rPr>
                <w:szCs w:val="21"/>
              </w:rPr>
            </w:pPr>
            <w:r>
              <w:rPr>
                <w:szCs w:val="21"/>
              </w:rPr>
              <w:t>0.2亿件/年</w:t>
            </w:r>
          </w:p>
        </w:tc>
        <w:tc>
          <w:tcPr>
            <w:tcW w:w="302" w:type="pct"/>
            <w:tcBorders>
              <w:left w:val="single" w:color="auto" w:sz="4" w:space="0"/>
            </w:tcBorders>
            <w:vAlign w:val="center"/>
          </w:tcPr>
          <w:p w14:paraId="4A121D01">
            <w:pPr>
              <w:pStyle w:val="58"/>
              <w:widowControl w:val="0"/>
              <w:rPr>
                <w:rFonts w:eastAsia="宋体"/>
                <w:b w:val="0"/>
                <w:bCs/>
                <w:szCs w:val="21"/>
              </w:rPr>
            </w:pPr>
            <w:r>
              <w:rPr>
                <w:rFonts w:eastAsia="宋体"/>
                <w:b w:val="0"/>
                <w:bCs/>
                <w:szCs w:val="21"/>
              </w:rPr>
              <w:t>0</w:t>
            </w:r>
          </w:p>
        </w:tc>
        <w:tc>
          <w:tcPr>
            <w:tcW w:w="402" w:type="pct"/>
            <w:vAlign w:val="center"/>
          </w:tcPr>
          <w:p w14:paraId="0860CD0B">
            <w:pPr>
              <w:pStyle w:val="58"/>
              <w:widowControl w:val="0"/>
              <w:rPr>
                <w:rFonts w:eastAsia="宋体"/>
                <w:b w:val="0"/>
                <w:bCs/>
                <w:szCs w:val="21"/>
              </w:rPr>
            </w:pPr>
            <w:r>
              <w:rPr>
                <w:rFonts w:eastAsia="宋体"/>
                <w:b w:val="0"/>
                <w:bCs/>
                <w:szCs w:val="21"/>
              </w:rPr>
              <w:t>0</w:t>
            </w:r>
          </w:p>
        </w:tc>
        <w:tc>
          <w:tcPr>
            <w:tcW w:w="392" w:type="pct"/>
            <w:vAlign w:val="center"/>
          </w:tcPr>
          <w:p w14:paraId="36F963C3">
            <w:pPr>
              <w:pStyle w:val="58"/>
              <w:widowControl w:val="0"/>
              <w:rPr>
                <w:rFonts w:eastAsia="宋体"/>
                <w:b w:val="0"/>
                <w:bCs/>
                <w:szCs w:val="21"/>
              </w:rPr>
            </w:pPr>
            <w:r>
              <w:rPr>
                <w:rFonts w:eastAsia="宋体"/>
                <w:b w:val="0"/>
                <w:bCs/>
                <w:szCs w:val="21"/>
              </w:rPr>
              <w:t>0</w:t>
            </w:r>
          </w:p>
        </w:tc>
        <w:tc>
          <w:tcPr>
            <w:tcW w:w="997" w:type="pct"/>
            <w:vAlign w:val="center"/>
          </w:tcPr>
          <w:p w14:paraId="208B1546">
            <w:pPr>
              <w:spacing w:line="300" w:lineRule="exact"/>
              <w:jc w:val="center"/>
              <w:rPr>
                <w:szCs w:val="21"/>
              </w:rPr>
            </w:pPr>
            <w:r>
              <w:rPr>
                <w:szCs w:val="21"/>
              </w:rPr>
              <w:t>HTC 42 60 7</w:t>
            </w:r>
          </w:p>
        </w:tc>
        <w:tc>
          <w:tcPr>
            <w:tcW w:w="492" w:type="pct"/>
            <w:vAlign w:val="center"/>
          </w:tcPr>
          <w:p w14:paraId="419762D2">
            <w:pPr>
              <w:pStyle w:val="58"/>
              <w:widowControl w:val="0"/>
              <w:rPr>
                <w:rFonts w:eastAsia="宋体"/>
                <w:szCs w:val="21"/>
              </w:rPr>
            </w:pPr>
            <w:r>
              <w:rPr>
                <w:rFonts w:eastAsia="宋体"/>
                <w:b w:val="0"/>
                <w:bCs/>
                <w:szCs w:val="21"/>
              </w:rPr>
              <w:t>/</w:t>
            </w:r>
          </w:p>
        </w:tc>
        <w:tc>
          <w:tcPr>
            <w:tcW w:w="491" w:type="pct"/>
          </w:tcPr>
          <w:p w14:paraId="407B383C">
            <w:pPr>
              <w:pStyle w:val="58"/>
              <w:widowControl w:val="0"/>
              <w:rPr>
                <w:rFonts w:eastAsia="宋体"/>
                <w:b w:val="0"/>
                <w:bCs/>
                <w:szCs w:val="21"/>
              </w:rPr>
            </w:pPr>
          </w:p>
        </w:tc>
      </w:tr>
      <w:tr w14:paraId="369DC8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54FF77C9">
            <w:pPr>
              <w:pStyle w:val="58"/>
              <w:widowControl w:val="0"/>
              <w:rPr>
                <w:rFonts w:eastAsia="宋体"/>
                <w:b w:val="0"/>
                <w:bCs/>
                <w:szCs w:val="21"/>
              </w:rPr>
            </w:pPr>
            <w:r>
              <w:rPr>
                <w:rFonts w:eastAsia="宋体"/>
                <w:b w:val="0"/>
                <w:bCs/>
                <w:szCs w:val="21"/>
              </w:rPr>
              <w:t>10</w:t>
            </w:r>
          </w:p>
        </w:tc>
        <w:tc>
          <w:tcPr>
            <w:tcW w:w="473" w:type="pct"/>
            <w:vAlign w:val="center"/>
          </w:tcPr>
          <w:p w14:paraId="117C72B3">
            <w:pPr>
              <w:pStyle w:val="58"/>
              <w:widowControl w:val="0"/>
              <w:rPr>
                <w:rFonts w:eastAsia="宋体"/>
                <w:b w:val="0"/>
                <w:bCs/>
                <w:szCs w:val="21"/>
              </w:rPr>
            </w:pPr>
            <w:r>
              <w:rPr>
                <w:rFonts w:eastAsia="宋体"/>
                <w:b w:val="0"/>
                <w:bCs/>
                <w:szCs w:val="21"/>
              </w:rPr>
              <w:t>橡胶件生产线</w:t>
            </w:r>
          </w:p>
        </w:tc>
        <w:tc>
          <w:tcPr>
            <w:tcW w:w="390" w:type="pct"/>
            <w:vMerge w:val="restart"/>
            <w:tcBorders>
              <w:right w:val="single" w:color="auto" w:sz="4" w:space="0"/>
            </w:tcBorders>
            <w:vAlign w:val="center"/>
          </w:tcPr>
          <w:p w14:paraId="31516362">
            <w:pPr>
              <w:spacing w:line="300" w:lineRule="exact"/>
              <w:jc w:val="center"/>
              <w:rPr>
                <w:kern w:val="0"/>
                <w:szCs w:val="21"/>
              </w:rPr>
            </w:pPr>
            <w:r>
              <w:rPr>
                <w:kern w:val="0"/>
                <w:szCs w:val="21"/>
              </w:rPr>
              <w:t>新能源汽车配套橡胶功能件</w:t>
            </w:r>
          </w:p>
        </w:tc>
        <w:tc>
          <w:tcPr>
            <w:tcW w:w="448" w:type="pct"/>
            <w:tcBorders>
              <w:left w:val="single" w:color="auto" w:sz="4" w:space="0"/>
            </w:tcBorders>
            <w:vAlign w:val="center"/>
          </w:tcPr>
          <w:p w14:paraId="395A6FBC">
            <w:pPr>
              <w:spacing w:line="300" w:lineRule="exact"/>
              <w:jc w:val="center"/>
              <w:rPr>
                <w:kern w:val="0"/>
                <w:szCs w:val="21"/>
              </w:rPr>
            </w:pPr>
            <w:r>
              <w:rPr>
                <w:kern w:val="0"/>
                <w:szCs w:val="21"/>
              </w:rPr>
              <w:t>O型圈</w:t>
            </w:r>
          </w:p>
        </w:tc>
        <w:tc>
          <w:tcPr>
            <w:tcW w:w="284" w:type="pct"/>
            <w:tcBorders>
              <w:right w:val="single" w:color="auto" w:sz="4" w:space="0"/>
            </w:tcBorders>
            <w:vAlign w:val="center"/>
          </w:tcPr>
          <w:p w14:paraId="3800D3FA">
            <w:pPr>
              <w:spacing w:line="300" w:lineRule="exact"/>
              <w:jc w:val="center"/>
              <w:rPr>
                <w:szCs w:val="21"/>
              </w:rPr>
            </w:pPr>
            <w:r>
              <w:rPr>
                <w:szCs w:val="21"/>
              </w:rPr>
              <w:t>0</w:t>
            </w:r>
          </w:p>
        </w:tc>
        <w:tc>
          <w:tcPr>
            <w:tcW w:w="302" w:type="pct"/>
            <w:tcBorders>
              <w:left w:val="single" w:color="auto" w:sz="4" w:space="0"/>
            </w:tcBorders>
            <w:vAlign w:val="center"/>
          </w:tcPr>
          <w:p w14:paraId="04B64F17">
            <w:pPr>
              <w:pStyle w:val="58"/>
              <w:widowControl w:val="0"/>
              <w:rPr>
                <w:rFonts w:eastAsia="宋体"/>
                <w:b w:val="0"/>
                <w:bCs/>
                <w:szCs w:val="21"/>
              </w:rPr>
            </w:pPr>
            <w:r>
              <w:rPr>
                <w:rFonts w:eastAsia="宋体"/>
                <w:b w:val="0"/>
                <w:bCs/>
                <w:szCs w:val="21"/>
              </w:rPr>
              <w:t>0</w:t>
            </w:r>
          </w:p>
        </w:tc>
        <w:tc>
          <w:tcPr>
            <w:tcW w:w="402" w:type="pct"/>
            <w:vAlign w:val="center"/>
          </w:tcPr>
          <w:p w14:paraId="53541D67">
            <w:pPr>
              <w:jc w:val="center"/>
            </w:pPr>
            <w:r>
              <w:t>3.36亿件/年</w:t>
            </w:r>
          </w:p>
        </w:tc>
        <w:tc>
          <w:tcPr>
            <w:tcW w:w="392" w:type="pct"/>
            <w:vAlign w:val="center"/>
          </w:tcPr>
          <w:p w14:paraId="297BBDD0">
            <w:pPr>
              <w:jc w:val="center"/>
            </w:pPr>
            <w:r>
              <w:t>+3.36亿件/年</w:t>
            </w:r>
          </w:p>
        </w:tc>
        <w:tc>
          <w:tcPr>
            <w:tcW w:w="997" w:type="pct"/>
            <w:vMerge w:val="restart"/>
            <w:vAlign w:val="center"/>
          </w:tcPr>
          <w:p w14:paraId="01C33326">
            <w:pPr>
              <w:jc w:val="center"/>
              <w:rPr>
                <w:szCs w:val="21"/>
              </w:rPr>
            </w:pPr>
            <w:r>
              <w:rPr>
                <w:bCs/>
              </w:rPr>
              <w:t>L60×W30、L60×W27、L22×W14、L22×W29、L29×W26等，φ=3.4、4.7、5.3、8、16等</w:t>
            </w:r>
          </w:p>
        </w:tc>
        <w:tc>
          <w:tcPr>
            <w:tcW w:w="492" w:type="pct"/>
            <w:vAlign w:val="center"/>
          </w:tcPr>
          <w:p w14:paraId="7049FD07">
            <w:pPr>
              <w:pStyle w:val="58"/>
              <w:widowControl w:val="0"/>
              <w:rPr>
                <w:rFonts w:eastAsia="宋体"/>
                <w:b w:val="0"/>
                <w:bCs/>
                <w:szCs w:val="21"/>
              </w:rPr>
            </w:pPr>
            <w:r>
              <w:rPr>
                <w:rFonts w:eastAsia="宋体"/>
                <w:b w:val="0"/>
                <w:bCs/>
                <w:szCs w:val="21"/>
              </w:rPr>
              <w:t>7200</w:t>
            </w:r>
          </w:p>
        </w:tc>
        <w:tc>
          <w:tcPr>
            <w:tcW w:w="491" w:type="pct"/>
          </w:tcPr>
          <w:p w14:paraId="58CCC3E7">
            <w:pPr>
              <w:pStyle w:val="58"/>
              <w:widowControl w:val="0"/>
              <w:rPr>
                <w:rFonts w:eastAsia="宋体"/>
                <w:b w:val="0"/>
                <w:bCs/>
                <w:szCs w:val="21"/>
              </w:rPr>
            </w:pPr>
          </w:p>
        </w:tc>
      </w:tr>
      <w:tr w14:paraId="054C85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5BDE5315">
            <w:pPr>
              <w:pStyle w:val="58"/>
              <w:widowControl w:val="0"/>
              <w:rPr>
                <w:rFonts w:eastAsia="宋体"/>
                <w:b w:val="0"/>
                <w:bCs/>
                <w:szCs w:val="21"/>
              </w:rPr>
            </w:pPr>
            <w:r>
              <w:rPr>
                <w:rFonts w:eastAsia="宋体"/>
                <w:b w:val="0"/>
                <w:bCs/>
                <w:szCs w:val="21"/>
              </w:rPr>
              <w:t>11</w:t>
            </w:r>
          </w:p>
        </w:tc>
        <w:tc>
          <w:tcPr>
            <w:tcW w:w="473" w:type="pct"/>
            <w:vAlign w:val="center"/>
          </w:tcPr>
          <w:p w14:paraId="5BBD4F27">
            <w:pPr>
              <w:pStyle w:val="58"/>
              <w:widowControl w:val="0"/>
              <w:rPr>
                <w:rFonts w:eastAsia="宋体"/>
                <w:b w:val="0"/>
                <w:bCs/>
                <w:szCs w:val="21"/>
              </w:rPr>
            </w:pPr>
            <w:r>
              <w:rPr>
                <w:rFonts w:eastAsia="宋体"/>
                <w:b w:val="0"/>
                <w:bCs/>
                <w:szCs w:val="21"/>
              </w:rPr>
              <w:t>橡胶件生产线</w:t>
            </w:r>
          </w:p>
        </w:tc>
        <w:tc>
          <w:tcPr>
            <w:tcW w:w="390" w:type="pct"/>
            <w:vMerge w:val="continue"/>
            <w:tcBorders>
              <w:right w:val="single" w:color="auto" w:sz="4" w:space="0"/>
            </w:tcBorders>
            <w:vAlign w:val="center"/>
          </w:tcPr>
          <w:p w14:paraId="0C5A83E7">
            <w:pPr>
              <w:spacing w:line="300" w:lineRule="exact"/>
              <w:jc w:val="center"/>
              <w:rPr>
                <w:kern w:val="0"/>
                <w:szCs w:val="21"/>
              </w:rPr>
            </w:pPr>
          </w:p>
        </w:tc>
        <w:tc>
          <w:tcPr>
            <w:tcW w:w="448" w:type="pct"/>
            <w:tcBorders>
              <w:left w:val="single" w:color="auto" w:sz="4" w:space="0"/>
            </w:tcBorders>
            <w:vAlign w:val="center"/>
          </w:tcPr>
          <w:p w14:paraId="69117635">
            <w:pPr>
              <w:spacing w:line="300" w:lineRule="exact"/>
              <w:jc w:val="center"/>
              <w:rPr>
                <w:kern w:val="0"/>
                <w:szCs w:val="21"/>
              </w:rPr>
            </w:pPr>
            <w:r>
              <w:rPr>
                <w:kern w:val="0"/>
                <w:szCs w:val="21"/>
              </w:rPr>
              <w:t>杂件</w:t>
            </w:r>
          </w:p>
        </w:tc>
        <w:tc>
          <w:tcPr>
            <w:tcW w:w="284" w:type="pct"/>
            <w:tcBorders>
              <w:right w:val="single" w:color="auto" w:sz="4" w:space="0"/>
            </w:tcBorders>
            <w:vAlign w:val="center"/>
          </w:tcPr>
          <w:p w14:paraId="0FFE6A11">
            <w:pPr>
              <w:spacing w:line="300" w:lineRule="exact"/>
              <w:jc w:val="center"/>
              <w:rPr>
                <w:szCs w:val="21"/>
              </w:rPr>
            </w:pPr>
            <w:r>
              <w:rPr>
                <w:szCs w:val="21"/>
              </w:rPr>
              <w:t>0</w:t>
            </w:r>
          </w:p>
        </w:tc>
        <w:tc>
          <w:tcPr>
            <w:tcW w:w="302" w:type="pct"/>
            <w:tcBorders>
              <w:left w:val="single" w:color="auto" w:sz="4" w:space="0"/>
            </w:tcBorders>
            <w:vAlign w:val="center"/>
          </w:tcPr>
          <w:p w14:paraId="524F7C0B">
            <w:pPr>
              <w:pStyle w:val="58"/>
              <w:widowControl w:val="0"/>
              <w:rPr>
                <w:rFonts w:eastAsia="宋体"/>
                <w:b w:val="0"/>
                <w:bCs/>
                <w:szCs w:val="21"/>
              </w:rPr>
            </w:pPr>
            <w:r>
              <w:rPr>
                <w:rFonts w:eastAsia="宋体"/>
                <w:b w:val="0"/>
                <w:bCs/>
                <w:szCs w:val="21"/>
              </w:rPr>
              <w:t>0</w:t>
            </w:r>
          </w:p>
        </w:tc>
        <w:tc>
          <w:tcPr>
            <w:tcW w:w="402" w:type="pct"/>
            <w:vAlign w:val="center"/>
          </w:tcPr>
          <w:p w14:paraId="51A8BC6C">
            <w:pPr>
              <w:jc w:val="center"/>
            </w:pPr>
            <w:r>
              <w:t>0.12亿件/年</w:t>
            </w:r>
          </w:p>
        </w:tc>
        <w:tc>
          <w:tcPr>
            <w:tcW w:w="392" w:type="pct"/>
            <w:vAlign w:val="center"/>
          </w:tcPr>
          <w:p w14:paraId="056CB856">
            <w:pPr>
              <w:jc w:val="center"/>
            </w:pPr>
            <w:r>
              <w:t>+0.12亿件/年</w:t>
            </w:r>
          </w:p>
        </w:tc>
        <w:tc>
          <w:tcPr>
            <w:tcW w:w="997" w:type="pct"/>
            <w:vMerge w:val="continue"/>
            <w:vAlign w:val="center"/>
          </w:tcPr>
          <w:p w14:paraId="59BD9683">
            <w:pPr>
              <w:jc w:val="center"/>
              <w:rPr>
                <w:szCs w:val="21"/>
              </w:rPr>
            </w:pPr>
          </w:p>
        </w:tc>
        <w:tc>
          <w:tcPr>
            <w:tcW w:w="492" w:type="pct"/>
            <w:vAlign w:val="center"/>
          </w:tcPr>
          <w:p w14:paraId="4195D9A2">
            <w:pPr>
              <w:pStyle w:val="58"/>
              <w:widowControl w:val="0"/>
              <w:rPr>
                <w:rFonts w:eastAsia="宋体"/>
                <w:b w:val="0"/>
                <w:bCs/>
                <w:szCs w:val="21"/>
              </w:rPr>
            </w:pPr>
            <w:r>
              <w:rPr>
                <w:rFonts w:eastAsia="宋体"/>
                <w:b w:val="0"/>
                <w:bCs/>
                <w:szCs w:val="21"/>
              </w:rPr>
              <w:t>7200</w:t>
            </w:r>
          </w:p>
        </w:tc>
        <w:tc>
          <w:tcPr>
            <w:tcW w:w="491" w:type="pct"/>
          </w:tcPr>
          <w:p w14:paraId="3273B0DE">
            <w:pPr>
              <w:pStyle w:val="58"/>
              <w:widowControl w:val="0"/>
              <w:rPr>
                <w:rFonts w:eastAsia="宋体"/>
                <w:b w:val="0"/>
                <w:bCs/>
                <w:szCs w:val="21"/>
              </w:rPr>
            </w:pPr>
          </w:p>
        </w:tc>
      </w:tr>
      <w:tr w14:paraId="7251CC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324" w:type="pct"/>
            <w:vAlign w:val="center"/>
          </w:tcPr>
          <w:p w14:paraId="48096CF8">
            <w:pPr>
              <w:pStyle w:val="58"/>
              <w:widowControl w:val="0"/>
              <w:rPr>
                <w:rFonts w:eastAsia="宋体"/>
                <w:b w:val="0"/>
                <w:bCs/>
                <w:szCs w:val="21"/>
              </w:rPr>
            </w:pPr>
            <w:r>
              <w:rPr>
                <w:rFonts w:eastAsia="宋体"/>
                <w:b w:val="0"/>
                <w:bCs/>
                <w:szCs w:val="21"/>
              </w:rPr>
              <w:t>12</w:t>
            </w:r>
          </w:p>
        </w:tc>
        <w:tc>
          <w:tcPr>
            <w:tcW w:w="473" w:type="pct"/>
            <w:vAlign w:val="center"/>
          </w:tcPr>
          <w:p w14:paraId="3F6D77C3">
            <w:pPr>
              <w:pStyle w:val="58"/>
              <w:widowControl w:val="0"/>
              <w:rPr>
                <w:rFonts w:eastAsia="宋体"/>
                <w:b w:val="0"/>
                <w:bCs/>
                <w:szCs w:val="21"/>
              </w:rPr>
            </w:pPr>
            <w:r>
              <w:rPr>
                <w:rFonts w:eastAsia="宋体"/>
                <w:b w:val="0"/>
                <w:bCs/>
                <w:szCs w:val="21"/>
              </w:rPr>
              <w:t>橡胶/金属复合生产线</w:t>
            </w:r>
          </w:p>
        </w:tc>
        <w:tc>
          <w:tcPr>
            <w:tcW w:w="390" w:type="pct"/>
            <w:vMerge w:val="continue"/>
            <w:tcBorders>
              <w:right w:val="single" w:color="auto" w:sz="4" w:space="0"/>
            </w:tcBorders>
            <w:vAlign w:val="center"/>
          </w:tcPr>
          <w:p w14:paraId="3F62F6F5">
            <w:pPr>
              <w:spacing w:line="300" w:lineRule="exact"/>
              <w:jc w:val="center"/>
              <w:rPr>
                <w:kern w:val="0"/>
                <w:szCs w:val="21"/>
              </w:rPr>
            </w:pPr>
          </w:p>
        </w:tc>
        <w:tc>
          <w:tcPr>
            <w:tcW w:w="448" w:type="pct"/>
            <w:tcBorders>
              <w:left w:val="single" w:color="auto" w:sz="4" w:space="0"/>
            </w:tcBorders>
            <w:vAlign w:val="center"/>
          </w:tcPr>
          <w:p w14:paraId="4279EE2E">
            <w:pPr>
              <w:spacing w:line="300" w:lineRule="exact"/>
              <w:jc w:val="center"/>
              <w:rPr>
                <w:kern w:val="0"/>
                <w:szCs w:val="21"/>
              </w:rPr>
            </w:pPr>
            <w:r>
              <w:rPr>
                <w:kern w:val="0"/>
                <w:szCs w:val="21"/>
              </w:rPr>
              <w:t>轴封、油封</w:t>
            </w:r>
          </w:p>
        </w:tc>
        <w:tc>
          <w:tcPr>
            <w:tcW w:w="284" w:type="pct"/>
            <w:tcBorders>
              <w:right w:val="single" w:color="auto" w:sz="4" w:space="0"/>
            </w:tcBorders>
            <w:vAlign w:val="center"/>
          </w:tcPr>
          <w:p w14:paraId="22767E52">
            <w:pPr>
              <w:spacing w:line="300" w:lineRule="exact"/>
              <w:jc w:val="center"/>
              <w:rPr>
                <w:szCs w:val="21"/>
              </w:rPr>
            </w:pPr>
            <w:r>
              <w:rPr>
                <w:szCs w:val="21"/>
              </w:rPr>
              <w:t>0</w:t>
            </w:r>
          </w:p>
        </w:tc>
        <w:tc>
          <w:tcPr>
            <w:tcW w:w="302" w:type="pct"/>
            <w:tcBorders>
              <w:left w:val="single" w:color="auto" w:sz="4" w:space="0"/>
            </w:tcBorders>
            <w:vAlign w:val="center"/>
          </w:tcPr>
          <w:p w14:paraId="0950D66B">
            <w:pPr>
              <w:pStyle w:val="58"/>
              <w:widowControl w:val="0"/>
              <w:rPr>
                <w:rFonts w:eastAsia="宋体"/>
                <w:b w:val="0"/>
                <w:bCs/>
                <w:szCs w:val="21"/>
              </w:rPr>
            </w:pPr>
            <w:r>
              <w:rPr>
                <w:rFonts w:eastAsia="宋体"/>
                <w:b w:val="0"/>
                <w:bCs/>
                <w:szCs w:val="21"/>
              </w:rPr>
              <w:t>0</w:t>
            </w:r>
          </w:p>
        </w:tc>
        <w:tc>
          <w:tcPr>
            <w:tcW w:w="402" w:type="pct"/>
            <w:vAlign w:val="center"/>
          </w:tcPr>
          <w:p w14:paraId="60DD9B98">
            <w:pPr>
              <w:jc w:val="center"/>
            </w:pPr>
            <w:r>
              <w:t>0.072亿件/年</w:t>
            </w:r>
          </w:p>
        </w:tc>
        <w:tc>
          <w:tcPr>
            <w:tcW w:w="392" w:type="pct"/>
            <w:vAlign w:val="center"/>
          </w:tcPr>
          <w:p w14:paraId="491CBEC2">
            <w:pPr>
              <w:jc w:val="center"/>
            </w:pPr>
            <w:r>
              <w:t>+0.072亿件/年</w:t>
            </w:r>
          </w:p>
        </w:tc>
        <w:tc>
          <w:tcPr>
            <w:tcW w:w="997" w:type="pct"/>
            <w:vMerge w:val="continue"/>
            <w:vAlign w:val="center"/>
          </w:tcPr>
          <w:p w14:paraId="5C6FF88F">
            <w:pPr>
              <w:jc w:val="center"/>
              <w:rPr>
                <w:szCs w:val="21"/>
              </w:rPr>
            </w:pPr>
          </w:p>
        </w:tc>
        <w:tc>
          <w:tcPr>
            <w:tcW w:w="492" w:type="pct"/>
            <w:vAlign w:val="center"/>
          </w:tcPr>
          <w:p w14:paraId="298C844C">
            <w:pPr>
              <w:pStyle w:val="58"/>
              <w:widowControl w:val="0"/>
              <w:rPr>
                <w:rFonts w:eastAsia="宋体"/>
                <w:b w:val="0"/>
                <w:bCs/>
                <w:szCs w:val="21"/>
              </w:rPr>
            </w:pPr>
            <w:r>
              <w:rPr>
                <w:rFonts w:eastAsia="宋体"/>
                <w:b w:val="0"/>
                <w:bCs/>
                <w:szCs w:val="21"/>
              </w:rPr>
              <w:t>7200</w:t>
            </w:r>
          </w:p>
        </w:tc>
        <w:tc>
          <w:tcPr>
            <w:tcW w:w="491" w:type="pct"/>
          </w:tcPr>
          <w:p w14:paraId="0874C373">
            <w:pPr>
              <w:pStyle w:val="58"/>
              <w:widowControl w:val="0"/>
              <w:rPr>
                <w:rFonts w:eastAsia="宋体"/>
                <w:b w:val="0"/>
                <w:bCs/>
                <w:szCs w:val="21"/>
              </w:rPr>
            </w:pPr>
          </w:p>
        </w:tc>
      </w:tr>
    </w:tbl>
    <w:p w14:paraId="459B7E26">
      <w:pPr>
        <w:adjustRightInd w:val="0"/>
        <w:snapToGrid w:val="0"/>
        <w:spacing w:beforeLines="50" w:line="360" w:lineRule="auto"/>
        <w:ind w:firstLine="422" w:firstLineChars="200"/>
        <w:rPr>
          <w:b/>
          <w:bCs/>
          <w:szCs w:val="21"/>
        </w:rPr>
      </w:pPr>
      <w:r>
        <w:rPr>
          <w:b/>
          <w:bCs/>
          <w:szCs w:val="21"/>
        </w:rPr>
        <w:t>2、劳动定员及工作制度</w:t>
      </w:r>
    </w:p>
    <w:p w14:paraId="0D1C1725">
      <w:pPr>
        <w:adjustRightInd w:val="0"/>
        <w:snapToGrid w:val="0"/>
        <w:spacing w:line="360" w:lineRule="auto"/>
        <w:ind w:firstLine="420" w:firstLineChars="200"/>
        <w:rPr>
          <w:szCs w:val="21"/>
        </w:rPr>
      </w:pPr>
      <w:r>
        <w:rPr>
          <w:szCs w:val="21"/>
        </w:rPr>
        <w:t>本次建设项目拟新增员工100人，厂内现有员工210人，年工作300天，年运行7200小时，其中硫化实行两班制，每班工作12小时，其余三班制，每班8小时。</w:t>
      </w:r>
    </w:p>
    <w:p w14:paraId="1A2896A9">
      <w:pPr>
        <w:adjustRightInd w:val="0"/>
        <w:snapToGrid w:val="0"/>
        <w:spacing w:line="360" w:lineRule="auto"/>
        <w:ind w:firstLine="422" w:firstLineChars="200"/>
        <w:rPr>
          <w:b/>
          <w:bCs/>
          <w:szCs w:val="21"/>
        </w:rPr>
      </w:pPr>
      <w:r>
        <w:rPr>
          <w:b/>
          <w:bCs/>
          <w:szCs w:val="21"/>
        </w:rPr>
        <w:t>3、项目主要建设内容</w:t>
      </w:r>
    </w:p>
    <w:p w14:paraId="2F564FF1">
      <w:pPr>
        <w:adjustRightInd w:val="0"/>
        <w:snapToGrid w:val="0"/>
        <w:spacing w:line="360" w:lineRule="auto"/>
        <w:ind w:firstLine="420" w:firstLineChars="200"/>
        <w:rPr>
          <w:b/>
          <w:bCs/>
          <w:szCs w:val="21"/>
        </w:rPr>
      </w:pPr>
      <w:r>
        <w:rPr>
          <w:szCs w:val="21"/>
        </w:rPr>
        <w:t>本项目主体工程、公用及辅助工程一览表见表2-2。</w:t>
      </w:r>
    </w:p>
    <w:p w14:paraId="7F9B961B">
      <w:pPr>
        <w:adjustRightInd w:val="0"/>
        <w:snapToGrid w:val="0"/>
        <w:jc w:val="center"/>
        <w:rPr>
          <w:b/>
          <w:bCs/>
          <w:szCs w:val="21"/>
        </w:rPr>
      </w:pPr>
      <w:r>
        <w:rPr>
          <w:b/>
          <w:bCs/>
          <w:szCs w:val="21"/>
        </w:rPr>
        <w:t>表2-2  项目建设内容一览表</w:t>
      </w:r>
    </w:p>
    <w:tbl>
      <w:tblPr>
        <w:tblStyle w:val="25"/>
        <w:tblW w:w="503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28" w:type="dxa"/>
          <w:bottom w:w="0" w:type="dxa"/>
          <w:right w:w="28" w:type="dxa"/>
        </w:tblCellMar>
      </w:tblPr>
      <w:tblGrid>
        <w:gridCol w:w="683"/>
        <w:gridCol w:w="465"/>
        <w:gridCol w:w="149"/>
        <w:gridCol w:w="1179"/>
        <w:gridCol w:w="2683"/>
        <w:gridCol w:w="3232"/>
        <w:gridCol w:w="3375"/>
        <w:gridCol w:w="1722"/>
        <w:gridCol w:w="90"/>
      </w:tblGrid>
      <w:tr w14:paraId="04B9D9D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restart"/>
            <w:vAlign w:val="center"/>
          </w:tcPr>
          <w:p w14:paraId="1BB5F3FB">
            <w:pPr>
              <w:pStyle w:val="58"/>
              <w:widowControl w:val="0"/>
              <w:rPr>
                <w:rFonts w:eastAsia="宋体"/>
                <w:szCs w:val="21"/>
              </w:rPr>
            </w:pPr>
            <w:r>
              <w:rPr>
                <w:rFonts w:eastAsia="宋体"/>
                <w:szCs w:val="21"/>
              </w:rPr>
              <w:t>类别</w:t>
            </w:r>
          </w:p>
        </w:tc>
        <w:tc>
          <w:tcPr>
            <w:tcW w:w="660" w:type="pct"/>
            <w:gridSpan w:val="3"/>
            <w:vMerge w:val="restart"/>
            <w:vAlign w:val="center"/>
          </w:tcPr>
          <w:p w14:paraId="56677BAA">
            <w:pPr>
              <w:pStyle w:val="58"/>
              <w:widowControl w:val="0"/>
              <w:rPr>
                <w:rFonts w:eastAsia="宋体"/>
                <w:szCs w:val="21"/>
              </w:rPr>
            </w:pPr>
            <w:r>
              <w:rPr>
                <w:rFonts w:eastAsia="宋体"/>
                <w:szCs w:val="21"/>
              </w:rPr>
              <w:t>单项工程名称</w:t>
            </w:r>
          </w:p>
        </w:tc>
        <w:tc>
          <w:tcPr>
            <w:tcW w:w="3421" w:type="pct"/>
            <w:gridSpan w:val="3"/>
            <w:vAlign w:val="center"/>
          </w:tcPr>
          <w:p w14:paraId="00B5A3C5">
            <w:pPr>
              <w:pStyle w:val="58"/>
              <w:widowControl w:val="0"/>
              <w:rPr>
                <w:rFonts w:eastAsia="宋体"/>
                <w:szCs w:val="21"/>
              </w:rPr>
            </w:pPr>
            <w:r>
              <w:rPr>
                <w:rFonts w:eastAsia="宋体"/>
                <w:szCs w:val="21"/>
              </w:rPr>
              <w:t>工程内容及规模</w:t>
            </w:r>
          </w:p>
        </w:tc>
        <w:tc>
          <w:tcPr>
            <w:tcW w:w="633" w:type="pct"/>
            <w:vMerge w:val="restart"/>
            <w:vAlign w:val="center"/>
          </w:tcPr>
          <w:p w14:paraId="3DB40822">
            <w:pPr>
              <w:pStyle w:val="58"/>
              <w:widowControl w:val="0"/>
              <w:rPr>
                <w:rFonts w:eastAsia="宋体"/>
                <w:szCs w:val="21"/>
              </w:rPr>
            </w:pPr>
            <w:r>
              <w:rPr>
                <w:rFonts w:eastAsia="宋体"/>
                <w:szCs w:val="21"/>
              </w:rPr>
              <w:t>备注</w:t>
            </w:r>
          </w:p>
        </w:tc>
      </w:tr>
      <w:tr w14:paraId="1B2583FC">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2857123E">
            <w:pPr>
              <w:pStyle w:val="58"/>
              <w:widowControl w:val="0"/>
              <w:rPr>
                <w:rFonts w:eastAsia="宋体"/>
                <w:szCs w:val="21"/>
              </w:rPr>
            </w:pPr>
          </w:p>
        </w:tc>
        <w:tc>
          <w:tcPr>
            <w:tcW w:w="660" w:type="pct"/>
            <w:gridSpan w:val="3"/>
            <w:vMerge w:val="continue"/>
            <w:vAlign w:val="center"/>
          </w:tcPr>
          <w:p w14:paraId="3F1E9B7D">
            <w:pPr>
              <w:pStyle w:val="58"/>
              <w:widowControl w:val="0"/>
              <w:rPr>
                <w:rFonts w:eastAsia="宋体"/>
                <w:szCs w:val="21"/>
              </w:rPr>
            </w:pPr>
          </w:p>
        </w:tc>
        <w:tc>
          <w:tcPr>
            <w:tcW w:w="988" w:type="pct"/>
            <w:vAlign w:val="center"/>
          </w:tcPr>
          <w:p w14:paraId="0CBF9DB3">
            <w:pPr>
              <w:pStyle w:val="58"/>
              <w:widowControl w:val="0"/>
              <w:rPr>
                <w:rFonts w:eastAsia="宋体"/>
                <w:szCs w:val="21"/>
              </w:rPr>
            </w:pPr>
            <w:r>
              <w:rPr>
                <w:rFonts w:eastAsia="宋体"/>
                <w:szCs w:val="21"/>
              </w:rPr>
              <w:t>扩建前</w:t>
            </w:r>
          </w:p>
        </w:tc>
        <w:tc>
          <w:tcPr>
            <w:tcW w:w="1190" w:type="pct"/>
            <w:vAlign w:val="center"/>
          </w:tcPr>
          <w:p w14:paraId="13A474ED">
            <w:pPr>
              <w:pStyle w:val="58"/>
              <w:widowControl w:val="0"/>
              <w:rPr>
                <w:rFonts w:eastAsia="宋体"/>
                <w:szCs w:val="21"/>
              </w:rPr>
            </w:pPr>
            <w:r>
              <w:rPr>
                <w:rFonts w:eastAsia="宋体"/>
                <w:szCs w:val="21"/>
              </w:rPr>
              <w:t>本项目</w:t>
            </w:r>
          </w:p>
        </w:tc>
        <w:tc>
          <w:tcPr>
            <w:tcW w:w="1242" w:type="pct"/>
            <w:vAlign w:val="center"/>
          </w:tcPr>
          <w:p w14:paraId="1ACE51D1">
            <w:pPr>
              <w:pStyle w:val="58"/>
              <w:widowControl w:val="0"/>
              <w:rPr>
                <w:rFonts w:eastAsia="宋体"/>
                <w:szCs w:val="21"/>
              </w:rPr>
            </w:pPr>
            <w:r>
              <w:rPr>
                <w:rFonts w:eastAsia="宋体"/>
                <w:szCs w:val="21"/>
              </w:rPr>
              <w:t>扩建后全厂</w:t>
            </w:r>
          </w:p>
        </w:tc>
        <w:tc>
          <w:tcPr>
            <w:tcW w:w="633" w:type="pct"/>
            <w:vMerge w:val="continue"/>
            <w:vAlign w:val="center"/>
          </w:tcPr>
          <w:p w14:paraId="60DAA46A">
            <w:pPr>
              <w:pStyle w:val="58"/>
              <w:widowControl w:val="0"/>
              <w:rPr>
                <w:rFonts w:eastAsia="宋体"/>
                <w:szCs w:val="21"/>
              </w:rPr>
            </w:pPr>
          </w:p>
        </w:tc>
      </w:tr>
      <w:tr w14:paraId="159A797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restart"/>
            <w:vAlign w:val="center"/>
          </w:tcPr>
          <w:p w14:paraId="666486D6">
            <w:pPr>
              <w:pStyle w:val="47"/>
              <w:adjustRightInd w:val="0"/>
              <w:snapToGrid w:val="0"/>
              <w:rPr>
                <w:rFonts w:eastAsia="宋体"/>
              </w:rPr>
            </w:pPr>
            <w:r>
              <w:rPr>
                <w:rFonts w:eastAsia="宋体"/>
              </w:rPr>
              <w:t>主体工程</w:t>
            </w:r>
          </w:p>
        </w:tc>
        <w:tc>
          <w:tcPr>
            <w:tcW w:w="660" w:type="pct"/>
            <w:gridSpan w:val="3"/>
            <w:vAlign w:val="center"/>
          </w:tcPr>
          <w:p w14:paraId="6F276615">
            <w:pPr>
              <w:pStyle w:val="47"/>
              <w:adjustRightInd w:val="0"/>
              <w:snapToGrid w:val="0"/>
              <w:rPr>
                <w:rFonts w:eastAsia="宋体"/>
              </w:rPr>
            </w:pPr>
            <w:r>
              <w:rPr>
                <w:rFonts w:eastAsia="宋体"/>
              </w:rPr>
              <w:t>1#车间</w:t>
            </w:r>
          </w:p>
        </w:tc>
        <w:tc>
          <w:tcPr>
            <w:tcW w:w="988" w:type="pct"/>
            <w:vAlign w:val="center"/>
          </w:tcPr>
          <w:p w14:paraId="7F17EAD2">
            <w:pPr>
              <w:pStyle w:val="47"/>
              <w:adjustRightInd w:val="0"/>
              <w:snapToGrid w:val="0"/>
              <w:rPr>
                <w:rFonts w:eastAsia="宋体"/>
              </w:rPr>
            </w:pPr>
            <w:r>
              <w:rPr>
                <w:rFonts w:eastAsia="宋体"/>
              </w:rPr>
              <w:t>建筑面积7905m</w:t>
            </w:r>
            <w:r>
              <w:rPr>
                <w:rFonts w:eastAsia="宋体"/>
                <w:vertAlign w:val="superscript"/>
              </w:rPr>
              <w:t>2</w:t>
            </w:r>
            <w:r>
              <w:rPr>
                <w:rFonts w:eastAsia="宋体"/>
              </w:rPr>
              <w:t>；</w:t>
            </w:r>
            <w:bookmarkStart w:id="21" w:name="OLE_LINK38"/>
            <w:bookmarkStart w:id="22" w:name="OLE_LINK39"/>
            <w:r>
              <w:rPr>
                <w:rFonts w:eastAsia="宋体"/>
              </w:rPr>
              <w:t>建设筛选区、冷冻去边区、一次硫化区、二次硫化区、材料准备区等，目前使用面积为6200m</w:t>
            </w:r>
            <w:r>
              <w:rPr>
                <w:rFonts w:eastAsia="宋体"/>
                <w:vertAlign w:val="superscript"/>
              </w:rPr>
              <w:t>2</w:t>
            </w:r>
            <w:r>
              <w:rPr>
                <w:rFonts w:eastAsia="宋体"/>
              </w:rPr>
              <w:t>，尚有空余面积</w:t>
            </w:r>
            <w:bookmarkEnd w:id="21"/>
            <w:bookmarkEnd w:id="22"/>
          </w:p>
        </w:tc>
        <w:tc>
          <w:tcPr>
            <w:tcW w:w="1190" w:type="pct"/>
            <w:vAlign w:val="center"/>
          </w:tcPr>
          <w:p w14:paraId="0121B57E">
            <w:pPr>
              <w:pStyle w:val="47"/>
              <w:adjustRightInd w:val="0"/>
              <w:snapToGrid w:val="0"/>
              <w:rPr>
                <w:rFonts w:eastAsia="宋体"/>
              </w:rPr>
            </w:pPr>
            <w:r>
              <w:rPr>
                <w:rFonts w:eastAsia="宋体"/>
              </w:rPr>
              <w:t>依托现有</w:t>
            </w:r>
            <w:bookmarkStart w:id="23" w:name="OLE_LINK25"/>
            <w:bookmarkStart w:id="24" w:name="OLE_LINK26"/>
            <w:r>
              <w:rPr>
                <w:rFonts w:eastAsia="宋体"/>
              </w:rPr>
              <w:t>1#车间；本次新增布设预成型机、精密切条机、冷冻去边机、卧式注射机、烘箱等生产设备及检验设备</w:t>
            </w:r>
            <w:bookmarkEnd w:id="23"/>
            <w:bookmarkEnd w:id="24"/>
            <w:r>
              <w:rPr>
                <w:rFonts w:eastAsia="宋体"/>
              </w:rPr>
              <w:t>，使用面积1000m</w:t>
            </w:r>
            <w:r>
              <w:rPr>
                <w:rFonts w:eastAsia="宋体"/>
                <w:vertAlign w:val="superscript"/>
              </w:rPr>
              <w:t>2</w:t>
            </w:r>
            <w:r>
              <w:rPr>
                <w:rFonts w:eastAsia="宋体"/>
              </w:rPr>
              <w:t>，其余依托现有设备，从事新能源汽车配套橡胶功能件生产</w:t>
            </w:r>
          </w:p>
        </w:tc>
        <w:tc>
          <w:tcPr>
            <w:tcW w:w="1242" w:type="pct"/>
            <w:vAlign w:val="center"/>
          </w:tcPr>
          <w:p w14:paraId="61765F95">
            <w:pPr>
              <w:pStyle w:val="47"/>
              <w:adjustRightInd w:val="0"/>
              <w:snapToGrid w:val="0"/>
              <w:rPr>
                <w:rFonts w:eastAsia="宋体"/>
              </w:rPr>
            </w:pPr>
            <w:r>
              <w:rPr>
                <w:rFonts w:eastAsia="宋体"/>
              </w:rPr>
              <w:t>利用现有1#车间，建筑面积7905m</w:t>
            </w:r>
            <w:r>
              <w:rPr>
                <w:rFonts w:eastAsia="宋体"/>
                <w:vertAlign w:val="superscript"/>
              </w:rPr>
              <w:t>2</w:t>
            </w:r>
            <w:r>
              <w:rPr>
                <w:rFonts w:eastAsia="宋体"/>
              </w:rPr>
              <w:t>；</w:t>
            </w:r>
          </w:p>
          <w:p w14:paraId="4F355178">
            <w:pPr>
              <w:pStyle w:val="47"/>
              <w:adjustRightInd w:val="0"/>
              <w:snapToGrid w:val="0"/>
              <w:rPr>
                <w:rFonts w:eastAsia="宋体"/>
              </w:rPr>
            </w:pPr>
            <w:r>
              <w:rPr>
                <w:rFonts w:eastAsia="宋体"/>
              </w:rPr>
              <w:t>本次新增布设部分生产工序，预成型机、精密切条机、冷冻去边机、卧式注射机、烘箱等生产设备及检验设备，全厂形成年产2.7亿件橡胶制品、3.552亿件新能源汽车配套橡胶功能件项目</w:t>
            </w:r>
          </w:p>
        </w:tc>
        <w:tc>
          <w:tcPr>
            <w:tcW w:w="633" w:type="pct"/>
            <w:vAlign w:val="center"/>
          </w:tcPr>
          <w:p w14:paraId="463EC1AD">
            <w:pPr>
              <w:pStyle w:val="47"/>
              <w:adjustRightInd w:val="0"/>
              <w:snapToGrid w:val="0"/>
              <w:rPr>
                <w:rFonts w:eastAsia="宋体"/>
              </w:rPr>
            </w:pPr>
            <w:r>
              <w:rPr>
                <w:rFonts w:eastAsia="宋体"/>
              </w:rPr>
              <w:t>利用现有已建车间</w:t>
            </w:r>
          </w:p>
        </w:tc>
      </w:tr>
      <w:tr w14:paraId="3CB9DB0C">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328942BD">
            <w:pPr>
              <w:pStyle w:val="47"/>
              <w:adjustRightInd w:val="0"/>
              <w:snapToGrid w:val="0"/>
              <w:rPr>
                <w:rFonts w:eastAsia="宋体"/>
              </w:rPr>
            </w:pPr>
          </w:p>
        </w:tc>
        <w:tc>
          <w:tcPr>
            <w:tcW w:w="660" w:type="pct"/>
            <w:gridSpan w:val="3"/>
            <w:vAlign w:val="center"/>
          </w:tcPr>
          <w:p w14:paraId="0DC915DE">
            <w:pPr>
              <w:pStyle w:val="47"/>
              <w:adjustRightInd w:val="0"/>
              <w:snapToGrid w:val="0"/>
              <w:rPr>
                <w:rFonts w:eastAsia="宋体"/>
              </w:rPr>
            </w:pPr>
            <w:r>
              <w:rPr>
                <w:rFonts w:eastAsia="宋体"/>
              </w:rPr>
              <w:t>2#车间</w:t>
            </w:r>
          </w:p>
        </w:tc>
        <w:tc>
          <w:tcPr>
            <w:tcW w:w="988" w:type="pct"/>
            <w:vAlign w:val="center"/>
          </w:tcPr>
          <w:p w14:paraId="569DE1B5">
            <w:pPr>
              <w:pStyle w:val="47"/>
              <w:adjustRightInd w:val="0"/>
              <w:snapToGrid w:val="0"/>
              <w:rPr>
                <w:rFonts w:eastAsia="宋体"/>
              </w:rPr>
            </w:pPr>
            <w:r>
              <w:rPr>
                <w:rFonts w:eastAsia="宋体"/>
              </w:rPr>
              <w:t>建筑面积6594m</w:t>
            </w:r>
            <w:r>
              <w:rPr>
                <w:rFonts w:eastAsia="宋体"/>
                <w:vertAlign w:val="superscript"/>
              </w:rPr>
              <w:t>2</w:t>
            </w:r>
            <w:r>
              <w:rPr>
                <w:rFonts w:eastAsia="宋体"/>
              </w:rPr>
              <w:t>；建设</w:t>
            </w:r>
            <w:bookmarkStart w:id="25" w:name="OLE_LINK40"/>
            <w:r>
              <w:rPr>
                <w:rFonts w:eastAsia="宋体"/>
              </w:rPr>
              <w:t>成品仓库、抛丸车间、金属表面处理车间、冲压区</w:t>
            </w:r>
            <w:bookmarkEnd w:id="25"/>
            <w:r>
              <w:rPr>
                <w:rFonts w:eastAsia="宋体"/>
              </w:rPr>
              <w:t>等，目前使用面积为5500m</w:t>
            </w:r>
            <w:r>
              <w:rPr>
                <w:rFonts w:eastAsia="宋体"/>
                <w:vertAlign w:val="superscript"/>
              </w:rPr>
              <w:t>2</w:t>
            </w:r>
            <w:r>
              <w:rPr>
                <w:rFonts w:eastAsia="宋体"/>
              </w:rPr>
              <w:t>，尚有空余面积</w:t>
            </w:r>
          </w:p>
        </w:tc>
        <w:tc>
          <w:tcPr>
            <w:tcW w:w="1190" w:type="pct"/>
            <w:vAlign w:val="center"/>
          </w:tcPr>
          <w:p w14:paraId="0BF0A379">
            <w:pPr>
              <w:pStyle w:val="47"/>
              <w:adjustRightInd w:val="0"/>
              <w:snapToGrid w:val="0"/>
              <w:rPr>
                <w:rFonts w:eastAsia="宋体"/>
              </w:rPr>
            </w:pPr>
            <w:r>
              <w:rPr>
                <w:rFonts w:eastAsia="宋体"/>
              </w:rPr>
              <w:t>依托现有2#车间；本次依托现有设备及仓库等，从事新能源汽车配套橡胶功能件生产</w:t>
            </w:r>
          </w:p>
        </w:tc>
        <w:tc>
          <w:tcPr>
            <w:tcW w:w="1242" w:type="pct"/>
            <w:vAlign w:val="center"/>
          </w:tcPr>
          <w:p w14:paraId="7E397539">
            <w:pPr>
              <w:pStyle w:val="47"/>
              <w:adjustRightInd w:val="0"/>
              <w:snapToGrid w:val="0"/>
              <w:rPr>
                <w:rFonts w:eastAsia="宋体"/>
              </w:rPr>
            </w:pPr>
            <w:r>
              <w:rPr>
                <w:rFonts w:eastAsia="宋体"/>
              </w:rPr>
              <w:t>利用现有2#车间，建筑面积6594m</w:t>
            </w:r>
            <w:r>
              <w:rPr>
                <w:rFonts w:eastAsia="宋体"/>
                <w:vertAlign w:val="superscript"/>
              </w:rPr>
              <w:t>2</w:t>
            </w:r>
            <w:r>
              <w:rPr>
                <w:rFonts w:eastAsia="宋体"/>
              </w:rPr>
              <w:t>；全厂形成年产2.7亿件橡胶制品、3.552亿件新能源汽车配套橡胶功能件项目</w:t>
            </w:r>
          </w:p>
        </w:tc>
        <w:tc>
          <w:tcPr>
            <w:tcW w:w="633" w:type="pct"/>
            <w:vAlign w:val="center"/>
          </w:tcPr>
          <w:p w14:paraId="3F7F5132">
            <w:pPr>
              <w:pStyle w:val="47"/>
              <w:adjustRightInd w:val="0"/>
              <w:snapToGrid w:val="0"/>
              <w:rPr>
                <w:rFonts w:eastAsia="宋体"/>
              </w:rPr>
            </w:pPr>
            <w:r>
              <w:rPr>
                <w:rFonts w:eastAsia="宋体"/>
              </w:rPr>
              <w:t>本次扩建优化车间布局，将2#车间原有喷涂浸胶工序生产设备移至4#车间</w:t>
            </w:r>
          </w:p>
        </w:tc>
      </w:tr>
      <w:tr w14:paraId="30E1BC7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7F1E214C">
            <w:pPr>
              <w:pStyle w:val="47"/>
              <w:adjustRightInd w:val="0"/>
              <w:snapToGrid w:val="0"/>
              <w:rPr>
                <w:rFonts w:eastAsia="宋体"/>
              </w:rPr>
            </w:pPr>
          </w:p>
        </w:tc>
        <w:tc>
          <w:tcPr>
            <w:tcW w:w="660" w:type="pct"/>
            <w:gridSpan w:val="3"/>
            <w:vAlign w:val="center"/>
          </w:tcPr>
          <w:p w14:paraId="67FE2072">
            <w:pPr>
              <w:pStyle w:val="47"/>
              <w:adjustRightInd w:val="0"/>
              <w:snapToGrid w:val="0"/>
              <w:rPr>
                <w:rFonts w:eastAsia="宋体"/>
              </w:rPr>
            </w:pPr>
            <w:r>
              <w:rPr>
                <w:rFonts w:eastAsia="宋体"/>
              </w:rPr>
              <w:t>3#车间</w:t>
            </w:r>
          </w:p>
        </w:tc>
        <w:tc>
          <w:tcPr>
            <w:tcW w:w="988" w:type="pct"/>
            <w:vAlign w:val="center"/>
          </w:tcPr>
          <w:p w14:paraId="042EEF45">
            <w:pPr>
              <w:adjustRightInd w:val="0"/>
              <w:snapToGrid w:val="0"/>
              <w:jc w:val="center"/>
            </w:pPr>
            <w:r>
              <w:t>建筑面积7905m</w:t>
            </w:r>
            <w:r>
              <w:rPr>
                <w:vertAlign w:val="superscript"/>
              </w:rPr>
              <w:t>2</w:t>
            </w:r>
            <w:r>
              <w:t>；建设原料仓库、危废仓库、混料区、炼胶区、橡胶预成型区等，目前使用面积为6500m</w:t>
            </w:r>
            <w:r>
              <w:rPr>
                <w:vertAlign w:val="superscript"/>
              </w:rPr>
              <w:t>2</w:t>
            </w:r>
            <w:r>
              <w:t>，尚有空余面积</w:t>
            </w:r>
          </w:p>
        </w:tc>
        <w:tc>
          <w:tcPr>
            <w:tcW w:w="1190" w:type="pct"/>
            <w:vAlign w:val="center"/>
          </w:tcPr>
          <w:p w14:paraId="5FD9BD0A">
            <w:pPr>
              <w:pStyle w:val="47"/>
              <w:adjustRightInd w:val="0"/>
              <w:snapToGrid w:val="0"/>
              <w:rPr>
                <w:rFonts w:eastAsia="宋体"/>
              </w:rPr>
            </w:pPr>
            <w:r>
              <w:rPr>
                <w:rFonts w:eastAsia="宋体"/>
              </w:rPr>
              <w:t>依托现有</w:t>
            </w:r>
            <w:bookmarkStart w:id="26" w:name="OLE_LINK28"/>
            <w:bookmarkStart w:id="27" w:name="OLE_LINK27"/>
            <w:r>
              <w:rPr>
                <w:rFonts w:eastAsia="宋体"/>
              </w:rPr>
              <w:t>3#车间；本次新增布设预成型机、高压滤胶机、密炼线、切胶机等生产设备</w:t>
            </w:r>
            <w:bookmarkEnd w:id="26"/>
            <w:bookmarkEnd w:id="27"/>
            <w:r>
              <w:rPr>
                <w:rFonts w:eastAsia="宋体"/>
              </w:rPr>
              <w:t>，使用面积200m</w:t>
            </w:r>
            <w:r>
              <w:rPr>
                <w:rFonts w:eastAsia="宋体"/>
                <w:vertAlign w:val="superscript"/>
              </w:rPr>
              <w:t>2</w:t>
            </w:r>
            <w:r>
              <w:rPr>
                <w:rFonts w:eastAsia="宋体"/>
              </w:rPr>
              <w:t>，其余依托现有设备，从事新能源汽车配套橡胶功能件生产</w:t>
            </w:r>
          </w:p>
        </w:tc>
        <w:tc>
          <w:tcPr>
            <w:tcW w:w="1242" w:type="pct"/>
            <w:vAlign w:val="center"/>
          </w:tcPr>
          <w:p w14:paraId="2B035A17">
            <w:pPr>
              <w:pStyle w:val="47"/>
              <w:adjustRightInd w:val="0"/>
              <w:snapToGrid w:val="0"/>
              <w:rPr>
                <w:rFonts w:eastAsia="宋体"/>
              </w:rPr>
            </w:pPr>
            <w:r>
              <w:rPr>
                <w:rFonts w:eastAsia="宋体"/>
              </w:rPr>
              <w:t>利用现有3#车间，建筑面积7905m</w:t>
            </w:r>
            <w:r>
              <w:rPr>
                <w:rFonts w:eastAsia="宋体"/>
                <w:vertAlign w:val="superscript"/>
              </w:rPr>
              <w:t>2</w:t>
            </w:r>
            <w:r>
              <w:rPr>
                <w:rFonts w:eastAsia="宋体"/>
              </w:rPr>
              <w:t>；</w:t>
            </w:r>
          </w:p>
          <w:p w14:paraId="58C4828C">
            <w:pPr>
              <w:pStyle w:val="47"/>
              <w:adjustRightInd w:val="0"/>
              <w:snapToGrid w:val="0"/>
              <w:rPr>
                <w:rFonts w:eastAsia="宋体"/>
              </w:rPr>
            </w:pPr>
            <w:r>
              <w:rPr>
                <w:rFonts w:eastAsia="宋体"/>
              </w:rPr>
              <w:t>本次新增布设预成型机、高压滤胶机、密炼线、切胶机等生产设备，全厂形成年产2.7亿件橡胶制品、3.552亿件新能源汽车配套橡胶功能件项目</w:t>
            </w:r>
          </w:p>
        </w:tc>
        <w:tc>
          <w:tcPr>
            <w:tcW w:w="633" w:type="pct"/>
            <w:vAlign w:val="center"/>
          </w:tcPr>
          <w:p w14:paraId="49C03BE3">
            <w:pPr>
              <w:pStyle w:val="47"/>
              <w:adjustRightInd w:val="0"/>
              <w:snapToGrid w:val="0"/>
              <w:rPr>
                <w:rFonts w:eastAsia="宋体"/>
              </w:rPr>
            </w:pPr>
            <w:r>
              <w:rPr>
                <w:rFonts w:eastAsia="宋体"/>
              </w:rPr>
              <w:t>利用现有已建车间</w:t>
            </w:r>
          </w:p>
        </w:tc>
      </w:tr>
      <w:tr w14:paraId="6452572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3E759C63">
            <w:pPr>
              <w:pStyle w:val="47"/>
              <w:adjustRightInd w:val="0"/>
              <w:snapToGrid w:val="0"/>
              <w:rPr>
                <w:rFonts w:eastAsia="宋体"/>
              </w:rPr>
            </w:pPr>
          </w:p>
        </w:tc>
        <w:tc>
          <w:tcPr>
            <w:tcW w:w="660" w:type="pct"/>
            <w:gridSpan w:val="3"/>
            <w:vAlign w:val="center"/>
          </w:tcPr>
          <w:p w14:paraId="6A93F259">
            <w:pPr>
              <w:pStyle w:val="47"/>
              <w:adjustRightInd w:val="0"/>
              <w:snapToGrid w:val="0"/>
              <w:rPr>
                <w:rFonts w:eastAsia="宋体"/>
              </w:rPr>
            </w:pPr>
            <w:r>
              <w:rPr>
                <w:rFonts w:eastAsia="宋体"/>
              </w:rPr>
              <w:t>4#车间</w:t>
            </w:r>
          </w:p>
        </w:tc>
        <w:tc>
          <w:tcPr>
            <w:tcW w:w="988" w:type="pct"/>
            <w:vAlign w:val="center"/>
          </w:tcPr>
          <w:p w14:paraId="5A43948F">
            <w:pPr>
              <w:adjustRightInd w:val="0"/>
              <w:snapToGrid w:val="0"/>
              <w:jc w:val="center"/>
            </w:pPr>
            <w:r>
              <w:t>建筑面积7905m</w:t>
            </w:r>
            <w:r>
              <w:rPr>
                <w:vertAlign w:val="superscript"/>
              </w:rPr>
              <w:t>2</w:t>
            </w:r>
            <w:r>
              <w:t>；</w:t>
            </w:r>
            <w:bookmarkStart w:id="28" w:name="OLE_LINK42"/>
            <w:bookmarkStart w:id="29" w:name="OLE_LINK41"/>
            <w:r>
              <w:t>建设一次硫化区、二次硫化区、修剪区、滚边区等</w:t>
            </w:r>
            <w:bookmarkEnd w:id="28"/>
            <w:bookmarkEnd w:id="29"/>
            <w:r>
              <w:t>，目前使用面积为6800m</w:t>
            </w:r>
            <w:r>
              <w:rPr>
                <w:vertAlign w:val="superscript"/>
              </w:rPr>
              <w:t>2</w:t>
            </w:r>
            <w:r>
              <w:t>，尚有空余面积</w:t>
            </w:r>
          </w:p>
        </w:tc>
        <w:tc>
          <w:tcPr>
            <w:tcW w:w="1190" w:type="pct"/>
            <w:vAlign w:val="center"/>
          </w:tcPr>
          <w:p w14:paraId="4ABD6CA1">
            <w:pPr>
              <w:pStyle w:val="47"/>
              <w:adjustRightInd w:val="0"/>
              <w:snapToGrid w:val="0"/>
              <w:rPr>
                <w:rFonts w:eastAsia="宋体"/>
              </w:rPr>
            </w:pPr>
            <w:r>
              <w:rPr>
                <w:rFonts w:eastAsia="宋体"/>
              </w:rPr>
              <w:t>依托现有4#车间；本次新增布设真空成型机、注射机、自动涂胶机、自动修剪机、自动组合滚边线、烘箱等生产设备，使用面积500m</w:t>
            </w:r>
            <w:r>
              <w:rPr>
                <w:rFonts w:eastAsia="宋体"/>
                <w:vertAlign w:val="superscript"/>
              </w:rPr>
              <w:t>2</w:t>
            </w:r>
            <w:r>
              <w:rPr>
                <w:rFonts w:eastAsia="宋体"/>
              </w:rPr>
              <w:t>，其余依托现有设备，从事新能源汽车配套橡胶功能件生产</w:t>
            </w:r>
          </w:p>
        </w:tc>
        <w:tc>
          <w:tcPr>
            <w:tcW w:w="1242" w:type="pct"/>
            <w:vAlign w:val="center"/>
          </w:tcPr>
          <w:p w14:paraId="017BC4A9">
            <w:pPr>
              <w:pStyle w:val="47"/>
              <w:adjustRightInd w:val="0"/>
              <w:snapToGrid w:val="0"/>
              <w:rPr>
                <w:rFonts w:eastAsia="宋体"/>
              </w:rPr>
            </w:pPr>
            <w:r>
              <w:rPr>
                <w:rFonts w:eastAsia="宋体"/>
              </w:rPr>
              <w:t>利用现有4#车间，建筑面积7905m</w:t>
            </w:r>
            <w:r>
              <w:rPr>
                <w:rFonts w:eastAsia="宋体"/>
                <w:vertAlign w:val="superscript"/>
              </w:rPr>
              <w:t>2</w:t>
            </w:r>
            <w:r>
              <w:rPr>
                <w:rFonts w:eastAsia="宋体"/>
              </w:rPr>
              <w:t>；</w:t>
            </w:r>
          </w:p>
          <w:p w14:paraId="00CACE52">
            <w:pPr>
              <w:pStyle w:val="47"/>
              <w:adjustRightInd w:val="0"/>
              <w:snapToGrid w:val="0"/>
              <w:rPr>
                <w:rFonts w:eastAsia="宋体"/>
              </w:rPr>
            </w:pPr>
            <w:r>
              <w:rPr>
                <w:rFonts w:eastAsia="宋体"/>
              </w:rPr>
              <w:t>本次新增布设真空成型机、注射机、自动涂胶机、自动修剪机、自动组合滚边线、烘箱等生产设备，全厂形成年产2.7亿件橡胶制品、3.552亿件新能源汽车配套橡胶功能件项目</w:t>
            </w:r>
          </w:p>
        </w:tc>
        <w:tc>
          <w:tcPr>
            <w:tcW w:w="633" w:type="pct"/>
            <w:vAlign w:val="center"/>
          </w:tcPr>
          <w:p w14:paraId="3BA70862">
            <w:pPr>
              <w:pStyle w:val="47"/>
              <w:adjustRightInd w:val="0"/>
              <w:snapToGrid w:val="0"/>
              <w:rPr>
                <w:rFonts w:eastAsia="宋体"/>
              </w:rPr>
            </w:pPr>
            <w:r>
              <w:rPr>
                <w:rFonts w:eastAsia="宋体"/>
              </w:rPr>
              <w:t>本次扩建优化车间布局，将2#车间原有喷涂浸胶工序生产设备移至4#车间</w:t>
            </w:r>
          </w:p>
        </w:tc>
      </w:tr>
      <w:tr w14:paraId="6416261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414C8FFE">
            <w:pPr>
              <w:pStyle w:val="47"/>
              <w:adjustRightInd w:val="0"/>
              <w:snapToGrid w:val="0"/>
              <w:rPr>
                <w:rFonts w:eastAsia="宋体"/>
              </w:rPr>
            </w:pPr>
          </w:p>
        </w:tc>
        <w:tc>
          <w:tcPr>
            <w:tcW w:w="660" w:type="pct"/>
            <w:gridSpan w:val="3"/>
            <w:vAlign w:val="center"/>
          </w:tcPr>
          <w:p w14:paraId="65B74328">
            <w:pPr>
              <w:pStyle w:val="47"/>
              <w:adjustRightInd w:val="0"/>
              <w:snapToGrid w:val="0"/>
              <w:rPr>
                <w:rFonts w:eastAsia="宋体"/>
              </w:rPr>
            </w:pPr>
            <w:r>
              <w:rPr>
                <w:rFonts w:eastAsia="宋体"/>
              </w:rPr>
              <w:t>5#车间</w:t>
            </w:r>
          </w:p>
        </w:tc>
        <w:tc>
          <w:tcPr>
            <w:tcW w:w="988" w:type="pct"/>
            <w:vAlign w:val="center"/>
          </w:tcPr>
          <w:p w14:paraId="6277FC6B">
            <w:pPr>
              <w:adjustRightInd w:val="0"/>
              <w:snapToGrid w:val="0"/>
              <w:jc w:val="center"/>
            </w:pPr>
            <w:r>
              <w:t>建筑面积4089m</w:t>
            </w:r>
            <w:r>
              <w:rPr>
                <w:vertAlign w:val="superscript"/>
              </w:rPr>
              <w:t>2</w:t>
            </w:r>
            <w:r>
              <w:t>；建设</w:t>
            </w:r>
            <w:bookmarkStart w:id="30" w:name="OLE_LINK43"/>
            <w:bookmarkStart w:id="31" w:name="OLE_LINK44"/>
            <w:r>
              <w:t>检测区、模具加工区、模具堆放区等</w:t>
            </w:r>
            <w:bookmarkEnd w:id="30"/>
            <w:bookmarkEnd w:id="31"/>
            <w:r>
              <w:t>，目前使用面积为2200m</w:t>
            </w:r>
            <w:r>
              <w:rPr>
                <w:vertAlign w:val="superscript"/>
              </w:rPr>
              <w:t>2</w:t>
            </w:r>
            <w:r>
              <w:t>，尚有空余面积</w:t>
            </w:r>
          </w:p>
        </w:tc>
        <w:tc>
          <w:tcPr>
            <w:tcW w:w="1190" w:type="pct"/>
            <w:vAlign w:val="center"/>
          </w:tcPr>
          <w:p w14:paraId="3BEAFF85">
            <w:pPr>
              <w:pStyle w:val="47"/>
              <w:adjustRightInd w:val="0"/>
              <w:snapToGrid w:val="0"/>
              <w:rPr>
                <w:rFonts w:eastAsia="宋体"/>
              </w:rPr>
            </w:pPr>
            <w:r>
              <w:rPr>
                <w:rFonts w:eastAsia="宋体"/>
              </w:rPr>
              <w:t>依托现有</w:t>
            </w:r>
            <w:bookmarkStart w:id="32" w:name="OLE_LINK29"/>
            <w:bookmarkStart w:id="33" w:name="OLE_LINK30"/>
            <w:r>
              <w:rPr>
                <w:rFonts w:eastAsia="宋体"/>
              </w:rPr>
              <w:t>5#车间；本次新增布设精雕机、加工中心，用于模具的修整</w:t>
            </w:r>
            <w:bookmarkEnd w:id="32"/>
            <w:bookmarkEnd w:id="33"/>
            <w:r>
              <w:rPr>
                <w:rFonts w:eastAsia="宋体"/>
              </w:rPr>
              <w:t>，使用面积280m</w:t>
            </w:r>
            <w:r>
              <w:rPr>
                <w:rFonts w:eastAsia="宋体"/>
                <w:vertAlign w:val="superscript"/>
              </w:rPr>
              <w:t>2</w:t>
            </w:r>
            <w:r>
              <w:rPr>
                <w:rFonts w:eastAsia="宋体"/>
              </w:rPr>
              <w:t>，其余依托现有检验设备，从事新能源汽车配套橡胶功能件的质量检验</w:t>
            </w:r>
          </w:p>
        </w:tc>
        <w:tc>
          <w:tcPr>
            <w:tcW w:w="1242" w:type="pct"/>
            <w:vAlign w:val="center"/>
          </w:tcPr>
          <w:p w14:paraId="666EB1A9">
            <w:pPr>
              <w:pStyle w:val="47"/>
              <w:adjustRightInd w:val="0"/>
              <w:snapToGrid w:val="0"/>
              <w:rPr>
                <w:rFonts w:eastAsia="宋体"/>
              </w:rPr>
            </w:pPr>
            <w:r>
              <w:rPr>
                <w:rFonts w:eastAsia="宋体"/>
              </w:rPr>
              <w:t>利用现有5#车间，建筑面积4089m</w:t>
            </w:r>
            <w:r>
              <w:rPr>
                <w:rFonts w:eastAsia="宋体"/>
                <w:vertAlign w:val="superscript"/>
              </w:rPr>
              <w:t>2</w:t>
            </w:r>
            <w:r>
              <w:rPr>
                <w:rFonts w:eastAsia="宋体"/>
              </w:rPr>
              <w:t>；本次新增布设精雕机、加工中心，从事模具的修整、橡胶制品以及新能源汽车配套橡胶功能件的质量检验</w:t>
            </w:r>
          </w:p>
        </w:tc>
        <w:tc>
          <w:tcPr>
            <w:tcW w:w="633" w:type="pct"/>
            <w:vAlign w:val="center"/>
          </w:tcPr>
          <w:p w14:paraId="51704DDC">
            <w:pPr>
              <w:pStyle w:val="47"/>
              <w:adjustRightInd w:val="0"/>
              <w:snapToGrid w:val="0"/>
              <w:rPr>
                <w:rFonts w:eastAsia="宋体"/>
              </w:rPr>
            </w:pPr>
            <w:r>
              <w:rPr>
                <w:rFonts w:eastAsia="宋体"/>
              </w:rPr>
              <w:t>利用现有已建车间</w:t>
            </w:r>
          </w:p>
        </w:tc>
      </w:tr>
      <w:tr w14:paraId="40AC22B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restart"/>
            <w:vAlign w:val="center"/>
          </w:tcPr>
          <w:p w14:paraId="376CAA57">
            <w:pPr>
              <w:pStyle w:val="47"/>
              <w:adjustRightInd w:val="0"/>
              <w:snapToGrid w:val="0"/>
              <w:rPr>
                <w:rFonts w:eastAsia="宋体"/>
              </w:rPr>
            </w:pPr>
            <w:r>
              <w:rPr>
                <w:rFonts w:eastAsia="宋体"/>
              </w:rPr>
              <w:t>辅助工程</w:t>
            </w:r>
          </w:p>
        </w:tc>
        <w:tc>
          <w:tcPr>
            <w:tcW w:w="660" w:type="pct"/>
            <w:gridSpan w:val="3"/>
            <w:vAlign w:val="center"/>
          </w:tcPr>
          <w:p w14:paraId="624B330A">
            <w:pPr>
              <w:pStyle w:val="47"/>
              <w:adjustRightInd w:val="0"/>
              <w:snapToGrid w:val="0"/>
              <w:rPr>
                <w:rFonts w:eastAsia="宋体"/>
              </w:rPr>
            </w:pPr>
            <w:r>
              <w:rPr>
                <w:rFonts w:eastAsia="宋体"/>
              </w:rPr>
              <w:t>办公楼</w:t>
            </w:r>
          </w:p>
        </w:tc>
        <w:tc>
          <w:tcPr>
            <w:tcW w:w="988" w:type="pct"/>
            <w:vAlign w:val="center"/>
          </w:tcPr>
          <w:p w14:paraId="3FAD7D79">
            <w:pPr>
              <w:pStyle w:val="47"/>
              <w:adjustRightInd w:val="0"/>
              <w:snapToGrid w:val="0"/>
              <w:rPr>
                <w:rFonts w:eastAsia="宋体"/>
              </w:rPr>
            </w:pPr>
            <w:r>
              <w:rPr>
                <w:rFonts w:eastAsia="宋体"/>
              </w:rPr>
              <w:t>办公、会议等，建筑面积13434m</w:t>
            </w:r>
            <w:r>
              <w:rPr>
                <w:rFonts w:eastAsia="宋体"/>
                <w:vertAlign w:val="superscript"/>
              </w:rPr>
              <w:t>2</w:t>
            </w:r>
            <w:r>
              <w:rPr>
                <w:rFonts w:eastAsia="宋体"/>
              </w:rPr>
              <w:t>，共六层</w:t>
            </w:r>
          </w:p>
        </w:tc>
        <w:tc>
          <w:tcPr>
            <w:tcW w:w="1190" w:type="pct"/>
            <w:vAlign w:val="center"/>
          </w:tcPr>
          <w:p w14:paraId="70F39A62">
            <w:pPr>
              <w:pStyle w:val="47"/>
              <w:adjustRightInd w:val="0"/>
              <w:snapToGrid w:val="0"/>
              <w:rPr>
                <w:rFonts w:eastAsia="宋体"/>
              </w:rPr>
            </w:pPr>
            <w:r>
              <w:rPr>
                <w:rFonts w:eastAsia="宋体"/>
              </w:rPr>
              <w:t>依托现有办公区域</w:t>
            </w:r>
          </w:p>
        </w:tc>
        <w:tc>
          <w:tcPr>
            <w:tcW w:w="1242" w:type="pct"/>
            <w:vAlign w:val="center"/>
          </w:tcPr>
          <w:p w14:paraId="540885FF">
            <w:pPr>
              <w:pStyle w:val="47"/>
              <w:adjustRightInd w:val="0"/>
              <w:snapToGrid w:val="0"/>
              <w:rPr>
                <w:rFonts w:eastAsia="宋体"/>
              </w:rPr>
            </w:pPr>
            <w:r>
              <w:rPr>
                <w:rFonts w:eastAsia="宋体"/>
              </w:rPr>
              <w:t>办公、会议等，建筑面积13434m</w:t>
            </w:r>
            <w:r>
              <w:rPr>
                <w:rFonts w:eastAsia="宋体"/>
                <w:vertAlign w:val="superscript"/>
              </w:rPr>
              <w:t>2</w:t>
            </w:r>
            <w:r>
              <w:rPr>
                <w:rFonts w:eastAsia="宋体"/>
              </w:rPr>
              <w:t>，共六层</w:t>
            </w:r>
          </w:p>
        </w:tc>
        <w:tc>
          <w:tcPr>
            <w:tcW w:w="633" w:type="pct"/>
            <w:vAlign w:val="center"/>
          </w:tcPr>
          <w:p w14:paraId="29702E7C">
            <w:pPr>
              <w:pStyle w:val="47"/>
              <w:adjustRightInd w:val="0"/>
              <w:snapToGrid w:val="0"/>
              <w:rPr>
                <w:rFonts w:eastAsia="宋体"/>
              </w:rPr>
            </w:pPr>
            <w:r>
              <w:rPr>
                <w:rFonts w:eastAsia="宋体"/>
              </w:rPr>
              <w:t>依托现有</w:t>
            </w:r>
          </w:p>
        </w:tc>
      </w:tr>
      <w:tr w14:paraId="08A472D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70B8F39A">
            <w:pPr>
              <w:pStyle w:val="47"/>
              <w:adjustRightInd w:val="0"/>
              <w:snapToGrid w:val="0"/>
              <w:rPr>
                <w:rFonts w:eastAsia="宋体"/>
              </w:rPr>
            </w:pPr>
          </w:p>
        </w:tc>
        <w:tc>
          <w:tcPr>
            <w:tcW w:w="660" w:type="pct"/>
            <w:gridSpan w:val="3"/>
            <w:vAlign w:val="center"/>
          </w:tcPr>
          <w:p w14:paraId="61E465D6">
            <w:pPr>
              <w:pStyle w:val="47"/>
              <w:adjustRightInd w:val="0"/>
              <w:snapToGrid w:val="0"/>
              <w:rPr>
                <w:rFonts w:eastAsia="宋体"/>
              </w:rPr>
            </w:pPr>
            <w:r>
              <w:rPr>
                <w:rFonts w:eastAsia="宋体"/>
              </w:rPr>
              <w:t>食堂</w:t>
            </w:r>
          </w:p>
        </w:tc>
        <w:tc>
          <w:tcPr>
            <w:tcW w:w="988" w:type="pct"/>
            <w:vAlign w:val="center"/>
          </w:tcPr>
          <w:p w14:paraId="67C8152E">
            <w:pPr>
              <w:pStyle w:val="47"/>
              <w:adjustRightInd w:val="0"/>
              <w:snapToGrid w:val="0"/>
              <w:rPr>
                <w:rFonts w:eastAsia="宋体"/>
              </w:rPr>
            </w:pPr>
            <w:r>
              <w:rPr>
                <w:rFonts w:eastAsia="宋体"/>
              </w:rPr>
              <w:t>员工食堂，建筑面积1568m</w:t>
            </w:r>
            <w:r>
              <w:rPr>
                <w:rFonts w:eastAsia="宋体"/>
                <w:vertAlign w:val="superscript"/>
              </w:rPr>
              <w:t>2</w:t>
            </w:r>
          </w:p>
        </w:tc>
        <w:tc>
          <w:tcPr>
            <w:tcW w:w="1190" w:type="pct"/>
            <w:vAlign w:val="center"/>
          </w:tcPr>
          <w:p w14:paraId="543AADFF">
            <w:pPr>
              <w:pStyle w:val="47"/>
              <w:adjustRightInd w:val="0"/>
              <w:snapToGrid w:val="0"/>
              <w:rPr>
                <w:rFonts w:eastAsia="宋体"/>
              </w:rPr>
            </w:pPr>
            <w:r>
              <w:rPr>
                <w:rFonts w:eastAsia="宋体"/>
              </w:rPr>
              <w:t>依托现有食堂</w:t>
            </w:r>
          </w:p>
        </w:tc>
        <w:tc>
          <w:tcPr>
            <w:tcW w:w="1242" w:type="pct"/>
            <w:vAlign w:val="center"/>
          </w:tcPr>
          <w:p w14:paraId="2C663A38">
            <w:pPr>
              <w:pStyle w:val="47"/>
              <w:adjustRightInd w:val="0"/>
              <w:snapToGrid w:val="0"/>
              <w:rPr>
                <w:rFonts w:eastAsia="宋体"/>
              </w:rPr>
            </w:pPr>
            <w:r>
              <w:rPr>
                <w:rFonts w:eastAsia="宋体"/>
              </w:rPr>
              <w:t>员工食堂，建筑面积1568m</w:t>
            </w:r>
            <w:r>
              <w:rPr>
                <w:rFonts w:eastAsia="宋体"/>
                <w:vertAlign w:val="superscript"/>
              </w:rPr>
              <w:t>2</w:t>
            </w:r>
          </w:p>
        </w:tc>
        <w:tc>
          <w:tcPr>
            <w:tcW w:w="633" w:type="pct"/>
            <w:vAlign w:val="center"/>
          </w:tcPr>
          <w:p w14:paraId="4B3D0046">
            <w:pPr>
              <w:pStyle w:val="47"/>
              <w:adjustRightInd w:val="0"/>
              <w:snapToGrid w:val="0"/>
              <w:rPr>
                <w:rFonts w:eastAsia="宋体"/>
              </w:rPr>
            </w:pPr>
            <w:r>
              <w:rPr>
                <w:rFonts w:eastAsia="宋体"/>
              </w:rPr>
              <w:t>依托现有</w:t>
            </w:r>
          </w:p>
        </w:tc>
      </w:tr>
      <w:tr w14:paraId="1A657D6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restart"/>
            <w:vAlign w:val="center"/>
          </w:tcPr>
          <w:p w14:paraId="4E0F06F0">
            <w:pPr>
              <w:pStyle w:val="47"/>
              <w:adjustRightInd w:val="0"/>
              <w:snapToGrid w:val="0"/>
              <w:rPr>
                <w:rFonts w:eastAsia="宋体"/>
              </w:rPr>
            </w:pPr>
            <w:r>
              <w:rPr>
                <w:rFonts w:eastAsia="宋体"/>
              </w:rPr>
              <w:t>储运工程</w:t>
            </w:r>
          </w:p>
        </w:tc>
        <w:tc>
          <w:tcPr>
            <w:tcW w:w="660" w:type="pct"/>
            <w:gridSpan w:val="3"/>
            <w:vAlign w:val="center"/>
          </w:tcPr>
          <w:p w14:paraId="2C68FB65">
            <w:pPr>
              <w:pStyle w:val="47"/>
              <w:adjustRightInd w:val="0"/>
              <w:snapToGrid w:val="0"/>
              <w:rPr>
                <w:rFonts w:eastAsia="宋体"/>
              </w:rPr>
            </w:pPr>
            <w:r>
              <w:rPr>
                <w:rFonts w:eastAsia="宋体"/>
              </w:rPr>
              <w:t>成品仓库</w:t>
            </w:r>
          </w:p>
        </w:tc>
        <w:tc>
          <w:tcPr>
            <w:tcW w:w="988" w:type="pct"/>
            <w:vAlign w:val="center"/>
          </w:tcPr>
          <w:p w14:paraId="0B365540">
            <w:pPr>
              <w:pStyle w:val="47"/>
              <w:adjustRightInd w:val="0"/>
              <w:snapToGrid w:val="0"/>
              <w:rPr>
                <w:rFonts w:eastAsia="宋体"/>
              </w:rPr>
            </w:pPr>
            <w:r>
              <w:rPr>
                <w:rFonts w:eastAsia="宋体"/>
              </w:rPr>
              <w:t>用于成品储存，使用面积3000m</w:t>
            </w:r>
            <w:r>
              <w:rPr>
                <w:rFonts w:eastAsia="宋体"/>
                <w:vertAlign w:val="superscript"/>
              </w:rPr>
              <w:t>2</w:t>
            </w:r>
            <w:r>
              <w:rPr>
                <w:rFonts w:eastAsia="宋体"/>
              </w:rPr>
              <w:t>，位于2#车间</w:t>
            </w:r>
          </w:p>
        </w:tc>
        <w:tc>
          <w:tcPr>
            <w:tcW w:w="1190" w:type="pct"/>
            <w:vAlign w:val="center"/>
          </w:tcPr>
          <w:p w14:paraId="3DD69C2E">
            <w:pPr>
              <w:pStyle w:val="47"/>
              <w:adjustRightInd w:val="0"/>
              <w:snapToGrid w:val="0"/>
              <w:rPr>
                <w:rFonts w:eastAsia="宋体"/>
              </w:rPr>
            </w:pPr>
            <w:r>
              <w:rPr>
                <w:rFonts w:eastAsia="宋体"/>
              </w:rPr>
              <w:t>用于成品储存，使用面积3000m</w:t>
            </w:r>
            <w:r>
              <w:rPr>
                <w:rFonts w:eastAsia="宋体"/>
                <w:vertAlign w:val="superscript"/>
              </w:rPr>
              <w:t>2</w:t>
            </w:r>
            <w:r>
              <w:rPr>
                <w:rFonts w:eastAsia="宋体"/>
              </w:rPr>
              <w:t>，位于2#车间</w:t>
            </w:r>
          </w:p>
        </w:tc>
        <w:tc>
          <w:tcPr>
            <w:tcW w:w="1242" w:type="pct"/>
            <w:vAlign w:val="center"/>
          </w:tcPr>
          <w:p w14:paraId="2956EB9B">
            <w:pPr>
              <w:pStyle w:val="47"/>
              <w:adjustRightInd w:val="0"/>
              <w:snapToGrid w:val="0"/>
              <w:rPr>
                <w:rFonts w:eastAsia="宋体"/>
              </w:rPr>
            </w:pPr>
            <w:r>
              <w:rPr>
                <w:rFonts w:eastAsia="宋体"/>
              </w:rPr>
              <w:t>用于成品储存，使用面积3000m</w:t>
            </w:r>
            <w:r>
              <w:rPr>
                <w:rFonts w:eastAsia="宋体"/>
                <w:vertAlign w:val="superscript"/>
              </w:rPr>
              <w:t>2</w:t>
            </w:r>
            <w:r>
              <w:rPr>
                <w:rFonts w:eastAsia="宋体"/>
              </w:rPr>
              <w:t>，位于2#车间</w:t>
            </w:r>
          </w:p>
        </w:tc>
        <w:tc>
          <w:tcPr>
            <w:tcW w:w="633" w:type="pct"/>
            <w:vAlign w:val="center"/>
          </w:tcPr>
          <w:p w14:paraId="418A10A1">
            <w:pPr>
              <w:pStyle w:val="47"/>
              <w:adjustRightInd w:val="0"/>
              <w:snapToGrid w:val="0"/>
              <w:rPr>
                <w:rFonts w:eastAsia="宋体"/>
              </w:rPr>
            </w:pPr>
            <w:r>
              <w:rPr>
                <w:rFonts w:eastAsia="宋体"/>
              </w:rPr>
              <w:t>依托现有车间区域</w:t>
            </w:r>
          </w:p>
        </w:tc>
      </w:tr>
      <w:tr w14:paraId="393E0F9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0B6CFAC4">
            <w:pPr>
              <w:pStyle w:val="47"/>
              <w:adjustRightInd w:val="0"/>
              <w:snapToGrid w:val="0"/>
              <w:rPr>
                <w:rFonts w:eastAsia="宋体"/>
              </w:rPr>
            </w:pPr>
          </w:p>
        </w:tc>
        <w:tc>
          <w:tcPr>
            <w:tcW w:w="660" w:type="pct"/>
            <w:gridSpan w:val="3"/>
            <w:vAlign w:val="center"/>
          </w:tcPr>
          <w:p w14:paraId="4ACD50E6">
            <w:pPr>
              <w:pStyle w:val="47"/>
              <w:adjustRightInd w:val="0"/>
              <w:snapToGrid w:val="0"/>
              <w:rPr>
                <w:rFonts w:eastAsia="宋体"/>
              </w:rPr>
            </w:pPr>
            <w:r>
              <w:rPr>
                <w:rFonts w:eastAsia="宋体"/>
              </w:rPr>
              <w:t>原料仓库</w:t>
            </w:r>
          </w:p>
        </w:tc>
        <w:tc>
          <w:tcPr>
            <w:tcW w:w="988" w:type="pct"/>
            <w:vAlign w:val="center"/>
          </w:tcPr>
          <w:p w14:paraId="37EE885C">
            <w:pPr>
              <w:pStyle w:val="47"/>
              <w:adjustRightInd w:val="0"/>
              <w:snapToGrid w:val="0"/>
              <w:rPr>
                <w:rFonts w:eastAsia="宋体"/>
              </w:rPr>
            </w:pPr>
            <w:r>
              <w:rPr>
                <w:rFonts w:eastAsia="宋体"/>
              </w:rPr>
              <w:t>用于原辅料储存，使用面积3000m</w:t>
            </w:r>
            <w:r>
              <w:rPr>
                <w:rFonts w:eastAsia="宋体"/>
                <w:vertAlign w:val="superscript"/>
              </w:rPr>
              <w:t>2</w:t>
            </w:r>
            <w:r>
              <w:rPr>
                <w:rFonts w:eastAsia="宋体"/>
              </w:rPr>
              <w:t>，位于3#车间</w:t>
            </w:r>
          </w:p>
        </w:tc>
        <w:tc>
          <w:tcPr>
            <w:tcW w:w="1190" w:type="pct"/>
            <w:vAlign w:val="center"/>
          </w:tcPr>
          <w:p w14:paraId="78D5BF83">
            <w:pPr>
              <w:pStyle w:val="47"/>
              <w:adjustRightInd w:val="0"/>
              <w:snapToGrid w:val="0"/>
              <w:rPr>
                <w:rFonts w:eastAsia="宋体"/>
              </w:rPr>
            </w:pPr>
            <w:r>
              <w:rPr>
                <w:rFonts w:eastAsia="宋体"/>
              </w:rPr>
              <w:t>用于成品储存，使用面积3000m</w:t>
            </w:r>
            <w:r>
              <w:rPr>
                <w:rFonts w:eastAsia="宋体"/>
                <w:vertAlign w:val="superscript"/>
              </w:rPr>
              <w:t>2</w:t>
            </w:r>
            <w:r>
              <w:rPr>
                <w:rFonts w:eastAsia="宋体"/>
              </w:rPr>
              <w:t>，位于3#车间</w:t>
            </w:r>
          </w:p>
        </w:tc>
        <w:tc>
          <w:tcPr>
            <w:tcW w:w="1242" w:type="pct"/>
            <w:vAlign w:val="center"/>
          </w:tcPr>
          <w:p w14:paraId="0AF2B54D">
            <w:pPr>
              <w:pStyle w:val="47"/>
              <w:adjustRightInd w:val="0"/>
              <w:snapToGrid w:val="0"/>
              <w:rPr>
                <w:rFonts w:eastAsia="宋体"/>
              </w:rPr>
            </w:pPr>
            <w:r>
              <w:rPr>
                <w:rFonts w:eastAsia="宋体"/>
              </w:rPr>
              <w:t>用于成品储存，使用面积3000m</w:t>
            </w:r>
            <w:r>
              <w:rPr>
                <w:rFonts w:eastAsia="宋体"/>
                <w:vertAlign w:val="superscript"/>
              </w:rPr>
              <w:t>2</w:t>
            </w:r>
            <w:r>
              <w:rPr>
                <w:rFonts w:eastAsia="宋体"/>
              </w:rPr>
              <w:t>，位于2#车间</w:t>
            </w:r>
          </w:p>
        </w:tc>
        <w:tc>
          <w:tcPr>
            <w:tcW w:w="633" w:type="pct"/>
            <w:vAlign w:val="center"/>
          </w:tcPr>
          <w:p w14:paraId="25992B39">
            <w:pPr>
              <w:pStyle w:val="47"/>
              <w:adjustRightInd w:val="0"/>
              <w:snapToGrid w:val="0"/>
              <w:rPr>
                <w:rFonts w:eastAsia="宋体"/>
              </w:rPr>
            </w:pPr>
            <w:r>
              <w:rPr>
                <w:rFonts w:eastAsia="宋体"/>
              </w:rPr>
              <w:t>依托现有车间区域</w:t>
            </w:r>
          </w:p>
        </w:tc>
      </w:tr>
      <w:tr w14:paraId="256A9C1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7B417381">
            <w:pPr>
              <w:pStyle w:val="47"/>
              <w:adjustRightInd w:val="0"/>
              <w:snapToGrid w:val="0"/>
              <w:rPr>
                <w:rFonts w:eastAsia="宋体"/>
              </w:rPr>
            </w:pPr>
          </w:p>
        </w:tc>
        <w:tc>
          <w:tcPr>
            <w:tcW w:w="660" w:type="pct"/>
            <w:gridSpan w:val="3"/>
            <w:vAlign w:val="center"/>
          </w:tcPr>
          <w:p w14:paraId="3B5D16D4">
            <w:pPr>
              <w:pStyle w:val="47"/>
              <w:adjustRightInd w:val="0"/>
              <w:snapToGrid w:val="0"/>
              <w:rPr>
                <w:rFonts w:eastAsia="宋体"/>
              </w:rPr>
            </w:pPr>
            <w:r>
              <w:rPr>
                <w:rFonts w:eastAsia="宋体"/>
              </w:rPr>
              <w:t>运输</w:t>
            </w:r>
          </w:p>
        </w:tc>
        <w:tc>
          <w:tcPr>
            <w:tcW w:w="988" w:type="pct"/>
            <w:vAlign w:val="center"/>
          </w:tcPr>
          <w:p w14:paraId="3B646342">
            <w:pPr>
              <w:pStyle w:val="47"/>
              <w:adjustRightInd w:val="0"/>
              <w:snapToGrid w:val="0"/>
              <w:rPr>
                <w:rFonts w:eastAsia="宋体"/>
              </w:rPr>
            </w:pPr>
            <w:r>
              <w:rPr>
                <w:rFonts w:eastAsia="宋体"/>
              </w:rPr>
              <w:t>汽运</w:t>
            </w:r>
          </w:p>
        </w:tc>
        <w:tc>
          <w:tcPr>
            <w:tcW w:w="1190" w:type="pct"/>
            <w:vAlign w:val="center"/>
          </w:tcPr>
          <w:p w14:paraId="65D4BF0F">
            <w:pPr>
              <w:pStyle w:val="47"/>
              <w:adjustRightInd w:val="0"/>
              <w:snapToGrid w:val="0"/>
              <w:rPr>
                <w:rFonts w:eastAsia="宋体"/>
              </w:rPr>
            </w:pPr>
            <w:r>
              <w:rPr>
                <w:rFonts w:eastAsia="宋体"/>
              </w:rPr>
              <w:t>汽运</w:t>
            </w:r>
          </w:p>
        </w:tc>
        <w:tc>
          <w:tcPr>
            <w:tcW w:w="1242" w:type="pct"/>
            <w:vAlign w:val="center"/>
          </w:tcPr>
          <w:p w14:paraId="4D201F58">
            <w:pPr>
              <w:pStyle w:val="47"/>
              <w:adjustRightInd w:val="0"/>
              <w:snapToGrid w:val="0"/>
              <w:rPr>
                <w:rFonts w:eastAsia="宋体"/>
              </w:rPr>
            </w:pPr>
            <w:r>
              <w:rPr>
                <w:rFonts w:eastAsia="宋体"/>
              </w:rPr>
              <w:t>汽运</w:t>
            </w:r>
          </w:p>
        </w:tc>
        <w:tc>
          <w:tcPr>
            <w:tcW w:w="633" w:type="pct"/>
            <w:vAlign w:val="center"/>
          </w:tcPr>
          <w:p w14:paraId="6518581D">
            <w:pPr>
              <w:pStyle w:val="47"/>
              <w:adjustRightInd w:val="0"/>
              <w:snapToGrid w:val="0"/>
              <w:rPr>
                <w:rFonts w:eastAsia="宋体"/>
              </w:rPr>
            </w:pPr>
            <w:r>
              <w:rPr>
                <w:rFonts w:eastAsia="宋体"/>
              </w:rPr>
              <w:t>/</w:t>
            </w:r>
          </w:p>
        </w:tc>
      </w:tr>
      <w:tr w14:paraId="439BF9A0">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restart"/>
            <w:vAlign w:val="center"/>
          </w:tcPr>
          <w:p w14:paraId="7F91E86A">
            <w:pPr>
              <w:pStyle w:val="47"/>
              <w:adjustRightInd w:val="0"/>
              <w:snapToGrid w:val="0"/>
              <w:rPr>
                <w:rFonts w:eastAsia="宋体"/>
              </w:rPr>
            </w:pPr>
            <w:r>
              <w:rPr>
                <w:rFonts w:eastAsia="宋体"/>
              </w:rPr>
              <w:t>公用工程</w:t>
            </w:r>
          </w:p>
        </w:tc>
        <w:tc>
          <w:tcPr>
            <w:tcW w:w="660" w:type="pct"/>
            <w:gridSpan w:val="3"/>
            <w:vAlign w:val="center"/>
          </w:tcPr>
          <w:p w14:paraId="2EB605B3">
            <w:pPr>
              <w:pStyle w:val="47"/>
              <w:adjustRightInd w:val="0"/>
              <w:snapToGrid w:val="0"/>
              <w:rPr>
                <w:rFonts w:eastAsia="宋体"/>
              </w:rPr>
            </w:pPr>
            <w:r>
              <w:rPr>
                <w:rFonts w:eastAsia="宋体"/>
              </w:rPr>
              <w:t>给水</w:t>
            </w:r>
          </w:p>
        </w:tc>
        <w:tc>
          <w:tcPr>
            <w:tcW w:w="988" w:type="pct"/>
            <w:vAlign w:val="center"/>
          </w:tcPr>
          <w:p w14:paraId="42B00AFE">
            <w:pPr>
              <w:pStyle w:val="47"/>
              <w:adjustRightInd w:val="0"/>
              <w:snapToGrid w:val="0"/>
              <w:rPr>
                <w:rFonts w:eastAsia="宋体"/>
              </w:rPr>
            </w:pPr>
            <w:r>
              <w:rPr>
                <w:rFonts w:eastAsia="宋体"/>
              </w:rPr>
              <w:t>市政给水管网，用水量</w:t>
            </w:r>
            <w:r>
              <w:rPr>
                <w:rFonts w:hint="eastAsia" w:eastAsia="宋体"/>
              </w:rPr>
              <w:t>6995</w:t>
            </w:r>
            <w:r>
              <w:rPr>
                <w:rFonts w:eastAsia="宋体"/>
              </w:rPr>
              <w:t>t/a</w:t>
            </w:r>
          </w:p>
        </w:tc>
        <w:tc>
          <w:tcPr>
            <w:tcW w:w="1190" w:type="pct"/>
            <w:vAlign w:val="center"/>
          </w:tcPr>
          <w:p w14:paraId="75147059">
            <w:pPr>
              <w:pStyle w:val="47"/>
              <w:adjustRightInd w:val="0"/>
              <w:snapToGrid w:val="0"/>
              <w:rPr>
                <w:rFonts w:eastAsia="宋体"/>
              </w:rPr>
            </w:pPr>
            <w:r>
              <w:rPr>
                <w:rFonts w:eastAsia="宋体"/>
              </w:rPr>
              <w:t>市政给水管网，用水量</w:t>
            </w:r>
            <w:r>
              <w:rPr>
                <w:rFonts w:hint="eastAsia" w:eastAsia="宋体"/>
              </w:rPr>
              <w:t>4014.5</w:t>
            </w:r>
            <w:r>
              <w:rPr>
                <w:rFonts w:eastAsia="宋体"/>
              </w:rPr>
              <w:t>t/a</w:t>
            </w:r>
          </w:p>
        </w:tc>
        <w:tc>
          <w:tcPr>
            <w:tcW w:w="1242" w:type="pct"/>
            <w:vAlign w:val="center"/>
          </w:tcPr>
          <w:p w14:paraId="1CF74A86">
            <w:pPr>
              <w:pStyle w:val="47"/>
              <w:adjustRightInd w:val="0"/>
              <w:snapToGrid w:val="0"/>
              <w:rPr>
                <w:rFonts w:eastAsia="宋体"/>
              </w:rPr>
            </w:pPr>
            <w:r>
              <w:rPr>
                <w:rFonts w:eastAsia="宋体"/>
              </w:rPr>
              <w:t>市政给水管网，用水量</w:t>
            </w:r>
            <w:r>
              <w:rPr>
                <w:rFonts w:hint="eastAsia" w:eastAsia="宋体"/>
              </w:rPr>
              <w:t>11009.5</w:t>
            </w:r>
            <w:r>
              <w:rPr>
                <w:rFonts w:eastAsia="宋体"/>
              </w:rPr>
              <w:t>t/a</w:t>
            </w:r>
          </w:p>
        </w:tc>
        <w:tc>
          <w:tcPr>
            <w:tcW w:w="633" w:type="pct"/>
            <w:vAlign w:val="center"/>
          </w:tcPr>
          <w:p w14:paraId="09CAA27D">
            <w:pPr>
              <w:pStyle w:val="47"/>
              <w:adjustRightInd w:val="0"/>
              <w:snapToGrid w:val="0"/>
              <w:rPr>
                <w:rFonts w:eastAsia="宋体"/>
              </w:rPr>
            </w:pPr>
            <w:r>
              <w:rPr>
                <w:rFonts w:eastAsia="宋体"/>
              </w:rPr>
              <w:t>依托现有厂区已建管网</w:t>
            </w:r>
          </w:p>
        </w:tc>
      </w:tr>
      <w:tr w14:paraId="7471EBD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394C4482">
            <w:pPr>
              <w:pStyle w:val="47"/>
              <w:adjustRightInd w:val="0"/>
              <w:snapToGrid w:val="0"/>
              <w:rPr>
                <w:rFonts w:eastAsia="宋体"/>
              </w:rPr>
            </w:pPr>
          </w:p>
        </w:tc>
        <w:tc>
          <w:tcPr>
            <w:tcW w:w="660" w:type="pct"/>
            <w:gridSpan w:val="3"/>
            <w:vAlign w:val="center"/>
          </w:tcPr>
          <w:p w14:paraId="31FBD8CC">
            <w:pPr>
              <w:pStyle w:val="47"/>
              <w:adjustRightInd w:val="0"/>
              <w:snapToGrid w:val="0"/>
              <w:rPr>
                <w:rFonts w:eastAsia="宋体"/>
              </w:rPr>
            </w:pPr>
            <w:r>
              <w:rPr>
                <w:rFonts w:eastAsia="宋体"/>
              </w:rPr>
              <w:t>纯水</w:t>
            </w:r>
          </w:p>
        </w:tc>
        <w:tc>
          <w:tcPr>
            <w:tcW w:w="988" w:type="pct"/>
            <w:vAlign w:val="center"/>
          </w:tcPr>
          <w:p w14:paraId="5B143608">
            <w:pPr>
              <w:pStyle w:val="47"/>
              <w:adjustRightInd w:val="0"/>
              <w:snapToGrid w:val="0"/>
              <w:rPr>
                <w:rFonts w:eastAsia="宋体"/>
              </w:rPr>
            </w:pPr>
            <w:r>
              <w:rPr>
                <w:rFonts w:eastAsia="宋体"/>
              </w:rPr>
              <w:t>厂内纯水机自制，1</w:t>
            </w:r>
            <w:r>
              <w:rPr>
                <w:rFonts w:hint="eastAsia" w:eastAsia="宋体"/>
              </w:rPr>
              <w:t>370</w:t>
            </w:r>
            <w:r>
              <w:rPr>
                <w:rFonts w:eastAsia="宋体"/>
              </w:rPr>
              <w:t>m</w:t>
            </w:r>
            <w:r>
              <w:rPr>
                <w:rFonts w:eastAsia="宋体"/>
                <w:vertAlign w:val="superscript"/>
              </w:rPr>
              <w:t>3</w:t>
            </w:r>
            <w:r>
              <w:rPr>
                <w:rFonts w:eastAsia="宋体"/>
              </w:rPr>
              <w:t>/a</w:t>
            </w:r>
          </w:p>
        </w:tc>
        <w:tc>
          <w:tcPr>
            <w:tcW w:w="1190" w:type="pct"/>
            <w:vAlign w:val="center"/>
          </w:tcPr>
          <w:p w14:paraId="620B6C71">
            <w:pPr>
              <w:pStyle w:val="47"/>
              <w:adjustRightInd w:val="0"/>
              <w:snapToGrid w:val="0"/>
              <w:rPr>
                <w:rFonts w:eastAsia="宋体"/>
              </w:rPr>
            </w:pPr>
            <w:r>
              <w:rPr>
                <w:rFonts w:eastAsia="宋体"/>
              </w:rPr>
              <w:t>依托现有纯水机制备纯水，</w:t>
            </w:r>
            <w:r>
              <w:rPr>
                <w:rFonts w:hint="eastAsia" w:eastAsia="宋体"/>
              </w:rPr>
              <w:t>968</w:t>
            </w:r>
            <w:r>
              <w:rPr>
                <w:rFonts w:eastAsia="宋体"/>
              </w:rPr>
              <w:t>m</w:t>
            </w:r>
            <w:r>
              <w:rPr>
                <w:rFonts w:eastAsia="宋体"/>
                <w:vertAlign w:val="superscript"/>
              </w:rPr>
              <w:t>3</w:t>
            </w:r>
            <w:r>
              <w:rPr>
                <w:rFonts w:eastAsia="宋体"/>
              </w:rPr>
              <w:t>/a</w:t>
            </w:r>
          </w:p>
        </w:tc>
        <w:tc>
          <w:tcPr>
            <w:tcW w:w="1242" w:type="pct"/>
            <w:vAlign w:val="center"/>
          </w:tcPr>
          <w:p w14:paraId="0E9E82BB">
            <w:pPr>
              <w:pStyle w:val="47"/>
              <w:adjustRightInd w:val="0"/>
              <w:snapToGrid w:val="0"/>
              <w:rPr>
                <w:rFonts w:eastAsia="宋体"/>
              </w:rPr>
            </w:pPr>
            <w:r>
              <w:rPr>
                <w:rFonts w:eastAsia="宋体"/>
              </w:rPr>
              <w:t>厂内纯水机自制，</w:t>
            </w:r>
            <w:r>
              <w:rPr>
                <w:rFonts w:hint="eastAsia" w:eastAsia="宋体"/>
              </w:rPr>
              <w:t>2338</w:t>
            </w:r>
            <w:r>
              <w:rPr>
                <w:rFonts w:eastAsia="宋体"/>
              </w:rPr>
              <w:t>m</w:t>
            </w:r>
            <w:r>
              <w:rPr>
                <w:rFonts w:eastAsia="宋体"/>
                <w:vertAlign w:val="superscript"/>
              </w:rPr>
              <w:t>3</w:t>
            </w:r>
            <w:r>
              <w:rPr>
                <w:rFonts w:eastAsia="宋体"/>
              </w:rPr>
              <w:t>/a</w:t>
            </w:r>
          </w:p>
        </w:tc>
        <w:tc>
          <w:tcPr>
            <w:tcW w:w="633" w:type="pct"/>
            <w:vAlign w:val="center"/>
          </w:tcPr>
          <w:p w14:paraId="49A3D321">
            <w:pPr>
              <w:pStyle w:val="47"/>
              <w:adjustRightInd w:val="0"/>
              <w:snapToGrid w:val="0"/>
              <w:rPr>
                <w:rFonts w:eastAsia="宋体"/>
              </w:rPr>
            </w:pPr>
            <w:r>
              <w:rPr>
                <w:rFonts w:eastAsia="宋体"/>
              </w:rPr>
              <w:t>/</w:t>
            </w:r>
          </w:p>
        </w:tc>
      </w:tr>
      <w:tr w14:paraId="1AC8641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4AF7CA7F">
            <w:pPr>
              <w:pStyle w:val="47"/>
              <w:adjustRightInd w:val="0"/>
              <w:snapToGrid w:val="0"/>
              <w:rPr>
                <w:rFonts w:eastAsia="宋体"/>
              </w:rPr>
            </w:pPr>
          </w:p>
        </w:tc>
        <w:tc>
          <w:tcPr>
            <w:tcW w:w="660" w:type="pct"/>
            <w:gridSpan w:val="3"/>
            <w:vMerge w:val="restart"/>
            <w:vAlign w:val="center"/>
          </w:tcPr>
          <w:p w14:paraId="29B7844B">
            <w:pPr>
              <w:pStyle w:val="47"/>
              <w:adjustRightInd w:val="0"/>
              <w:snapToGrid w:val="0"/>
              <w:rPr>
                <w:rFonts w:eastAsia="宋体"/>
              </w:rPr>
            </w:pPr>
            <w:r>
              <w:rPr>
                <w:rFonts w:eastAsia="宋体"/>
              </w:rPr>
              <w:t>排水</w:t>
            </w:r>
          </w:p>
        </w:tc>
        <w:tc>
          <w:tcPr>
            <w:tcW w:w="988" w:type="pct"/>
            <w:vAlign w:val="center"/>
          </w:tcPr>
          <w:p w14:paraId="7742ABA9">
            <w:pPr>
              <w:pStyle w:val="47"/>
              <w:adjustRightInd w:val="0"/>
              <w:snapToGrid w:val="0"/>
              <w:rPr>
                <w:rFonts w:eastAsia="宋体"/>
              </w:rPr>
            </w:pPr>
            <w:r>
              <w:rPr>
                <w:rFonts w:eastAsia="宋体"/>
              </w:rPr>
              <w:t>雨污分流，雨水通过厂区雨水管网收集至市政雨水管网；生活污水接管至常州金坛区第二污水处理有限公司集中处理，纯水制备弃水和冷却塔排水直接作为清下水排入雨水管网</w:t>
            </w:r>
          </w:p>
        </w:tc>
        <w:tc>
          <w:tcPr>
            <w:tcW w:w="1190" w:type="pct"/>
            <w:vAlign w:val="center"/>
          </w:tcPr>
          <w:p w14:paraId="7AA05C9F">
            <w:pPr>
              <w:pStyle w:val="47"/>
              <w:adjustRightInd w:val="0"/>
              <w:snapToGrid w:val="0"/>
              <w:rPr>
                <w:rFonts w:eastAsia="宋体"/>
              </w:rPr>
            </w:pPr>
            <w:r>
              <w:rPr>
                <w:rFonts w:eastAsia="宋体"/>
              </w:rPr>
              <w:t>雨污分流，雨水通过厂区雨水管网收集至市政雨水管网；纯水制备弃水和冷却塔排水直接作为清下水排入雨水管网</w:t>
            </w:r>
            <w:r>
              <w:rPr>
                <w:rFonts w:hint="eastAsia" w:eastAsia="宋体"/>
              </w:rPr>
              <w:t>；</w:t>
            </w:r>
            <w:r>
              <w:rPr>
                <w:rFonts w:eastAsia="宋体"/>
              </w:rPr>
              <w:t>生活污水接管至常州金坛区第二污水处理有限公司集中处理</w:t>
            </w:r>
          </w:p>
        </w:tc>
        <w:tc>
          <w:tcPr>
            <w:tcW w:w="1242" w:type="pct"/>
            <w:vAlign w:val="center"/>
          </w:tcPr>
          <w:p w14:paraId="01A0D70D">
            <w:pPr>
              <w:pStyle w:val="47"/>
              <w:adjustRightInd w:val="0"/>
              <w:snapToGrid w:val="0"/>
              <w:rPr>
                <w:rFonts w:eastAsia="宋体"/>
              </w:rPr>
            </w:pPr>
            <w:r>
              <w:rPr>
                <w:rFonts w:eastAsia="宋体"/>
              </w:rPr>
              <w:t>雨污分流，雨水通过厂区雨水管网收集至市政雨水管网；纯水制备弃水和冷却塔排水直接作为清下水排入雨水管网</w:t>
            </w:r>
            <w:r>
              <w:rPr>
                <w:rFonts w:hint="eastAsia" w:eastAsia="宋体"/>
              </w:rPr>
              <w:t>；</w:t>
            </w:r>
            <w:r>
              <w:rPr>
                <w:rFonts w:eastAsia="宋体"/>
              </w:rPr>
              <w:t>生活污水接管至常州金坛区第二污水处理有限公司集中处理</w:t>
            </w:r>
          </w:p>
        </w:tc>
        <w:tc>
          <w:tcPr>
            <w:tcW w:w="633" w:type="pct"/>
            <w:vAlign w:val="center"/>
          </w:tcPr>
          <w:p w14:paraId="2810F56F">
            <w:pPr>
              <w:pStyle w:val="47"/>
              <w:adjustRightInd w:val="0"/>
              <w:snapToGrid w:val="0"/>
              <w:rPr>
                <w:rFonts w:eastAsia="宋体"/>
              </w:rPr>
            </w:pPr>
            <w:r>
              <w:rPr>
                <w:rFonts w:eastAsia="宋体"/>
              </w:rPr>
              <w:t>依托现有厂区已建管网及排口</w:t>
            </w:r>
          </w:p>
        </w:tc>
      </w:tr>
      <w:tr w14:paraId="318562A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0158F19F">
            <w:pPr>
              <w:pStyle w:val="47"/>
              <w:adjustRightInd w:val="0"/>
              <w:snapToGrid w:val="0"/>
              <w:rPr>
                <w:rFonts w:eastAsia="宋体"/>
              </w:rPr>
            </w:pPr>
          </w:p>
        </w:tc>
        <w:tc>
          <w:tcPr>
            <w:tcW w:w="660" w:type="pct"/>
            <w:gridSpan w:val="3"/>
            <w:vMerge w:val="continue"/>
            <w:vAlign w:val="center"/>
          </w:tcPr>
          <w:p w14:paraId="243EBF4F">
            <w:pPr>
              <w:pStyle w:val="47"/>
              <w:adjustRightInd w:val="0"/>
              <w:snapToGrid w:val="0"/>
              <w:rPr>
                <w:rFonts w:eastAsia="宋体"/>
              </w:rPr>
            </w:pPr>
          </w:p>
        </w:tc>
        <w:tc>
          <w:tcPr>
            <w:tcW w:w="988" w:type="pct"/>
            <w:vAlign w:val="center"/>
          </w:tcPr>
          <w:p w14:paraId="02F69765">
            <w:pPr>
              <w:pStyle w:val="47"/>
              <w:adjustRightInd w:val="0"/>
              <w:snapToGrid w:val="0"/>
              <w:rPr>
                <w:rFonts w:eastAsia="宋体"/>
              </w:rPr>
            </w:pPr>
            <w:r>
              <w:rPr>
                <w:rFonts w:eastAsia="宋体"/>
              </w:rPr>
              <w:t>生产废水，</w:t>
            </w:r>
            <w:r>
              <w:rPr>
                <w:rFonts w:hint="eastAsia" w:eastAsia="宋体"/>
              </w:rPr>
              <w:t>43</w:t>
            </w:r>
            <w:r>
              <w:rPr>
                <w:rFonts w:eastAsia="宋体"/>
              </w:rPr>
              <w:t>00m</w:t>
            </w:r>
            <w:r>
              <w:rPr>
                <w:rFonts w:eastAsia="宋体"/>
                <w:vertAlign w:val="superscript"/>
              </w:rPr>
              <w:t>3</w:t>
            </w:r>
            <w:r>
              <w:rPr>
                <w:rFonts w:eastAsia="宋体"/>
              </w:rPr>
              <w:t>/a，</w:t>
            </w:r>
            <w:r>
              <w:rPr>
                <w:rFonts w:hint="eastAsia" w:eastAsia="宋体"/>
                <w:highlight w:val="black"/>
                <w:lang w:val="en-US" w:eastAsia="zh-CN"/>
              </w:rPr>
              <w:t xml:space="preserve">    </w:t>
            </w:r>
            <w:r>
              <w:rPr>
                <w:rFonts w:hint="eastAsia" w:eastAsia="宋体"/>
                <w:lang w:val="en-US" w:eastAsia="zh-CN"/>
              </w:rPr>
              <w:t xml:space="preserve">                  </w:t>
            </w:r>
            <w:r>
              <w:rPr>
                <w:rFonts w:eastAsia="宋体"/>
              </w:rPr>
              <w:t>生产废水，进污水处理站处理后回用于生产，最大设计处理能力为3m</w:t>
            </w:r>
            <w:r>
              <w:rPr>
                <w:rFonts w:eastAsia="宋体"/>
                <w:vertAlign w:val="superscript"/>
              </w:rPr>
              <w:t>3</w:t>
            </w:r>
            <w:r>
              <w:rPr>
                <w:rFonts w:eastAsia="宋体"/>
              </w:rPr>
              <w:t>/h</w:t>
            </w:r>
          </w:p>
        </w:tc>
        <w:tc>
          <w:tcPr>
            <w:tcW w:w="1190" w:type="pct"/>
            <w:vAlign w:val="center"/>
          </w:tcPr>
          <w:p w14:paraId="62DDF0F3">
            <w:pPr>
              <w:pStyle w:val="47"/>
              <w:adjustRightInd w:val="0"/>
              <w:snapToGrid w:val="0"/>
              <w:rPr>
                <w:rFonts w:eastAsia="宋体"/>
              </w:rPr>
            </w:pPr>
            <w:r>
              <w:rPr>
                <w:rFonts w:eastAsia="宋体"/>
              </w:rPr>
              <w:t>依托现有污水处理站，新增处理生产废水</w:t>
            </w:r>
            <w:r>
              <w:rPr>
                <w:rFonts w:hint="eastAsia" w:eastAsia="宋体"/>
              </w:rPr>
              <w:t>2117.1</w:t>
            </w:r>
            <w:r>
              <w:rPr>
                <w:rFonts w:eastAsia="宋体"/>
              </w:rPr>
              <w:t>m</w:t>
            </w:r>
            <w:r>
              <w:rPr>
                <w:rFonts w:eastAsia="宋体"/>
                <w:vertAlign w:val="superscript"/>
              </w:rPr>
              <w:t>3</w:t>
            </w:r>
            <w:r>
              <w:rPr>
                <w:rFonts w:eastAsia="宋体"/>
              </w:rPr>
              <w:t>/a</w:t>
            </w:r>
          </w:p>
        </w:tc>
        <w:tc>
          <w:tcPr>
            <w:tcW w:w="1242" w:type="pct"/>
            <w:vAlign w:val="center"/>
          </w:tcPr>
          <w:p w14:paraId="49F2548B">
            <w:pPr>
              <w:pStyle w:val="47"/>
              <w:adjustRightInd w:val="0"/>
              <w:snapToGrid w:val="0"/>
              <w:rPr>
                <w:rFonts w:eastAsia="宋体"/>
              </w:rPr>
            </w:pPr>
            <w:r>
              <w:rPr>
                <w:rFonts w:eastAsia="宋体"/>
              </w:rPr>
              <w:t>总的生产废水处理量为</w:t>
            </w:r>
            <w:r>
              <w:rPr>
                <w:rFonts w:hint="eastAsia" w:eastAsia="宋体"/>
              </w:rPr>
              <w:t>6417.1</w:t>
            </w:r>
            <w:r>
              <w:rPr>
                <w:rFonts w:eastAsia="宋体"/>
              </w:rPr>
              <w:t>m</w:t>
            </w:r>
            <w:r>
              <w:rPr>
                <w:rFonts w:eastAsia="宋体"/>
                <w:vertAlign w:val="superscript"/>
              </w:rPr>
              <w:t>3</w:t>
            </w:r>
            <w:r>
              <w:rPr>
                <w:rFonts w:eastAsia="宋体"/>
              </w:rPr>
              <w:t>/a，</w:t>
            </w:r>
            <w:r>
              <w:rPr>
                <w:rFonts w:hint="eastAsia" w:eastAsia="宋体"/>
                <w:lang w:val="en-US" w:eastAsia="zh-CN"/>
              </w:rPr>
              <w:t xml:space="preserve">                </w:t>
            </w:r>
            <w:r>
              <w:rPr>
                <w:rFonts w:eastAsia="宋体"/>
              </w:rPr>
              <w:t>生产废水进污水处理站处理后回用于生产，最大设计处理能力为3m</w:t>
            </w:r>
            <w:r>
              <w:rPr>
                <w:rFonts w:eastAsia="宋体"/>
                <w:vertAlign w:val="superscript"/>
              </w:rPr>
              <w:t>3</w:t>
            </w:r>
            <w:r>
              <w:rPr>
                <w:rFonts w:eastAsia="宋体"/>
              </w:rPr>
              <w:t>/h</w:t>
            </w:r>
          </w:p>
        </w:tc>
        <w:tc>
          <w:tcPr>
            <w:tcW w:w="633" w:type="pct"/>
            <w:vAlign w:val="center"/>
          </w:tcPr>
          <w:p w14:paraId="08519916">
            <w:pPr>
              <w:pStyle w:val="47"/>
              <w:adjustRightInd w:val="0"/>
              <w:snapToGrid w:val="0"/>
              <w:rPr>
                <w:rFonts w:eastAsia="宋体"/>
              </w:rPr>
            </w:pPr>
            <w:r>
              <w:rPr>
                <w:rFonts w:eastAsia="宋体"/>
              </w:rPr>
              <w:t>依托现有污水处理站</w:t>
            </w:r>
          </w:p>
        </w:tc>
      </w:tr>
      <w:tr w14:paraId="2C025E0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7AAC716C">
            <w:pPr>
              <w:pStyle w:val="47"/>
              <w:adjustRightInd w:val="0"/>
              <w:snapToGrid w:val="0"/>
              <w:rPr>
                <w:rFonts w:eastAsia="宋体"/>
              </w:rPr>
            </w:pPr>
          </w:p>
        </w:tc>
        <w:tc>
          <w:tcPr>
            <w:tcW w:w="660" w:type="pct"/>
            <w:gridSpan w:val="3"/>
            <w:vAlign w:val="center"/>
          </w:tcPr>
          <w:p w14:paraId="0EE36614">
            <w:pPr>
              <w:pStyle w:val="47"/>
              <w:adjustRightInd w:val="0"/>
              <w:snapToGrid w:val="0"/>
              <w:rPr>
                <w:rFonts w:eastAsia="宋体"/>
              </w:rPr>
            </w:pPr>
            <w:r>
              <w:rPr>
                <w:rFonts w:eastAsia="宋体"/>
              </w:rPr>
              <w:t>供电</w:t>
            </w:r>
          </w:p>
        </w:tc>
        <w:tc>
          <w:tcPr>
            <w:tcW w:w="988" w:type="pct"/>
            <w:vAlign w:val="center"/>
          </w:tcPr>
          <w:p w14:paraId="7BCC3D41">
            <w:pPr>
              <w:pStyle w:val="47"/>
              <w:adjustRightInd w:val="0"/>
              <w:snapToGrid w:val="0"/>
              <w:rPr>
                <w:rFonts w:eastAsia="宋体"/>
              </w:rPr>
            </w:pPr>
            <w:r>
              <w:rPr>
                <w:rFonts w:eastAsia="宋体"/>
              </w:rPr>
              <w:t>市政电网提供，用电量1001.4万kW·h/a</w:t>
            </w:r>
          </w:p>
        </w:tc>
        <w:tc>
          <w:tcPr>
            <w:tcW w:w="1190" w:type="pct"/>
            <w:vAlign w:val="center"/>
          </w:tcPr>
          <w:p w14:paraId="67A9BE78">
            <w:pPr>
              <w:pStyle w:val="47"/>
              <w:adjustRightInd w:val="0"/>
              <w:snapToGrid w:val="0"/>
              <w:rPr>
                <w:rFonts w:eastAsia="宋体"/>
              </w:rPr>
            </w:pPr>
            <w:r>
              <w:rPr>
                <w:rFonts w:eastAsia="宋体"/>
              </w:rPr>
              <w:t>市政电网提供，用电量1600万kWh/a</w:t>
            </w:r>
          </w:p>
        </w:tc>
        <w:tc>
          <w:tcPr>
            <w:tcW w:w="1242" w:type="pct"/>
            <w:vAlign w:val="center"/>
          </w:tcPr>
          <w:p w14:paraId="0F2650C6">
            <w:pPr>
              <w:pStyle w:val="47"/>
              <w:adjustRightInd w:val="0"/>
              <w:snapToGrid w:val="0"/>
              <w:rPr>
                <w:rFonts w:eastAsia="宋体"/>
              </w:rPr>
            </w:pPr>
            <w:r>
              <w:rPr>
                <w:rFonts w:eastAsia="宋体"/>
              </w:rPr>
              <w:t>市政电网提供，用电量2601.4万kWh/a</w:t>
            </w:r>
          </w:p>
        </w:tc>
        <w:tc>
          <w:tcPr>
            <w:tcW w:w="633" w:type="pct"/>
            <w:vAlign w:val="center"/>
          </w:tcPr>
          <w:p w14:paraId="5CC212D0">
            <w:pPr>
              <w:pStyle w:val="47"/>
              <w:adjustRightInd w:val="0"/>
              <w:snapToGrid w:val="0"/>
              <w:rPr>
                <w:rFonts w:eastAsia="宋体"/>
              </w:rPr>
            </w:pPr>
            <w:r>
              <w:rPr>
                <w:rFonts w:eastAsia="宋体"/>
              </w:rPr>
              <w:t>依托现有厂区已建电网</w:t>
            </w:r>
          </w:p>
        </w:tc>
      </w:tr>
      <w:tr w14:paraId="5D6DACB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restart"/>
            <w:vAlign w:val="center"/>
          </w:tcPr>
          <w:p w14:paraId="777EFB2C">
            <w:pPr>
              <w:pStyle w:val="47"/>
              <w:adjustRightInd w:val="0"/>
              <w:snapToGrid w:val="0"/>
              <w:rPr>
                <w:rFonts w:eastAsia="宋体"/>
              </w:rPr>
            </w:pPr>
            <w:r>
              <w:rPr>
                <w:rFonts w:eastAsia="宋体"/>
              </w:rPr>
              <w:t>环保工程</w:t>
            </w:r>
          </w:p>
        </w:tc>
        <w:tc>
          <w:tcPr>
            <w:tcW w:w="171" w:type="pct"/>
            <w:vMerge w:val="restart"/>
            <w:vAlign w:val="center"/>
          </w:tcPr>
          <w:p w14:paraId="7077B164">
            <w:pPr>
              <w:pStyle w:val="47"/>
              <w:adjustRightInd w:val="0"/>
              <w:snapToGrid w:val="0"/>
              <w:rPr>
                <w:rFonts w:eastAsia="宋体"/>
              </w:rPr>
            </w:pPr>
            <w:r>
              <w:rPr>
                <w:rFonts w:eastAsia="宋体"/>
              </w:rPr>
              <w:t>废气</w:t>
            </w:r>
          </w:p>
        </w:tc>
        <w:tc>
          <w:tcPr>
            <w:tcW w:w="488" w:type="pct"/>
            <w:gridSpan w:val="2"/>
            <w:vAlign w:val="center"/>
          </w:tcPr>
          <w:p w14:paraId="29B11C54">
            <w:pPr>
              <w:pStyle w:val="47"/>
              <w:adjustRightInd w:val="0"/>
              <w:snapToGrid w:val="0"/>
              <w:rPr>
                <w:rFonts w:eastAsia="宋体"/>
              </w:rPr>
            </w:pPr>
            <w:r>
              <w:rPr>
                <w:rFonts w:eastAsia="宋体"/>
              </w:rPr>
              <w:t>混炼废气</w:t>
            </w:r>
          </w:p>
        </w:tc>
        <w:tc>
          <w:tcPr>
            <w:tcW w:w="988" w:type="pct"/>
            <w:vMerge w:val="restart"/>
            <w:vAlign w:val="center"/>
          </w:tcPr>
          <w:p w14:paraId="0102BACB">
            <w:pPr>
              <w:pStyle w:val="47"/>
              <w:adjustRightInd w:val="0"/>
              <w:snapToGrid w:val="0"/>
              <w:rPr>
                <w:rFonts w:eastAsia="宋体"/>
              </w:rPr>
            </w:pPr>
            <w:r>
              <w:rPr>
                <w:rFonts w:eastAsia="宋体"/>
              </w:rPr>
              <w:t>3#车间：</w:t>
            </w:r>
            <w:r>
              <w:rPr>
                <w:rFonts w:hint="eastAsia" w:eastAsia="宋体"/>
              </w:rPr>
              <w:t>密炼粉尘、混炼废气、返炼废气、配料粉尘经</w:t>
            </w:r>
            <w:r>
              <w:rPr>
                <w:rFonts w:eastAsia="宋体"/>
              </w:rPr>
              <w:t>集气罩+布袋除尘器+活性炭吸附装置+15m排气筒（2#），风机风量28200m</w:t>
            </w:r>
            <w:r>
              <w:rPr>
                <w:rFonts w:eastAsia="宋体"/>
                <w:vertAlign w:val="superscript"/>
              </w:rPr>
              <w:t>3</w:t>
            </w:r>
            <w:r>
              <w:rPr>
                <w:rFonts w:eastAsia="宋体"/>
              </w:rPr>
              <w:t>/h；</w:t>
            </w:r>
          </w:p>
          <w:p w14:paraId="1BB61FCF">
            <w:pPr>
              <w:pStyle w:val="47"/>
              <w:adjustRightInd w:val="0"/>
              <w:snapToGrid w:val="0"/>
              <w:rPr>
                <w:rFonts w:eastAsia="宋体"/>
              </w:rPr>
            </w:pPr>
            <w:r>
              <w:rPr>
                <w:rFonts w:hint="eastAsia" w:eastAsia="宋体"/>
              </w:rPr>
              <w:t>密炼粉尘、混炼废气、返炼废气、配料粉尘经</w:t>
            </w:r>
            <w:r>
              <w:rPr>
                <w:rFonts w:eastAsia="宋体"/>
              </w:rPr>
              <w:t>集气罩+布袋除尘器+活性炭吸附装置+15m排气筒（7#），风机风量36000m</w:t>
            </w:r>
            <w:r>
              <w:rPr>
                <w:rFonts w:eastAsia="宋体"/>
                <w:vertAlign w:val="superscript"/>
              </w:rPr>
              <w:t>3</w:t>
            </w:r>
            <w:r>
              <w:rPr>
                <w:rFonts w:eastAsia="宋体"/>
              </w:rPr>
              <w:t>/h</w:t>
            </w:r>
          </w:p>
        </w:tc>
        <w:tc>
          <w:tcPr>
            <w:tcW w:w="1190" w:type="pct"/>
            <w:vMerge w:val="restart"/>
            <w:vAlign w:val="center"/>
          </w:tcPr>
          <w:p w14:paraId="4942462B">
            <w:pPr>
              <w:pStyle w:val="47"/>
              <w:adjustRightInd w:val="0"/>
              <w:snapToGrid w:val="0"/>
              <w:jc w:val="both"/>
              <w:rPr>
                <w:rFonts w:eastAsia="宋体"/>
              </w:rPr>
            </w:pPr>
            <w:r>
              <w:rPr>
                <w:rFonts w:eastAsia="宋体"/>
              </w:rPr>
              <w:t>3#车间，新增：</w:t>
            </w:r>
            <w:r>
              <w:rPr>
                <w:rFonts w:hint="eastAsia" w:eastAsia="宋体"/>
              </w:rPr>
              <w:t>密炼粉尘、混炼废气、返炼废气、配料粉尘、挤出废气经</w:t>
            </w:r>
            <w:r>
              <w:rPr>
                <w:rFonts w:eastAsia="宋体"/>
              </w:rPr>
              <w:t>集气罩+布袋除尘器+二级活性炭吸附装置+15m排气筒（8#），收集效率90%，风机风量20000m</w:t>
            </w:r>
            <w:r>
              <w:rPr>
                <w:rFonts w:eastAsia="宋体"/>
                <w:vertAlign w:val="superscript"/>
              </w:rPr>
              <w:t>3</w:t>
            </w:r>
            <w:r>
              <w:rPr>
                <w:rFonts w:eastAsia="宋体"/>
              </w:rPr>
              <w:t>/h</w:t>
            </w:r>
          </w:p>
        </w:tc>
        <w:tc>
          <w:tcPr>
            <w:tcW w:w="1242" w:type="pct"/>
            <w:vMerge w:val="restart"/>
            <w:vAlign w:val="center"/>
          </w:tcPr>
          <w:p w14:paraId="75B9E94E">
            <w:pPr>
              <w:pStyle w:val="47"/>
              <w:adjustRightInd w:val="0"/>
              <w:snapToGrid w:val="0"/>
              <w:rPr>
                <w:rFonts w:eastAsia="宋体"/>
              </w:rPr>
            </w:pPr>
            <w:r>
              <w:rPr>
                <w:rFonts w:hint="eastAsia" w:eastAsia="宋体"/>
              </w:rPr>
              <w:t>密炼粉尘、混炼废气、返炼废气、配料粉尘经</w:t>
            </w:r>
            <w:r>
              <w:rPr>
                <w:rFonts w:eastAsia="宋体"/>
              </w:rPr>
              <w:t>集气罩+布袋除尘器+二级活性炭吸附装置+15m排气筒（2#），风机风量28200m</w:t>
            </w:r>
            <w:r>
              <w:rPr>
                <w:rFonts w:eastAsia="宋体"/>
                <w:vertAlign w:val="superscript"/>
              </w:rPr>
              <w:t>3</w:t>
            </w:r>
            <w:r>
              <w:rPr>
                <w:rFonts w:eastAsia="宋体"/>
              </w:rPr>
              <w:t>/h；</w:t>
            </w:r>
          </w:p>
          <w:p w14:paraId="4ECF5FB8">
            <w:pPr>
              <w:pStyle w:val="47"/>
              <w:adjustRightInd w:val="0"/>
              <w:snapToGrid w:val="0"/>
              <w:rPr>
                <w:rFonts w:eastAsia="宋体"/>
              </w:rPr>
            </w:pPr>
            <w:r>
              <w:rPr>
                <w:rFonts w:hint="eastAsia" w:eastAsia="宋体"/>
              </w:rPr>
              <w:t>密炼粉尘、混炼废气、返炼废气、配料粉尘、挤出废气经</w:t>
            </w:r>
            <w:r>
              <w:rPr>
                <w:rFonts w:eastAsia="宋体"/>
              </w:rPr>
              <w:t>集气罩+布袋除尘器+二级活性炭吸附装置+15m排气筒（7#），风机风量36000m</w:t>
            </w:r>
            <w:r>
              <w:rPr>
                <w:rFonts w:eastAsia="宋体"/>
                <w:vertAlign w:val="superscript"/>
              </w:rPr>
              <w:t>3</w:t>
            </w:r>
            <w:r>
              <w:rPr>
                <w:rFonts w:eastAsia="宋体"/>
              </w:rPr>
              <w:t>/h；</w:t>
            </w:r>
          </w:p>
          <w:p w14:paraId="58F9707D">
            <w:pPr>
              <w:pStyle w:val="47"/>
              <w:adjustRightInd w:val="0"/>
              <w:snapToGrid w:val="0"/>
              <w:rPr>
                <w:rFonts w:eastAsia="宋体"/>
              </w:rPr>
            </w:pPr>
            <w:r>
              <w:rPr>
                <w:rFonts w:hint="eastAsia" w:eastAsia="宋体"/>
              </w:rPr>
              <w:t>密炼粉尘、混炼废气、返炼废气、配料粉尘、挤出废气经</w:t>
            </w:r>
            <w:r>
              <w:rPr>
                <w:rFonts w:eastAsia="宋体"/>
              </w:rPr>
              <w:t>集气罩+布袋除尘器+二级活性炭吸附装置+15m排气筒（8#），收集效率90%，风机风量20000m</w:t>
            </w:r>
            <w:r>
              <w:rPr>
                <w:rFonts w:eastAsia="宋体"/>
                <w:vertAlign w:val="superscript"/>
              </w:rPr>
              <w:t>3</w:t>
            </w:r>
            <w:r>
              <w:rPr>
                <w:rFonts w:eastAsia="宋体"/>
              </w:rPr>
              <w:t>/h</w:t>
            </w:r>
          </w:p>
        </w:tc>
        <w:tc>
          <w:tcPr>
            <w:tcW w:w="633" w:type="pct"/>
            <w:vMerge w:val="restart"/>
            <w:vAlign w:val="center"/>
          </w:tcPr>
          <w:p w14:paraId="3EC5E109">
            <w:pPr>
              <w:pStyle w:val="47"/>
              <w:adjustRightInd w:val="0"/>
              <w:snapToGrid w:val="0"/>
              <w:rPr>
                <w:rFonts w:eastAsia="宋体"/>
              </w:rPr>
            </w:pPr>
            <w:r>
              <w:rPr>
                <w:rFonts w:eastAsia="宋体"/>
              </w:rPr>
              <w:t>新建一套处理装置、一根排气筒；</w:t>
            </w:r>
          </w:p>
          <w:p w14:paraId="6B3386E0">
            <w:pPr>
              <w:pStyle w:val="47"/>
              <w:adjustRightInd w:val="0"/>
              <w:snapToGrid w:val="0"/>
              <w:rPr>
                <w:rFonts w:eastAsia="宋体"/>
              </w:rPr>
            </w:pPr>
            <w:r>
              <w:rPr>
                <w:rFonts w:eastAsia="宋体"/>
              </w:rPr>
              <w:t>将现有一级活性炭吸附装置提升改造为二级活性炭吸附装置</w:t>
            </w:r>
            <w:r>
              <w:rPr>
                <w:rFonts w:hint="eastAsia" w:eastAsia="宋体"/>
              </w:rPr>
              <w:t>，</w:t>
            </w:r>
            <w:r>
              <w:rPr>
                <w:rFonts w:eastAsia="宋体"/>
              </w:rPr>
              <w:t>原有4#车间</w:t>
            </w:r>
            <w:r>
              <w:rPr>
                <w:rFonts w:hint="eastAsia" w:eastAsia="宋体"/>
              </w:rPr>
              <w:t>的挤出预成型工序</w:t>
            </w:r>
            <w:r>
              <w:rPr>
                <w:rFonts w:eastAsia="宋体"/>
              </w:rPr>
              <w:t>生产设备移至</w:t>
            </w:r>
            <w:r>
              <w:rPr>
                <w:rFonts w:hint="eastAsia" w:eastAsia="宋体"/>
              </w:rPr>
              <w:t>3#车间</w:t>
            </w:r>
          </w:p>
        </w:tc>
      </w:tr>
      <w:tr w14:paraId="6A24369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514246F9">
            <w:pPr>
              <w:pStyle w:val="47"/>
              <w:adjustRightInd w:val="0"/>
              <w:snapToGrid w:val="0"/>
              <w:rPr>
                <w:rFonts w:eastAsia="宋体"/>
              </w:rPr>
            </w:pPr>
          </w:p>
        </w:tc>
        <w:tc>
          <w:tcPr>
            <w:tcW w:w="171" w:type="pct"/>
            <w:vMerge w:val="continue"/>
            <w:vAlign w:val="center"/>
          </w:tcPr>
          <w:p w14:paraId="41C0F054">
            <w:pPr>
              <w:pStyle w:val="47"/>
              <w:adjustRightInd w:val="0"/>
              <w:snapToGrid w:val="0"/>
              <w:rPr>
                <w:rFonts w:eastAsia="宋体"/>
              </w:rPr>
            </w:pPr>
          </w:p>
        </w:tc>
        <w:tc>
          <w:tcPr>
            <w:tcW w:w="488" w:type="pct"/>
            <w:gridSpan w:val="2"/>
            <w:vAlign w:val="center"/>
          </w:tcPr>
          <w:p w14:paraId="3A315837">
            <w:pPr>
              <w:pStyle w:val="47"/>
              <w:adjustRightInd w:val="0"/>
              <w:snapToGrid w:val="0"/>
              <w:rPr>
                <w:rFonts w:eastAsia="宋体"/>
              </w:rPr>
            </w:pPr>
            <w:r>
              <w:rPr>
                <w:rFonts w:eastAsia="宋体"/>
              </w:rPr>
              <w:t>密炼废气</w:t>
            </w:r>
          </w:p>
        </w:tc>
        <w:tc>
          <w:tcPr>
            <w:tcW w:w="988" w:type="pct"/>
            <w:vMerge w:val="continue"/>
            <w:vAlign w:val="center"/>
          </w:tcPr>
          <w:p w14:paraId="3A43A51A">
            <w:pPr>
              <w:pStyle w:val="47"/>
              <w:adjustRightInd w:val="0"/>
              <w:snapToGrid w:val="0"/>
              <w:rPr>
                <w:rFonts w:eastAsia="宋体"/>
              </w:rPr>
            </w:pPr>
          </w:p>
        </w:tc>
        <w:tc>
          <w:tcPr>
            <w:tcW w:w="1190" w:type="pct"/>
            <w:vMerge w:val="continue"/>
            <w:vAlign w:val="center"/>
          </w:tcPr>
          <w:p w14:paraId="120562F4">
            <w:pPr>
              <w:pStyle w:val="47"/>
              <w:adjustRightInd w:val="0"/>
              <w:snapToGrid w:val="0"/>
              <w:rPr>
                <w:rFonts w:eastAsia="宋体"/>
              </w:rPr>
            </w:pPr>
          </w:p>
        </w:tc>
        <w:tc>
          <w:tcPr>
            <w:tcW w:w="1242" w:type="pct"/>
            <w:vMerge w:val="continue"/>
            <w:vAlign w:val="center"/>
          </w:tcPr>
          <w:p w14:paraId="65618C9A">
            <w:pPr>
              <w:pStyle w:val="47"/>
              <w:adjustRightInd w:val="0"/>
              <w:snapToGrid w:val="0"/>
              <w:rPr>
                <w:rFonts w:eastAsia="宋体"/>
              </w:rPr>
            </w:pPr>
          </w:p>
        </w:tc>
        <w:tc>
          <w:tcPr>
            <w:tcW w:w="633" w:type="pct"/>
            <w:vMerge w:val="continue"/>
            <w:vAlign w:val="center"/>
          </w:tcPr>
          <w:p w14:paraId="241EBC8E">
            <w:pPr>
              <w:pStyle w:val="47"/>
              <w:adjustRightInd w:val="0"/>
              <w:snapToGrid w:val="0"/>
              <w:rPr>
                <w:rFonts w:eastAsia="宋体"/>
              </w:rPr>
            </w:pPr>
          </w:p>
        </w:tc>
      </w:tr>
      <w:tr w14:paraId="4BD1F65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26CD7670">
            <w:pPr>
              <w:pStyle w:val="47"/>
              <w:adjustRightInd w:val="0"/>
              <w:snapToGrid w:val="0"/>
              <w:rPr>
                <w:rFonts w:eastAsia="宋体"/>
              </w:rPr>
            </w:pPr>
          </w:p>
        </w:tc>
        <w:tc>
          <w:tcPr>
            <w:tcW w:w="171" w:type="pct"/>
            <w:vMerge w:val="continue"/>
            <w:vAlign w:val="center"/>
          </w:tcPr>
          <w:p w14:paraId="05765E47">
            <w:pPr>
              <w:pStyle w:val="47"/>
              <w:adjustRightInd w:val="0"/>
              <w:snapToGrid w:val="0"/>
              <w:rPr>
                <w:rFonts w:eastAsia="宋体"/>
              </w:rPr>
            </w:pPr>
          </w:p>
        </w:tc>
        <w:tc>
          <w:tcPr>
            <w:tcW w:w="488" w:type="pct"/>
            <w:gridSpan w:val="2"/>
            <w:vAlign w:val="center"/>
          </w:tcPr>
          <w:p w14:paraId="2FBED05D">
            <w:pPr>
              <w:pStyle w:val="47"/>
              <w:adjustRightInd w:val="0"/>
              <w:snapToGrid w:val="0"/>
              <w:rPr>
                <w:rFonts w:eastAsia="宋体"/>
              </w:rPr>
            </w:pPr>
            <w:r>
              <w:rPr>
                <w:rFonts w:eastAsia="宋体"/>
              </w:rPr>
              <w:t>配料粉尘</w:t>
            </w:r>
          </w:p>
        </w:tc>
        <w:tc>
          <w:tcPr>
            <w:tcW w:w="988" w:type="pct"/>
            <w:vMerge w:val="continue"/>
            <w:vAlign w:val="center"/>
          </w:tcPr>
          <w:p w14:paraId="394F7208">
            <w:pPr>
              <w:pStyle w:val="47"/>
              <w:adjustRightInd w:val="0"/>
              <w:snapToGrid w:val="0"/>
              <w:rPr>
                <w:rFonts w:eastAsia="宋体"/>
              </w:rPr>
            </w:pPr>
          </w:p>
        </w:tc>
        <w:tc>
          <w:tcPr>
            <w:tcW w:w="1190" w:type="pct"/>
            <w:vMerge w:val="continue"/>
            <w:vAlign w:val="center"/>
          </w:tcPr>
          <w:p w14:paraId="34EB902B">
            <w:pPr>
              <w:pStyle w:val="47"/>
              <w:adjustRightInd w:val="0"/>
              <w:snapToGrid w:val="0"/>
              <w:rPr>
                <w:rFonts w:eastAsia="宋体"/>
              </w:rPr>
            </w:pPr>
          </w:p>
        </w:tc>
        <w:tc>
          <w:tcPr>
            <w:tcW w:w="1242" w:type="pct"/>
            <w:vMerge w:val="continue"/>
            <w:vAlign w:val="center"/>
          </w:tcPr>
          <w:p w14:paraId="7A3228FB">
            <w:pPr>
              <w:pStyle w:val="47"/>
              <w:adjustRightInd w:val="0"/>
              <w:snapToGrid w:val="0"/>
              <w:rPr>
                <w:rFonts w:eastAsia="宋体"/>
              </w:rPr>
            </w:pPr>
          </w:p>
        </w:tc>
        <w:tc>
          <w:tcPr>
            <w:tcW w:w="633" w:type="pct"/>
            <w:vMerge w:val="continue"/>
            <w:vAlign w:val="center"/>
          </w:tcPr>
          <w:p w14:paraId="31A0E504">
            <w:pPr>
              <w:pStyle w:val="47"/>
              <w:adjustRightInd w:val="0"/>
              <w:snapToGrid w:val="0"/>
              <w:rPr>
                <w:rFonts w:eastAsia="宋体"/>
              </w:rPr>
            </w:pPr>
          </w:p>
        </w:tc>
      </w:tr>
      <w:tr w14:paraId="7F510E9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23B6FDDD">
            <w:pPr>
              <w:pStyle w:val="47"/>
              <w:adjustRightInd w:val="0"/>
              <w:snapToGrid w:val="0"/>
              <w:rPr>
                <w:rFonts w:eastAsia="宋体"/>
              </w:rPr>
            </w:pPr>
          </w:p>
        </w:tc>
        <w:tc>
          <w:tcPr>
            <w:tcW w:w="171" w:type="pct"/>
            <w:vMerge w:val="continue"/>
            <w:vAlign w:val="center"/>
          </w:tcPr>
          <w:p w14:paraId="2E25670D">
            <w:pPr>
              <w:pStyle w:val="47"/>
              <w:adjustRightInd w:val="0"/>
              <w:snapToGrid w:val="0"/>
              <w:rPr>
                <w:rFonts w:eastAsia="宋体"/>
              </w:rPr>
            </w:pPr>
          </w:p>
        </w:tc>
        <w:tc>
          <w:tcPr>
            <w:tcW w:w="488" w:type="pct"/>
            <w:gridSpan w:val="2"/>
            <w:vAlign w:val="center"/>
          </w:tcPr>
          <w:p w14:paraId="577117E5">
            <w:pPr>
              <w:pStyle w:val="47"/>
              <w:adjustRightInd w:val="0"/>
              <w:snapToGrid w:val="0"/>
              <w:rPr>
                <w:rFonts w:eastAsia="宋体"/>
              </w:rPr>
            </w:pPr>
            <w:r>
              <w:rPr>
                <w:rFonts w:eastAsia="宋体"/>
              </w:rPr>
              <w:t>返炼废气</w:t>
            </w:r>
          </w:p>
        </w:tc>
        <w:tc>
          <w:tcPr>
            <w:tcW w:w="988" w:type="pct"/>
            <w:vMerge w:val="continue"/>
            <w:vAlign w:val="center"/>
          </w:tcPr>
          <w:p w14:paraId="62412885">
            <w:pPr>
              <w:pStyle w:val="47"/>
              <w:adjustRightInd w:val="0"/>
              <w:snapToGrid w:val="0"/>
              <w:rPr>
                <w:rFonts w:eastAsia="宋体"/>
              </w:rPr>
            </w:pPr>
          </w:p>
        </w:tc>
        <w:tc>
          <w:tcPr>
            <w:tcW w:w="1190" w:type="pct"/>
            <w:vMerge w:val="continue"/>
            <w:vAlign w:val="center"/>
          </w:tcPr>
          <w:p w14:paraId="4E445BA4">
            <w:pPr>
              <w:pStyle w:val="47"/>
              <w:adjustRightInd w:val="0"/>
              <w:snapToGrid w:val="0"/>
              <w:rPr>
                <w:rFonts w:eastAsia="宋体"/>
              </w:rPr>
            </w:pPr>
          </w:p>
        </w:tc>
        <w:tc>
          <w:tcPr>
            <w:tcW w:w="1242" w:type="pct"/>
            <w:vMerge w:val="continue"/>
            <w:vAlign w:val="center"/>
          </w:tcPr>
          <w:p w14:paraId="2F77CD60">
            <w:pPr>
              <w:pStyle w:val="47"/>
              <w:adjustRightInd w:val="0"/>
              <w:snapToGrid w:val="0"/>
              <w:rPr>
                <w:rFonts w:eastAsia="宋体"/>
              </w:rPr>
            </w:pPr>
          </w:p>
        </w:tc>
        <w:tc>
          <w:tcPr>
            <w:tcW w:w="633" w:type="pct"/>
            <w:vMerge w:val="continue"/>
            <w:vAlign w:val="center"/>
          </w:tcPr>
          <w:p w14:paraId="53A84294">
            <w:pPr>
              <w:pStyle w:val="47"/>
              <w:adjustRightInd w:val="0"/>
              <w:snapToGrid w:val="0"/>
              <w:rPr>
                <w:rFonts w:eastAsia="宋体"/>
              </w:rPr>
            </w:pPr>
          </w:p>
        </w:tc>
      </w:tr>
      <w:tr w14:paraId="70A86AA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Merge w:val="continue"/>
            <w:vAlign w:val="center"/>
          </w:tcPr>
          <w:p w14:paraId="0A817C29">
            <w:pPr>
              <w:pStyle w:val="47"/>
              <w:adjustRightInd w:val="0"/>
              <w:snapToGrid w:val="0"/>
              <w:rPr>
                <w:rFonts w:eastAsia="宋体"/>
              </w:rPr>
            </w:pPr>
          </w:p>
        </w:tc>
        <w:tc>
          <w:tcPr>
            <w:tcW w:w="171" w:type="pct"/>
            <w:vMerge w:val="continue"/>
            <w:vAlign w:val="center"/>
          </w:tcPr>
          <w:p w14:paraId="51265DB7">
            <w:pPr>
              <w:pStyle w:val="47"/>
              <w:adjustRightInd w:val="0"/>
              <w:snapToGrid w:val="0"/>
              <w:rPr>
                <w:rFonts w:eastAsia="宋体"/>
              </w:rPr>
            </w:pPr>
          </w:p>
        </w:tc>
        <w:tc>
          <w:tcPr>
            <w:tcW w:w="488" w:type="pct"/>
            <w:gridSpan w:val="2"/>
            <w:vAlign w:val="center"/>
          </w:tcPr>
          <w:p w14:paraId="346AD146">
            <w:pPr>
              <w:pStyle w:val="47"/>
              <w:adjustRightInd w:val="0"/>
              <w:snapToGrid w:val="0"/>
              <w:rPr>
                <w:rFonts w:eastAsia="宋体"/>
              </w:rPr>
            </w:pPr>
            <w:r>
              <w:rPr>
                <w:rFonts w:eastAsia="宋体"/>
              </w:rPr>
              <w:t>挤出废气</w:t>
            </w:r>
          </w:p>
        </w:tc>
        <w:tc>
          <w:tcPr>
            <w:tcW w:w="988" w:type="pct"/>
            <w:vMerge w:val="continue"/>
            <w:vAlign w:val="center"/>
          </w:tcPr>
          <w:p w14:paraId="21172EA1">
            <w:pPr>
              <w:pStyle w:val="47"/>
              <w:adjustRightInd w:val="0"/>
              <w:snapToGrid w:val="0"/>
              <w:rPr>
                <w:rFonts w:eastAsia="宋体"/>
              </w:rPr>
            </w:pPr>
          </w:p>
        </w:tc>
        <w:tc>
          <w:tcPr>
            <w:tcW w:w="1190" w:type="pct"/>
            <w:vMerge w:val="continue"/>
            <w:vAlign w:val="center"/>
          </w:tcPr>
          <w:p w14:paraId="1F8074DA">
            <w:pPr>
              <w:pStyle w:val="47"/>
              <w:adjustRightInd w:val="0"/>
              <w:snapToGrid w:val="0"/>
              <w:rPr>
                <w:rFonts w:eastAsia="宋体"/>
              </w:rPr>
            </w:pPr>
          </w:p>
        </w:tc>
        <w:tc>
          <w:tcPr>
            <w:tcW w:w="1242" w:type="pct"/>
            <w:vMerge w:val="continue"/>
            <w:vAlign w:val="center"/>
          </w:tcPr>
          <w:p w14:paraId="0FFAD7BE">
            <w:pPr>
              <w:pStyle w:val="47"/>
              <w:adjustRightInd w:val="0"/>
              <w:snapToGrid w:val="0"/>
              <w:rPr>
                <w:rFonts w:eastAsia="宋体"/>
              </w:rPr>
            </w:pPr>
          </w:p>
        </w:tc>
        <w:tc>
          <w:tcPr>
            <w:tcW w:w="633" w:type="pct"/>
            <w:vMerge w:val="continue"/>
            <w:vAlign w:val="center"/>
          </w:tcPr>
          <w:p w14:paraId="071A4430">
            <w:pPr>
              <w:pStyle w:val="47"/>
              <w:adjustRightInd w:val="0"/>
              <w:snapToGrid w:val="0"/>
              <w:rPr>
                <w:rFonts w:eastAsia="宋体"/>
              </w:rPr>
            </w:pPr>
          </w:p>
        </w:tc>
      </w:tr>
      <w:tr w14:paraId="35239E5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0B177A93">
            <w:pPr>
              <w:pStyle w:val="47"/>
              <w:adjustRightInd w:val="0"/>
              <w:snapToGrid w:val="0"/>
              <w:rPr>
                <w:rFonts w:eastAsia="宋体"/>
              </w:rPr>
            </w:pPr>
          </w:p>
        </w:tc>
        <w:tc>
          <w:tcPr>
            <w:tcW w:w="171" w:type="pct"/>
            <w:vMerge w:val="continue"/>
            <w:vAlign w:val="center"/>
          </w:tcPr>
          <w:p w14:paraId="72A61F81">
            <w:pPr>
              <w:pStyle w:val="47"/>
              <w:adjustRightInd w:val="0"/>
              <w:snapToGrid w:val="0"/>
              <w:rPr>
                <w:rFonts w:eastAsia="宋体"/>
              </w:rPr>
            </w:pPr>
          </w:p>
        </w:tc>
        <w:tc>
          <w:tcPr>
            <w:tcW w:w="488" w:type="pct"/>
            <w:gridSpan w:val="2"/>
            <w:tcBorders>
              <w:right w:val="single" w:color="auto" w:sz="4" w:space="0"/>
            </w:tcBorders>
            <w:vAlign w:val="center"/>
          </w:tcPr>
          <w:p w14:paraId="3D0DC6ED">
            <w:pPr>
              <w:pStyle w:val="47"/>
              <w:adjustRightInd w:val="0"/>
              <w:snapToGrid w:val="0"/>
              <w:rPr>
                <w:rFonts w:eastAsia="宋体"/>
              </w:rPr>
            </w:pPr>
            <w:r>
              <w:rPr>
                <w:rFonts w:eastAsia="宋体"/>
              </w:rPr>
              <w:t>电泳后烘干废气</w:t>
            </w:r>
          </w:p>
        </w:tc>
        <w:tc>
          <w:tcPr>
            <w:tcW w:w="988" w:type="pct"/>
            <w:vMerge w:val="restart"/>
            <w:tcBorders>
              <w:left w:val="single" w:color="auto" w:sz="4" w:space="0"/>
            </w:tcBorders>
            <w:vAlign w:val="center"/>
          </w:tcPr>
          <w:p w14:paraId="4867C0A5">
            <w:pPr>
              <w:pStyle w:val="47"/>
              <w:adjustRightInd w:val="0"/>
              <w:snapToGrid w:val="0"/>
              <w:rPr>
                <w:rFonts w:eastAsia="宋体"/>
              </w:rPr>
            </w:pPr>
            <w:r>
              <w:rPr>
                <w:rFonts w:eastAsia="宋体"/>
              </w:rPr>
              <w:t>2#车间：电泳后烘干废气经管道抽送、喷浸涂胶废气经集气罩捕集以及干燥废气经管道捕集一并收集后经活性炭吸附装置+15m排气筒（6#），风机风量50000m</w:t>
            </w:r>
            <w:r>
              <w:rPr>
                <w:rFonts w:eastAsia="宋体"/>
                <w:vertAlign w:val="superscript"/>
              </w:rPr>
              <w:t>3</w:t>
            </w:r>
            <w:r>
              <w:rPr>
                <w:rFonts w:eastAsia="宋体"/>
              </w:rPr>
              <w:t>/h</w:t>
            </w:r>
          </w:p>
        </w:tc>
        <w:tc>
          <w:tcPr>
            <w:tcW w:w="1190" w:type="pct"/>
            <w:vMerge w:val="restart"/>
            <w:vAlign w:val="center"/>
          </w:tcPr>
          <w:p w14:paraId="2D7F24C6">
            <w:pPr>
              <w:pStyle w:val="47"/>
              <w:adjustRightInd w:val="0"/>
              <w:snapToGrid w:val="0"/>
              <w:rPr>
                <w:rFonts w:eastAsia="宋体"/>
              </w:rPr>
            </w:pPr>
            <w:r>
              <w:rPr>
                <w:rFonts w:eastAsia="宋体"/>
              </w:rPr>
              <w:t>2#车间，新增：电泳后烘干废气经管道抽送至二级活性炭吸附装置+15m排气筒（9#），风机风量22000m</w:t>
            </w:r>
            <w:r>
              <w:rPr>
                <w:rFonts w:eastAsia="宋体"/>
                <w:vertAlign w:val="superscript"/>
              </w:rPr>
              <w:t>3</w:t>
            </w:r>
            <w:r>
              <w:rPr>
                <w:rFonts w:eastAsia="宋体"/>
              </w:rPr>
              <w:t>/h</w:t>
            </w:r>
          </w:p>
          <w:p w14:paraId="79F14500">
            <w:pPr>
              <w:pStyle w:val="47"/>
              <w:adjustRightInd w:val="0"/>
              <w:snapToGrid w:val="0"/>
              <w:rPr>
                <w:rFonts w:eastAsia="宋体"/>
              </w:rPr>
            </w:pPr>
            <w:r>
              <w:rPr>
                <w:rFonts w:eastAsia="宋体"/>
              </w:rPr>
              <w:t>4#车间：喷浸涂胶废气经集气罩捕集以及干燥废气经管道捕集一并收集后经二级活性炭吸附装置+15m排气筒（6#），风机风量</w:t>
            </w:r>
            <w:r>
              <w:rPr>
                <w:rFonts w:hint="eastAsia" w:eastAsia="宋体"/>
              </w:rPr>
              <w:t>500</w:t>
            </w:r>
            <w:r>
              <w:rPr>
                <w:rFonts w:eastAsia="宋体"/>
              </w:rPr>
              <w:t>00m</w:t>
            </w:r>
            <w:r>
              <w:rPr>
                <w:rFonts w:eastAsia="宋体"/>
                <w:vertAlign w:val="superscript"/>
              </w:rPr>
              <w:t>3</w:t>
            </w:r>
            <w:r>
              <w:rPr>
                <w:rFonts w:eastAsia="宋体"/>
              </w:rPr>
              <w:t>/h</w:t>
            </w:r>
          </w:p>
        </w:tc>
        <w:tc>
          <w:tcPr>
            <w:tcW w:w="1242" w:type="pct"/>
            <w:vMerge w:val="restart"/>
            <w:vAlign w:val="center"/>
          </w:tcPr>
          <w:p w14:paraId="568B510E">
            <w:pPr>
              <w:pStyle w:val="47"/>
              <w:adjustRightInd w:val="0"/>
              <w:snapToGrid w:val="0"/>
              <w:rPr>
                <w:rFonts w:eastAsia="宋体"/>
              </w:rPr>
            </w:pPr>
            <w:r>
              <w:rPr>
                <w:rFonts w:eastAsia="宋体"/>
              </w:rPr>
              <w:t>2#车间：电泳后烘干废气经管道抽送至二级活性炭吸附装置+15m排气筒（9#），风机风量22000m</w:t>
            </w:r>
            <w:r>
              <w:rPr>
                <w:rFonts w:eastAsia="宋体"/>
                <w:vertAlign w:val="superscript"/>
              </w:rPr>
              <w:t>3</w:t>
            </w:r>
            <w:r>
              <w:rPr>
                <w:rFonts w:eastAsia="宋体"/>
              </w:rPr>
              <w:t>/h</w:t>
            </w:r>
          </w:p>
          <w:p w14:paraId="75A28E2B">
            <w:pPr>
              <w:pStyle w:val="47"/>
              <w:adjustRightInd w:val="0"/>
              <w:snapToGrid w:val="0"/>
              <w:rPr>
                <w:rFonts w:eastAsia="宋体"/>
              </w:rPr>
            </w:pPr>
            <w:r>
              <w:rPr>
                <w:rFonts w:eastAsia="宋体"/>
              </w:rPr>
              <w:t>4#车间：喷浸涂胶废气经集气罩捕集以及干燥废气经管道捕集一并收集后经二级活性炭吸附装置+15m排气筒（6#），风机风量</w:t>
            </w:r>
            <w:r>
              <w:rPr>
                <w:rFonts w:hint="eastAsia" w:eastAsia="宋体"/>
              </w:rPr>
              <w:t>50</w:t>
            </w:r>
            <w:r>
              <w:rPr>
                <w:rFonts w:eastAsia="宋体"/>
              </w:rPr>
              <w:t>000m</w:t>
            </w:r>
            <w:r>
              <w:rPr>
                <w:rFonts w:eastAsia="宋体"/>
                <w:vertAlign w:val="superscript"/>
              </w:rPr>
              <w:t>3</w:t>
            </w:r>
            <w:r>
              <w:rPr>
                <w:rFonts w:eastAsia="宋体"/>
              </w:rPr>
              <w:t>/h</w:t>
            </w:r>
          </w:p>
        </w:tc>
        <w:tc>
          <w:tcPr>
            <w:tcW w:w="667" w:type="pct"/>
            <w:gridSpan w:val="2"/>
            <w:vMerge w:val="restart"/>
            <w:vAlign w:val="center"/>
          </w:tcPr>
          <w:p w14:paraId="4970C196">
            <w:pPr>
              <w:pStyle w:val="47"/>
              <w:adjustRightInd w:val="0"/>
              <w:snapToGrid w:val="0"/>
              <w:rPr>
                <w:rFonts w:eastAsia="宋体"/>
              </w:rPr>
            </w:pPr>
            <w:r>
              <w:rPr>
                <w:rFonts w:eastAsia="宋体"/>
              </w:rPr>
              <w:t>原有喷涂浸胶工序生产设备移至4#车间，故2#车间电泳后烘干废气单独新置一套废气处理装置。</w:t>
            </w:r>
          </w:p>
        </w:tc>
      </w:tr>
      <w:tr w14:paraId="21C4805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3C972759">
            <w:pPr>
              <w:pStyle w:val="47"/>
              <w:adjustRightInd w:val="0"/>
              <w:snapToGrid w:val="0"/>
              <w:rPr>
                <w:rFonts w:eastAsia="宋体"/>
              </w:rPr>
            </w:pPr>
          </w:p>
        </w:tc>
        <w:tc>
          <w:tcPr>
            <w:tcW w:w="171" w:type="pct"/>
            <w:vMerge w:val="continue"/>
            <w:vAlign w:val="center"/>
          </w:tcPr>
          <w:p w14:paraId="28AD5EDC">
            <w:pPr>
              <w:pStyle w:val="47"/>
              <w:adjustRightInd w:val="0"/>
              <w:snapToGrid w:val="0"/>
              <w:rPr>
                <w:rFonts w:eastAsia="宋体"/>
              </w:rPr>
            </w:pPr>
          </w:p>
        </w:tc>
        <w:tc>
          <w:tcPr>
            <w:tcW w:w="488" w:type="pct"/>
            <w:gridSpan w:val="2"/>
            <w:tcBorders>
              <w:right w:val="single" w:color="auto" w:sz="4" w:space="0"/>
            </w:tcBorders>
            <w:vAlign w:val="center"/>
          </w:tcPr>
          <w:p w14:paraId="3AF32368">
            <w:pPr>
              <w:pStyle w:val="47"/>
              <w:adjustRightInd w:val="0"/>
              <w:snapToGrid w:val="0"/>
              <w:rPr>
                <w:rFonts w:eastAsia="宋体"/>
              </w:rPr>
            </w:pPr>
            <w:r>
              <w:rPr>
                <w:rFonts w:eastAsia="宋体"/>
              </w:rPr>
              <w:t>喷浸涂胶废气</w:t>
            </w:r>
          </w:p>
        </w:tc>
        <w:tc>
          <w:tcPr>
            <w:tcW w:w="988" w:type="pct"/>
            <w:vMerge w:val="continue"/>
            <w:tcBorders>
              <w:left w:val="single" w:color="auto" w:sz="4" w:space="0"/>
            </w:tcBorders>
            <w:vAlign w:val="center"/>
          </w:tcPr>
          <w:p w14:paraId="3213562E">
            <w:pPr>
              <w:pStyle w:val="47"/>
              <w:adjustRightInd w:val="0"/>
              <w:snapToGrid w:val="0"/>
              <w:rPr>
                <w:rFonts w:eastAsia="宋体"/>
              </w:rPr>
            </w:pPr>
          </w:p>
        </w:tc>
        <w:tc>
          <w:tcPr>
            <w:tcW w:w="1190" w:type="pct"/>
            <w:vMerge w:val="continue"/>
            <w:vAlign w:val="center"/>
          </w:tcPr>
          <w:p w14:paraId="001B7FEE">
            <w:pPr>
              <w:pStyle w:val="47"/>
              <w:adjustRightInd w:val="0"/>
              <w:snapToGrid w:val="0"/>
              <w:rPr>
                <w:rFonts w:eastAsia="宋体"/>
              </w:rPr>
            </w:pPr>
          </w:p>
        </w:tc>
        <w:tc>
          <w:tcPr>
            <w:tcW w:w="1242" w:type="pct"/>
            <w:vMerge w:val="continue"/>
            <w:vAlign w:val="center"/>
          </w:tcPr>
          <w:p w14:paraId="0A3C22F1">
            <w:pPr>
              <w:pStyle w:val="47"/>
              <w:adjustRightInd w:val="0"/>
              <w:snapToGrid w:val="0"/>
              <w:rPr>
                <w:rFonts w:eastAsia="宋体"/>
              </w:rPr>
            </w:pPr>
          </w:p>
        </w:tc>
        <w:tc>
          <w:tcPr>
            <w:tcW w:w="667" w:type="pct"/>
            <w:gridSpan w:val="2"/>
            <w:vMerge w:val="continue"/>
            <w:vAlign w:val="center"/>
          </w:tcPr>
          <w:p w14:paraId="47587B4E">
            <w:pPr>
              <w:pStyle w:val="47"/>
              <w:adjustRightInd w:val="0"/>
              <w:snapToGrid w:val="0"/>
              <w:rPr>
                <w:rFonts w:eastAsia="宋体"/>
              </w:rPr>
            </w:pPr>
          </w:p>
        </w:tc>
      </w:tr>
      <w:tr w14:paraId="6A11D89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62BFE37E">
            <w:pPr>
              <w:pStyle w:val="47"/>
              <w:adjustRightInd w:val="0"/>
              <w:snapToGrid w:val="0"/>
              <w:rPr>
                <w:rFonts w:eastAsia="宋体"/>
              </w:rPr>
            </w:pPr>
          </w:p>
        </w:tc>
        <w:tc>
          <w:tcPr>
            <w:tcW w:w="171" w:type="pct"/>
            <w:vMerge w:val="continue"/>
            <w:vAlign w:val="center"/>
          </w:tcPr>
          <w:p w14:paraId="1A7CE9DD">
            <w:pPr>
              <w:pStyle w:val="47"/>
              <w:adjustRightInd w:val="0"/>
              <w:snapToGrid w:val="0"/>
              <w:rPr>
                <w:rFonts w:eastAsia="宋体"/>
              </w:rPr>
            </w:pPr>
          </w:p>
        </w:tc>
        <w:tc>
          <w:tcPr>
            <w:tcW w:w="488" w:type="pct"/>
            <w:gridSpan w:val="2"/>
            <w:tcBorders>
              <w:right w:val="single" w:color="auto" w:sz="4" w:space="0"/>
            </w:tcBorders>
            <w:vAlign w:val="center"/>
          </w:tcPr>
          <w:p w14:paraId="5A324D26">
            <w:pPr>
              <w:pStyle w:val="47"/>
              <w:adjustRightInd w:val="0"/>
              <w:snapToGrid w:val="0"/>
              <w:rPr>
                <w:rFonts w:eastAsia="宋体"/>
              </w:rPr>
            </w:pPr>
            <w:r>
              <w:rPr>
                <w:rFonts w:eastAsia="宋体"/>
              </w:rPr>
              <w:t>涂胶后干燥废气</w:t>
            </w:r>
          </w:p>
        </w:tc>
        <w:tc>
          <w:tcPr>
            <w:tcW w:w="988" w:type="pct"/>
            <w:vMerge w:val="continue"/>
            <w:tcBorders>
              <w:left w:val="single" w:color="auto" w:sz="4" w:space="0"/>
            </w:tcBorders>
            <w:vAlign w:val="center"/>
          </w:tcPr>
          <w:p w14:paraId="5BD31645">
            <w:pPr>
              <w:pStyle w:val="47"/>
              <w:adjustRightInd w:val="0"/>
              <w:snapToGrid w:val="0"/>
              <w:rPr>
                <w:rFonts w:eastAsia="宋体"/>
              </w:rPr>
            </w:pPr>
          </w:p>
        </w:tc>
        <w:tc>
          <w:tcPr>
            <w:tcW w:w="1190" w:type="pct"/>
            <w:vMerge w:val="continue"/>
            <w:vAlign w:val="center"/>
          </w:tcPr>
          <w:p w14:paraId="5A5E6589">
            <w:pPr>
              <w:pStyle w:val="47"/>
              <w:adjustRightInd w:val="0"/>
              <w:snapToGrid w:val="0"/>
              <w:rPr>
                <w:rFonts w:eastAsia="宋体"/>
              </w:rPr>
            </w:pPr>
          </w:p>
        </w:tc>
        <w:tc>
          <w:tcPr>
            <w:tcW w:w="1242" w:type="pct"/>
            <w:vMerge w:val="continue"/>
            <w:vAlign w:val="center"/>
          </w:tcPr>
          <w:p w14:paraId="454D63B5">
            <w:pPr>
              <w:pStyle w:val="47"/>
              <w:adjustRightInd w:val="0"/>
              <w:snapToGrid w:val="0"/>
              <w:rPr>
                <w:rFonts w:eastAsia="宋体"/>
              </w:rPr>
            </w:pPr>
          </w:p>
        </w:tc>
        <w:tc>
          <w:tcPr>
            <w:tcW w:w="667" w:type="pct"/>
            <w:gridSpan w:val="2"/>
            <w:vMerge w:val="continue"/>
            <w:vAlign w:val="center"/>
          </w:tcPr>
          <w:p w14:paraId="237D19FA">
            <w:pPr>
              <w:pStyle w:val="47"/>
              <w:adjustRightInd w:val="0"/>
              <w:snapToGrid w:val="0"/>
              <w:rPr>
                <w:rFonts w:eastAsia="宋体"/>
              </w:rPr>
            </w:pPr>
          </w:p>
        </w:tc>
      </w:tr>
      <w:tr w14:paraId="2C05707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29DDFEFD">
            <w:pPr>
              <w:pStyle w:val="47"/>
              <w:adjustRightInd w:val="0"/>
              <w:snapToGrid w:val="0"/>
              <w:rPr>
                <w:rFonts w:eastAsia="宋体"/>
              </w:rPr>
            </w:pPr>
          </w:p>
        </w:tc>
        <w:tc>
          <w:tcPr>
            <w:tcW w:w="171" w:type="pct"/>
            <w:vMerge w:val="continue"/>
            <w:vAlign w:val="center"/>
          </w:tcPr>
          <w:p w14:paraId="133E567E">
            <w:pPr>
              <w:pStyle w:val="47"/>
              <w:adjustRightInd w:val="0"/>
              <w:snapToGrid w:val="0"/>
              <w:rPr>
                <w:rFonts w:eastAsia="宋体"/>
              </w:rPr>
            </w:pPr>
          </w:p>
        </w:tc>
        <w:tc>
          <w:tcPr>
            <w:tcW w:w="488" w:type="pct"/>
            <w:gridSpan w:val="2"/>
            <w:tcBorders>
              <w:right w:val="single" w:color="auto" w:sz="4" w:space="0"/>
            </w:tcBorders>
            <w:vAlign w:val="center"/>
          </w:tcPr>
          <w:p w14:paraId="40E9FDBD">
            <w:pPr>
              <w:pStyle w:val="47"/>
              <w:adjustRightInd w:val="0"/>
              <w:snapToGrid w:val="0"/>
              <w:rPr>
                <w:rFonts w:eastAsia="宋体"/>
              </w:rPr>
            </w:pPr>
            <w:r>
              <w:rPr>
                <w:rFonts w:eastAsia="宋体"/>
              </w:rPr>
              <w:t>硫化废气</w:t>
            </w:r>
          </w:p>
        </w:tc>
        <w:tc>
          <w:tcPr>
            <w:tcW w:w="988" w:type="pct"/>
            <w:vMerge w:val="restart"/>
            <w:tcBorders>
              <w:left w:val="single" w:color="auto" w:sz="4" w:space="0"/>
            </w:tcBorders>
            <w:vAlign w:val="center"/>
          </w:tcPr>
          <w:p w14:paraId="25FB1381">
            <w:pPr>
              <w:pStyle w:val="47"/>
              <w:adjustRightInd w:val="0"/>
              <w:snapToGrid w:val="0"/>
              <w:rPr>
                <w:rFonts w:eastAsia="宋体"/>
              </w:rPr>
            </w:pPr>
            <w:r>
              <w:rPr>
                <w:rFonts w:eastAsia="宋体"/>
              </w:rPr>
              <w:t>1#车间：二次硫化废气经集气罩收集进一套碱喷淋+活性炭吸附装置（18000m</w:t>
            </w:r>
            <w:r>
              <w:rPr>
                <w:rFonts w:eastAsia="宋体"/>
                <w:vertAlign w:val="superscript"/>
              </w:rPr>
              <w:t>3</w:t>
            </w:r>
            <w:r>
              <w:rPr>
                <w:rFonts w:eastAsia="宋体"/>
              </w:rPr>
              <w:t>/h），硫化废气、挤出废气经集气罩收集进一套碱喷淋+活性炭吸附装置（45000m</w:t>
            </w:r>
            <w:r>
              <w:rPr>
                <w:rFonts w:eastAsia="宋体"/>
                <w:vertAlign w:val="superscript"/>
              </w:rPr>
              <w:t>3</w:t>
            </w:r>
            <w:r>
              <w:rPr>
                <w:rFonts w:eastAsia="宋体"/>
              </w:rPr>
              <w:t>/h），处理后废气合并至15m高1#排气筒排放</w:t>
            </w:r>
          </w:p>
        </w:tc>
        <w:tc>
          <w:tcPr>
            <w:tcW w:w="1190" w:type="pct"/>
            <w:vMerge w:val="restart"/>
            <w:vAlign w:val="center"/>
          </w:tcPr>
          <w:p w14:paraId="1284DD4C">
            <w:pPr>
              <w:pStyle w:val="47"/>
              <w:adjustRightInd w:val="0"/>
              <w:snapToGrid w:val="0"/>
              <w:rPr>
                <w:rFonts w:eastAsia="宋体"/>
              </w:rPr>
            </w:pPr>
            <w:r>
              <w:rPr>
                <w:rFonts w:eastAsia="宋体"/>
              </w:rPr>
              <w:t>依托现有，新增集气罩，将活性炭装置提升为二级活性炭吸附装置</w:t>
            </w:r>
          </w:p>
        </w:tc>
        <w:tc>
          <w:tcPr>
            <w:tcW w:w="1242" w:type="pct"/>
            <w:vMerge w:val="restart"/>
            <w:vAlign w:val="center"/>
          </w:tcPr>
          <w:p w14:paraId="3697D887">
            <w:pPr>
              <w:pStyle w:val="47"/>
              <w:adjustRightInd w:val="0"/>
              <w:snapToGrid w:val="0"/>
              <w:rPr>
                <w:rFonts w:eastAsia="宋体"/>
              </w:rPr>
            </w:pPr>
            <w:r>
              <w:rPr>
                <w:rFonts w:eastAsia="宋体"/>
              </w:rPr>
              <w:t>二次硫化废气经集气罩收集进一套碱喷淋+二级活性炭吸附装置（18000m</w:t>
            </w:r>
            <w:r>
              <w:rPr>
                <w:rFonts w:eastAsia="宋体"/>
                <w:vertAlign w:val="superscript"/>
              </w:rPr>
              <w:t>3</w:t>
            </w:r>
            <w:r>
              <w:rPr>
                <w:rFonts w:eastAsia="宋体"/>
              </w:rPr>
              <w:t>/h），硫化废气、挤出废气经集气罩收集进一套碱喷淋+二级活性炭吸附装置（45000m</w:t>
            </w:r>
            <w:r>
              <w:rPr>
                <w:rFonts w:eastAsia="宋体"/>
                <w:vertAlign w:val="superscript"/>
              </w:rPr>
              <w:t>3</w:t>
            </w:r>
            <w:r>
              <w:rPr>
                <w:rFonts w:eastAsia="宋体"/>
              </w:rPr>
              <w:t>/h），处理后废气合并至15m高1#排气筒排放</w:t>
            </w:r>
          </w:p>
        </w:tc>
        <w:tc>
          <w:tcPr>
            <w:tcW w:w="667" w:type="pct"/>
            <w:gridSpan w:val="2"/>
            <w:vMerge w:val="restart"/>
            <w:vAlign w:val="center"/>
          </w:tcPr>
          <w:p w14:paraId="1884B385">
            <w:pPr>
              <w:pStyle w:val="47"/>
              <w:adjustRightInd w:val="0"/>
              <w:snapToGrid w:val="0"/>
              <w:rPr>
                <w:rFonts w:eastAsia="宋体"/>
              </w:rPr>
            </w:pPr>
            <w:r>
              <w:rPr>
                <w:rFonts w:eastAsia="宋体"/>
              </w:rPr>
              <w:t>将现有一级活性炭吸附装置提升改造为二级活性炭吸附装置</w:t>
            </w:r>
          </w:p>
        </w:tc>
      </w:tr>
      <w:tr w14:paraId="4B5EAD7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7CA39CB8">
            <w:pPr>
              <w:pStyle w:val="47"/>
              <w:adjustRightInd w:val="0"/>
              <w:snapToGrid w:val="0"/>
              <w:rPr>
                <w:rFonts w:eastAsia="宋体"/>
              </w:rPr>
            </w:pPr>
          </w:p>
        </w:tc>
        <w:tc>
          <w:tcPr>
            <w:tcW w:w="171" w:type="pct"/>
            <w:vMerge w:val="continue"/>
            <w:vAlign w:val="center"/>
          </w:tcPr>
          <w:p w14:paraId="1D8AC4EE">
            <w:pPr>
              <w:pStyle w:val="47"/>
              <w:adjustRightInd w:val="0"/>
              <w:snapToGrid w:val="0"/>
              <w:rPr>
                <w:rFonts w:eastAsia="宋体"/>
              </w:rPr>
            </w:pPr>
          </w:p>
        </w:tc>
        <w:tc>
          <w:tcPr>
            <w:tcW w:w="488" w:type="pct"/>
            <w:gridSpan w:val="2"/>
            <w:tcBorders>
              <w:right w:val="single" w:color="auto" w:sz="4" w:space="0"/>
            </w:tcBorders>
            <w:vAlign w:val="center"/>
          </w:tcPr>
          <w:p w14:paraId="2ABFE000">
            <w:pPr>
              <w:pStyle w:val="47"/>
              <w:adjustRightInd w:val="0"/>
              <w:snapToGrid w:val="0"/>
              <w:rPr>
                <w:rFonts w:eastAsia="宋体"/>
              </w:rPr>
            </w:pPr>
            <w:r>
              <w:rPr>
                <w:rFonts w:eastAsia="宋体"/>
              </w:rPr>
              <w:t>二次硫化废气</w:t>
            </w:r>
          </w:p>
        </w:tc>
        <w:tc>
          <w:tcPr>
            <w:tcW w:w="988" w:type="pct"/>
            <w:vMerge w:val="continue"/>
            <w:tcBorders>
              <w:left w:val="single" w:color="auto" w:sz="4" w:space="0"/>
            </w:tcBorders>
            <w:vAlign w:val="center"/>
          </w:tcPr>
          <w:p w14:paraId="0FEFCFCC">
            <w:pPr>
              <w:pStyle w:val="47"/>
              <w:adjustRightInd w:val="0"/>
              <w:snapToGrid w:val="0"/>
              <w:rPr>
                <w:rFonts w:eastAsia="宋体"/>
              </w:rPr>
            </w:pPr>
          </w:p>
        </w:tc>
        <w:tc>
          <w:tcPr>
            <w:tcW w:w="1190" w:type="pct"/>
            <w:vMerge w:val="continue"/>
            <w:vAlign w:val="center"/>
          </w:tcPr>
          <w:p w14:paraId="3E0C1AEC">
            <w:pPr>
              <w:pStyle w:val="47"/>
              <w:adjustRightInd w:val="0"/>
              <w:snapToGrid w:val="0"/>
              <w:rPr>
                <w:rFonts w:eastAsia="宋体"/>
              </w:rPr>
            </w:pPr>
          </w:p>
        </w:tc>
        <w:tc>
          <w:tcPr>
            <w:tcW w:w="1242" w:type="pct"/>
            <w:vMerge w:val="continue"/>
            <w:vAlign w:val="center"/>
          </w:tcPr>
          <w:p w14:paraId="0B4F807A">
            <w:pPr>
              <w:pStyle w:val="47"/>
              <w:adjustRightInd w:val="0"/>
              <w:snapToGrid w:val="0"/>
              <w:rPr>
                <w:rFonts w:eastAsia="宋体"/>
              </w:rPr>
            </w:pPr>
          </w:p>
        </w:tc>
        <w:tc>
          <w:tcPr>
            <w:tcW w:w="667" w:type="pct"/>
            <w:gridSpan w:val="2"/>
            <w:vMerge w:val="continue"/>
            <w:vAlign w:val="center"/>
          </w:tcPr>
          <w:p w14:paraId="28ADAD94">
            <w:pPr>
              <w:pStyle w:val="47"/>
              <w:adjustRightInd w:val="0"/>
              <w:snapToGrid w:val="0"/>
              <w:rPr>
                <w:rFonts w:eastAsia="宋体"/>
              </w:rPr>
            </w:pPr>
          </w:p>
        </w:tc>
      </w:tr>
      <w:tr w14:paraId="70B1AD0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2597C80A">
            <w:pPr>
              <w:pStyle w:val="47"/>
              <w:adjustRightInd w:val="0"/>
              <w:snapToGrid w:val="0"/>
              <w:rPr>
                <w:rFonts w:eastAsia="宋体"/>
              </w:rPr>
            </w:pPr>
          </w:p>
        </w:tc>
        <w:tc>
          <w:tcPr>
            <w:tcW w:w="171" w:type="pct"/>
            <w:vMerge w:val="continue"/>
            <w:vAlign w:val="center"/>
          </w:tcPr>
          <w:p w14:paraId="0B965D32">
            <w:pPr>
              <w:pStyle w:val="47"/>
              <w:adjustRightInd w:val="0"/>
              <w:snapToGrid w:val="0"/>
              <w:rPr>
                <w:rFonts w:eastAsia="宋体"/>
              </w:rPr>
            </w:pPr>
          </w:p>
        </w:tc>
        <w:tc>
          <w:tcPr>
            <w:tcW w:w="488" w:type="pct"/>
            <w:gridSpan w:val="2"/>
            <w:tcBorders>
              <w:right w:val="single" w:color="auto" w:sz="4" w:space="0"/>
            </w:tcBorders>
            <w:vAlign w:val="center"/>
          </w:tcPr>
          <w:p w14:paraId="4353E9A8">
            <w:pPr>
              <w:pStyle w:val="47"/>
              <w:adjustRightInd w:val="0"/>
              <w:snapToGrid w:val="0"/>
              <w:rPr>
                <w:rFonts w:eastAsia="宋体"/>
              </w:rPr>
            </w:pPr>
            <w:r>
              <w:rPr>
                <w:rFonts w:eastAsia="宋体"/>
              </w:rPr>
              <w:t>挤出废气</w:t>
            </w:r>
          </w:p>
        </w:tc>
        <w:tc>
          <w:tcPr>
            <w:tcW w:w="988" w:type="pct"/>
            <w:vMerge w:val="continue"/>
            <w:tcBorders>
              <w:left w:val="single" w:color="auto" w:sz="4" w:space="0"/>
            </w:tcBorders>
            <w:vAlign w:val="center"/>
          </w:tcPr>
          <w:p w14:paraId="1ED44B52">
            <w:pPr>
              <w:pStyle w:val="47"/>
              <w:adjustRightInd w:val="0"/>
              <w:snapToGrid w:val="0"/>
              <w:rPr>
                <w:rFonts w:eastAsia="宋体"/>
              </w:rPr>
            </w:pPr>
          </w:p>
        </w:tc>
        <w:tc>
          <w:tcPr>
            <w:tcW w:w="1190" w:type="pct"/>
            <w:vMerge w:val="continue"/>
            <w:vAlign w:val="center"/>
          </w:tcPr>
          <w:p w14:paraId="3AB9C02C">
            <w:pPr>
              <w:pStyle w:val="47"/>
              <w:adjustRightInd w:val="0"/>
              <w:snapToGrid w:val="0"/>
              <w:rPr>
                <w:rFonts w:eastAsia="宋体"/>
              </w:rPr>
            </w:pPr>
          </w:p>
        </w:tc>
        <w:tc>
          <w:tcPr>
            <w:tcW w:w="1242" w:type="pct"/>
            <w:vMerge w:val="continue"/>
            <w:vAlign w:val="center"/>
          </w:tcPr>
          <w:p w14:paraId="0B15DED6">
            <w:pPr>
              <w:pStyle w:val="47"/>
              <w:adjustRightInd w:val="0"/>
              <w:snapToGrid w:val="0"/>
              <w:rPr>
                <w:rFonts w:eastAsia="宋体"/>
              </w:rPr>
            </w:pPr>
          </w:p>
        </w:tc>
        <w:tc>
          <w:tcPr>
            <w:tcW w:w="667" w:type="pct"/>
            <w:gridSpan w:val="2"/>
            <w:vMerge w:val="continue"/>
            <w:vAlign w:val="center"/>
          </w:tcPr>
          <w:p w14:paraId="39A1DC38">
            <w:pPr>
              <w:pStyle w:val="47"/>
              <w:adjustRightInd w:val="0"/>
              <w:snapToGrid w:val="0"/>
              <w:rPr>
                <w:rFonts w:eastAsia="宋体"/>
              </w:rPr>
            </w:pPr>
          </w:p>
        </w:tc>
      </w:tr>
      <w:tr w14:paraId="3C115FC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6D91B30D">
            <w:pPr>
              <w:pStyle w:val="47"/>
              <w:adjustRightInd w:val="0"/>
              <w:snapToGrid w:val="0"/>
              <w:rPr>
                <w:rFonts w:eastAsia="宋体"/>
              </w:rPr>
            </w:pPr>
          </w:p>
        </w:tc>
        <w:tc>
          <w:tcPr>
            <w:tcW w:w="171" w:type="pct"/>
            <w:vMerge w:val="continue"/>
            <w:vAlign w:val="center"/>
          </w:tcPr>
          <w:p w14:paraId="5AE37B5A">
            <w:pPr>
              <w:pStyle w:val="47"/>
              <w:adjustRightInd w:val="0"/>
              <w:snapToGrid w:val="0"/>
              <w:rPr>
                <w:rFonts w:eastAsia="宋体"/>
              </w:rPr>
            </w:pPr>
          </w:p>
        </w:tc>
        <w:tc>
          <w:tcPr>
            <w:tcW w:w="488" w:type="pct"/>
            <w:gridSpan w:val="2"/>
            <w:tcBorders>
              <w:right w:val="single" w:color="auto" w:sz="4" w:space="0"/>
            </w:tcBorders>
            <w:vAlign w:val="center"/>
          </w:tcPr>
          <w:p w14:paraId="3A0969FE">
            <w:pPr>
              <w:pStyle w:val="47"/>
              <w:adjustRightInd w:val="0"/>
              <w:snapToGrid w:val="0"/>
              <w:rPr>
                <w:rFonts w:eastAsia="宋体"/>
              </w:rPr>
            </w:pPr>
            <w:r>
              <w:rPr>
                <w:rFonts w:eastAsia="宋体"/>
              </w:rPr>
              <w:t>二次硫化废气</w:t>
            </w:r>
          </w:p>
        </w:tc>
        <w:tc>
          <w:tcPr>
            <w:tcW w:w="988" w:type="pct"/>
            <w:vMerge w:val="restart"/>
            <w:tcBorders>
              <w:left w:val="single" w:color="auto" w:sz="4" w:space="0"/>
            </w:tcBorders>
            <w:vAlign w:val="center"/>
          </w:tcPr>
          <w:p w14:paraId="42FB095B">
            <w:pPr>
              <w:pStyle w:val="47"/>
              <w:adjustRightInd w:val="0"/>
              <w:snapToGrid w:val="0"/>
              <w:rPr>
                <w:rFonts w:eastAsia="宋体"/>
              </w:rPr>
            </w:pPr>
            <w:r>
              <w:rPr>
                <w:rFonts w:eastAsia="宋体"/>
              </w:rPr>
              <w:t>4#车间：二次硫化废气经集气罩收集进一套碱喷淋+活性炭吸附装置（18000m</w:t>
            </w:r>
            <w:r>
              <w:rPr>
                <w:rFonts w:eastAsia="宋体"/>
                <w:vertAlign w:val="superscript"/>
              </w:rPr>
              <w:t>3</w:t>
            </w:r>
            <w:r>
              <w:rPr>
                <w:rFonts w:eastAsia="宋体"/>
              </w:rPr>
              <w:t>/h），</w:t>
            </w:r>
            <w:r>
              <w:rPr>
                <w:rFonts w:hint="eastAsia" w:eastAsia="宋体"/>
              </w:rPr>
              <w:t>挤出、</w:t>
            </w:r>
            <w:r>
              <w:rPr>
                <w:rFonts w:eastAsia="宋体"/>
              </w:rPr>
              <w:t>硫化废气经集气罩收集进一套碱喷淋+活性炭吸附装置（45000m</w:t>
            </w:r>
            <w:r>
              <w:rPr>
                <w:rFonts w:eastAsia="宋体"/>
                <w:vertAlign w:val="superscript"/>
              </w:rPr>
              <w:t>3</w:t>
            </w:r>
            <w:r>
              <w:rPr>
                <w:rFonts w:eastAsia="宋体"/>
              </w:rPr>
              <w:t>/h），处理后废气合并至15m高3#排气筒排放</w:t>
            </w:r>
          </w:p>
        </w:tc>
        <w:tc>
          <w:tcPr>
            <w:tcW w:w="1190" w:type="pct"/>
            <w:vMerge w:val="restart"/>
            <w:vAlign w:val="center"/>
          </w:tcPr>
          <w:p w14:paraId="64715FEF">
            <w:pPr>
              <w:pStyle w:val="47"/>
              <w:adjustRightInd w:val="0"/>
              <w:snapToGrid w:val="0"/>
              <w:rPr>
                <w:rFonts w:eastAsia="宋体"/>
              </w:rPr>
            </w:pPr>
            <w:r>
              <w:rPr>
                <w:rFonts w:eastAsia="宋体"/>
              </w:rPr>
              <w:t>依托现有，新增集气罩，将活性炭装置提升为二级活性炭吸附装置</w:t>
            </w:r>
            <w:r>
              <w:rPr>
                <w:rFonts w:hint="eastAsia" w:eastAsia="宋体"/>
              </w:rPr>
              <w:t>。</w:t>
            </w:r>
            <w:r>
              <w:rPr>
                <w:rFonts w:eastAsia="宋体"/>
              </w:rPr>
              <w:t>二次硫化废气经集气罩收集进一套碱喷淋+活性炭吸附装置（18000m</w:t>
            </w:r>
            <w:r>
              <w:rPr>
                <w:rFonts w:eastAsia="宋体"/>
                <w:vertAlign w:val="superscript"/>
              </w:rPr>
              <w:t>3</w:t>
            </w:r>
            <w:r>
              <w:rPr>
                <w:rFonts w:eastAsia="宋体"/>
              </w:rPr>
              <w:t>/h），硫化废气经集气罩收集进一套碱喷淋+活性炭吸附装置（45000m</w:t>
            </w:r>
            <w:r>
              <w:rPr>
                <w:rFonts w:eastAsia="宋体"/>
                <w:vertAlign w:val="superscript"/>
              </w:rPr>
              <w:t>3</w:t>
            </w:r>
            <w:r>
              <w:rPr>
                <w:rFonts w:eastAsia="宋体"/>
              </w:rPr>
              <w:t>/h），处理后废气合并至15m高3#排气筒排放</w:t>
            </w:r>
          </w:p>
        </w:tc>
        <w:tc>
          <w:tcPr>
            <w:tcW w:w="1242" w:type="pct"/>
            <w:vMerge w:val="restart"/>
            <w:vAlign w:val="center"/>
          </w:tcPr>
          <w:p w14:paraId="17E2AD54">
            <w:pPr>
              <w:pStyle w:val="47"/>
              <w:adjustRightInd w:val="0"/>
              <w:snapToGrid w:val="0"/>
              <w:rPr>
                <w:rFonts w:eastAsia="宋体"/>
              </w:rPr>
            </w:pPr>
            <w:r>
              <w:rPr>
                <w:rFonts w:eastAsia="宋体"/>
              </w:rPr>
              <w:t>二次硫化废气经集气罩收集进一套碱喷淋+二级活性炭吸附装置（18000m</w:t>
            </w:r>
            <w:r>
              <w:rPr>
                <w:rFonts w:eastAsia="宋体"/>
                <w:vertAlign w:val="superscript"/>
              </w:rPr>
              <w:t>3</w:t>
            </w:r>
            <w:r>
              <w:rPr>
                <w:rFonts w:eastAsia="宋体"/>
              </w:rPr>
              <w:t>/h），硫化废气经集气罩收集进一套碱喷淋+二级活性炭吸附装置（45000m</w:t>
            </w:r>
            <w:r>
              <w:rPr>
                <w:rFonts w:eastAsia="宋体"/>
                <w:vertAlign w:val="superscript"/>
              </w:rPr>
              <w:t>3</w:t>
            </w:r>
            <w:r>
              <w:rPr>
                <w:rFonts w:eastAsia="宋体"/>
              </w:rPr>
              <w:t>/h），处理后废气合并至15m高3#排气筒排放</w:t>
            </w:r>
          </w:p>
        </w:tc>
        <w:tc>
          <w:tcPr>
            <w:tcW w:w="667" w:type="pct"/>
            <w:gridSpan w:val="2"/>
            <w:vMerge w:val="restart"/>
            <w:vAlign w:val="center"/>
          </w:tcPr>
          <w:p w14:paraId="1F7DEAC2">
            <w:pPr>
              <w:pStyle w:val="47"/>
              <w:adjustRightInd w:val="0"/>
              <w:snapToGrid w:val="0"/>
              <w:rPr>
                <w:rFonts w:eastAsia="宋体"/>
              </w:rPr>
            </w:pPr>
            <w:r>
              <w:rPr>
                <w:rFonts w:eastAsia="宋体"/>
              </w:rPr>
              <w:t>将现有一级活性炭吸附装置提升改造为二级活性炭吸附装置</w:t>
            </w:r>
            <w:r>
              <w:rPr>
                <w:rFonts w:hint="eastAsia" w:eastAsia="宋体"/>
              </w:rPr>
              <w:t>，</w:t>
            </w:r>
            <w:r>
              <w:rPr>
                <w:rFonts w:eastAsia="宋体"/>
              </w:rPr>
              <w:t>原有4#车间</w:t>
            </w:r>
            <w:r>
              <w:rPr>
                <w:rFonts w:hint="eastAsia" w:eastAsia="宋体"/>
              </w:rPr>
              <w:t>的挤出预成型工序</w:t>
            </w:r>
            <w:r>
              <w:rPr>
                <w:rFonts w:eastAsia="宋体"/>
              </w:rPr>
              <w:t>生产设备移至</w:t>
            </w:r>
            <w:r>
              <w:rPr>
                <w:rFonts w:hint="eastAsia" w:eastAsia="宋体"/>
              </w:rPr>
              <w:t>3#车间</w:t>
            </w:r>
          </w:p>
        </w:tc>
      </w:tr>
      <w:tr w14:paraId="59885F2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1A688D01">
            <w:pPr>
              <w:pStyle w:val="47"/>
              <w:adjustRightInd w:val="0"/>
              <w:snapToGrid w:val="0"/>
              <w:rPr>
                <w:rFonts w:eastAsia="宋体"/>
              </w:rPr>
            </w:pPr>
          </w:p>
        </w:tc>
        <w:tc>
          <w:tcPr>
            <w:tcW w:w="171" w:type="pct"/>
            <w:vMerge w:val="continue"/>
            <w:vAlign w:val="center"/>
          </w:tcPr>
          <w:p w14:paraId="430ADC7E">
            <w:pPr>
              <w:pStyle w:val="47"/>
              <w:adjustRightInd w:val="0"/>
              <w:snapToGrid w:val="0"/>
              <w:rPr>
                <w:rFonts w:eastAsia="宋体"/>
              </w:rPr>
            </w:pPr>
          </w:p>
        </w:tc>
        <w:tc>
          <w:tcPr>
            <w:tcW w:w="488" w:type="pct"/>
            <w:gridSpan w:val="2"/>
            <w:tcBorders>
              <w:right w:val="single" w:color="auto" w:sz="4" w:space="0"/>
            </w:tcBorders>
            <w:vAlign w:val="center"/>
          </w:tcPr>
          <w:p w14:paraId="2C7B89D8">
            <w:pPr>
              <w:pStyle w:val="47"/>
              <w:adjustRightInd w:val="0"/>
              <w:snapToGrid w:val="0"/>
              <w:rPr>
                <w:rFonts w:eastAsia="宋体"/>
              </w:rPr>
            </w:pPr>
            <w:r>
              <w:rPr>
                <w:rFonts w:eastAsia="宋体"/>
              </w:rPr>
              <w:t>硫化废气</w:t>
            </w:r>
          </w:p>
        </w:tc>
        <w:tc>
          <w:tcPr>
            <w:tcW w:w="988" w:type="pct"/>
            <w:vMerge w:val="continue"/>
            <w:tcBorders>
              <w:left w:val="single" w:color="auto" w:sz="4" w:space="0"/>
            </w:tcBorders>
            <w:vAlign w:val="center"/>
          </w:tcPr>
          <w:p w14:paraId="68B798FA">
            <w:pPr>
              <w:pStyle w:val="47"/>
              <w:adjustRightInd w:val="0"/>
              <w:snapToGrid w:val="0"/>
              <w:rPr>
                <w:rFonts w:eastAsia="宋体"/>
              </w:rPr>
            </w:pPr>
          </w:p>
        </w:tc>
        <w:tc>
          <w:tcPr>
            <w:tcW w:w="1190" w:type="pct"/>
            <w:vMerge w:val="continue"/>
            <w:vAlign w:val="center"/>
          </w:tcPr>
          <w:p w14:paraId="5E7A46A6">
            <w:pPr>
              <w:pStyle w:val="47"/>
              <w:adjustRightInd w:val="0"/>
              <w:snapToGrid w:val="0"/>
              <w:rPr>
                <w:rFonts w:eastAsia="宋体"/>
              </w:rPr>
            </w:pPr>
          </w:p>
        </w:tc>
        <w:tc>
          <w:tcPr>
            <w:tcW w:w="1242" w:type="pct"/>
            <w:vMerge w:val="continue"/>
            <w:vAlign w:val="center"/>
          </w:tcPr>
          <w:p w14:paraId="232A9BE5">
            <w:pPr>
              <w:pStyle w:val="47"/>
              <w:adjustRightInd w:val="0"/>
              <w:snapToGrid w:val="0"/>
              <w:rPr>
                <w:rFonts w:eastAsia="宋体"/>
              </w:rPr>
            </w:pPr>
          </w:p>
        </w:tc>
        <w:tc>
          <w:tcPr>
            <w:tcW w:w="667" w:type="pct"/>
            <w:gridSpan w:val="2"/>
            <w:vMerge w:val="continue"/>
            <w:vAlign w:val="center"/>
          </w:tcPr>
          <w:p w14:paraId="768AFFC5">
            <w:pPr>
              <w:pStyle w:val="47"/>
              <w:adjustRightInd w:val="0"/>
              <w:snapToGrid w:val="0"/>
              <w:rPr>
                <w:rFonts w:eastAsia="宋体"/>
              </w:rPr>
            </w:pPr>
          </w:p>
        </w:tc>
      </w:tr>
      <w:tr w14:paraId="5649CF6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29963A06">
            <w:pPr>
              <w:pStyle w:val="47"/>
              <w:adjustRightInd w:val="0"/>
              <w:snapToGrid w:val="0"/>
              <w:rPr>
                <w:rFonts w:eastAsia="宋体"/>
              </w:rPr>
            </w:pPr>
          </w:p>
        </w:tc>
        <w:tc>
          <w:tcPr>
            <w:tcW w:w="171" w:type="pct"/>
            <w:vMerge w:val="continue"/>
            <w:vAlign w:val="center"/>
          </w:tcPr>
          <w:p w14:paraId="20D5EFC7">
            <w:pPr>
              <w:pStyle w:val="47"/>
              <w:adjustRightInd w:val="0"/>
              <w:snapToGrid w:val="0"/>
              <w:rPr>
                <w:rFonts w:eastAsia="宋体"/>
              </w:rPr>
            </w:pPr>
          </w:p>
        </w:tc>
        <w:tc>
          <w:tcPr>
            <w:tcW w:w="488" w:type="pct"/>
            <w:gridSpan w:val="2"/>
            <w:tcBorders>
              <w:right w:val="single" w:color="auto" w:sz="4" w:space="0"/>
            </w:tcBorders>
            <w:vAlign w:val="center"/>
          </w:tcPr>
          <w:p w14:paraId="4EEDF58F">
            <w:pPr>
              <w:pStyle w:val="47"/>
              <w:adjustRightInd w:val="0"/>
              <w:snapToGrid w:val="0"/>
              <w:rPr>
                <w:rFonts w:eastAsia="宋体"/>
              </w:rPr>
            </w:pPr>
            <w:r>
              <w:rPr>
                <w:rFonts w:eastAsia="宋体"/>
              </w:rPr>
              <w:t>喷砂粉尘</w:t>
            </w:r>
          </w:p>
        </w:tc>
        <w:tc>
          <w:tcPr>
            <w:tcW w:w="988" w:type="pct"/>
            <w:vMerge w:val="restart"/>
            <w:tcBorders>
              <w:left w:val="single" w:color="auto" w:sz="4" w:space="0"/>
            </w:tcBorders>
            <w:vAlign w:val="center"/>
          </w:tcPr>
          <w:p w14:paraId="00453059">
            <w:pPr>
              <w:pStyle w:val="47"/>
              <w:adjustRightInd w:val="0"/>
              <w:snapToGrid w:val="0"/>
              <w:rPr>
                <w:rFonts w:eastAsia="宋体"/>
              </w:rPr>
            </w:pPr>
            <w:r>
              <w:rPr>
                <w:rFonts w:hint="eastAsia" w:eastAsia="宋体"/>
              </w:rPr>
              <w:t>2#车间：</w:t>
            </w:r>
            <w:r>
              <w:rPr>
                <w:rFonts w:eastAsia="宋体"/>
              </w:rPr>
              <w:t>抛丸机/喷砂机各自带滤芯脉冲反吹除尘装置一套，分别处理后共用15m高5#排气筒排放</w:t>
            </w:r>
          </w:p>
        </w:tc>
        <w:tc>
          <w:tcPr>
            <w:tcW w:w="1190" w:type="pct"/>
            <w:vMerge w:val="restart"/>
            <w:vAlign w:val="center"/>
          </w:tcPr>
          <w:p w14:paraId="5E2CDF69">
            <w:pPr>
              <w:pStyle w:val="47"/>
              <w:adjustRightInd w:val="0"/>
              <w:snapToGrid w:val="0"/>
              <w:rPr>
                <w:rFonts w:eastAsia="宋体"/>
              </w:rPr>
            </w:pPr>
            <w:r>
              <w:rPr>
                <w:rFonts w:eastAsia="宋体"/>
              </w:rPr>
              <w:t>/</w:t>
            </w:r>
          </w:p>
        </w:tc>
        <w:tc>
          <w:tcPr>
            <w:tcW w:w="1242" w:type="pct"/>
            <w:vMerge w:val="restart"/>
            <w:vAlign w:val="center"/>
          </w:tcPr>
          <w:p w14:paraId="550919A2">
            <w:pPr>
              <w:pStyle w:val="47"/>
              <w:adjustRightInd w:val="0"/>
              <w:snapToGrid w:val="0"/>
              <w:rPr>
                <w:rFonts w:eastAsia="宋体"/>
              </w:rPr>
            </w:pPr>
            <w:r>
              <w:rPr>
                <w:rFonts w:eastAsia="宋体"/>
              </w:rPr>
              <w:t>抛丸机/喷砂机各自带滤芯脉冲反吹除尘装置一套，分别处理后共用15m高5#排气筒排放</w:t>
            </w:r>
          </w:p>
        </w:tc>
        <w:tc>
          <w:tcPr>
            <w:tcW w:w="667" w:type="pct"/>
            <w:gridSpan w:val="2"/>
            <w:vMerge w:val="restart"/>
            <w:vAlign w:val="center"/>
          </w:tcPr>
          <w:p w14:paraId="1D7F4837">
            <w:pPr>
              <w:pStyle w:val="47"/>
              <w:adjustRightInd w:val="0"/>
              <w:snapToGrid w:val="0"/>
              <w:rPr>
                <w:rFonts w:eastAsia="宋体"/>
              </w:rPr>
            </w:pPr>
            <w:r>
              <w:rPr>
                <w:rFonts w:eastAsia="宋体"/>
              </w:rPr>
              <w:t>利用现有</w:t>
            </w:r>
          </w:p>
        </w:tc>
      </w:tr>
      <w:tr w14:paraId="54C72D0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2EBA2AFF">
            <w:pPr>
              <w:pStyle w:val="47"/>
              <w:adjustRightInd w:val="0"/>
              <w:snapToGrid w:val="0"/>
              <w:rPr>
                <w:rFonts w:eastAsia="宋体"/>
              </w:rPr>
            </w:pPr>
          </w:p>
        </w:tc>
        <w:tc>
          <w:tcPr>
            <w:tcW w:w="171" w:type="pct"/>
            <w:vMerge w:val="continue"/>
            <w:vAlign w:val="center"/>
          </w:tcPr>
          <w:p w14:paraId="21A57635">
            <w:pPr>
              <w:pStyle w:val="47"/>
              <w:adjustRightInd w:val="0"/>
              <w:snapToGrid w:val="0"/>
              <w:rPr>
                <w:rFonts w:eastAsia="宋体"/>
              </w:rPr>
            </w:pPr>
          </w:p>
        </w:tc>
        <w:tc>
          <w:tcPr>
            <w:tcW w:w="488" w:type="pct"/>
            <w:gridSpan w:val="2"/>
            <w:tcBorders>
              <w:right w:val="single" w:color="auto" w:sz="4" w:space="0"/>
            </w:tcBorders>
            <w:vAlign w:val="center"/>
          </w:tcPr>
          <w:p w14:paraId="59281E15">
            <w:pPr>
              <w:pStyle w:val="47"/>
              <w:adjustRightInd w:val="0"/>
              <w:snapToGrid w:val="0"/>
              <w:rPr>
                <w:rFonts w:eastAsia="宋体"/>
              </w:rPr>
            </w:pPr>
            <w:r>
              <w:rPr>
                <w:rFonts w:eastAsia="宋体"/>
              </w:rPr>
              <w:t>抛丸粉尘</w:t>
            </w:r>
          </w:p>
        </w:tc>
        <w:tc>
          <w:tcPr>
            <w:tcW w:w="988" w:type="pct"/>
            <w:vMerge w:val="continue"/>
            <w:tcBorders>
              <w:left w:val="single" w:color="auto" w:sz="4" w:space="0"/>
            </w:tcBorders>
            <w:vAlign w:val="center"/>
          </w:tcPr>
          <w:p w14:paraId="2825706E">
            <w:pPr>
              <w:pStyle w:val="47"/>
              <w:adjustRightInd w:val="0"/>
              <w:snapToGrid w:val="0"/>
              <w:rPr>
                <w:rFonts w:eastAsia="宋体"/>
              </w:rPr>
            </w:pPr>
          </w:p>
        </w:tc>
        <w:tc>
          <w:tcPr>
            <w:tcW w:w="1190" w:type="pct"/>
            <w:vMerge w:val="continue"/>
            <w:vAlign w:val="center"/>
          </w:tcPr>
          <w:p w14:paraId="236B82A8">
            <w:pPr>
              <w:pStyle w:val="47"/>
              <w:adjustRightInd w:val="0"/>
              <w:snapToGrid w:val="0"/>
              <w:rPr>
                <w:rFonts w:eastAsia="宋体"/>
              </w:rPr>
            </w:pPr>
          </w:p>
        </w:tc>
        <w:tc>
          <w:tcPr>
            <w:tcW w:w="1242" w:type="pct"/>
            <w:vMerge w:val="continue"/>
            <w:vAlign w:val="center"/>
          </w:tcPr>
          <w:p w14:paraId="3D73B9FE">
            <w:pPr>
              <w:pStyle w:val="47"/>
              <w:adjustRightInd w:val="0"/>
              <w:snapToGrid w:val="0"/>
              <w:rPr>
                <w:rFonts w:eastAsia="宋体"/>
              </w:rPr>
            </w:pPr>
          </w:p>
        </w:tc>
        <w:tc>
          <w:tcPr>
            <w:tcW w:w="667" w:type="pct"/>
            <w:gridSpan w:val="2"/>
            <w:vMerge w:val="continue"/>
            <w:vAlign w:val="center"/>
          </w:tcPr>
          <w:p w14:paraId="17251185">
            <w:pPr>
              <w:pStyle w:val="47"/>
              <w:adjustRightInd w:val="0"/>
              <w:snapToGrid w:val="0"/>
              <w:rPr>
                <w:rFonts w:eastAsia="宋体"/>
              </w:rPr>
            </w:pPr>
          </w:p>
        </w:tc>
      </w:tr>
      <w:tr w14:paraId="75324E6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61EEDD7F">
            <w:pPr>
              <w:pStyle w:val="47"/>
              <w:adjustRightInd w:val="0"/>
              <w:snapToGrid w:val="0"/>
              <w:rPr>
                <w:rFonts w:eastAsia="宋体"/>
              </w:rPr>
            </w:pPr>
          </w:p>
        </w:tc>
        <w:tc>
          <w:tcPr>
            <w:tcW w:w="171" w:type="pct"/>
            <w:vMerge w:val="continue"/>
            <w:vAlign w:val="center"/>
          </w:tcPr>
          <w:p w14:paraId="64FF13CD">
            <w:pPr>
              <w:pStyle w:val="47"/>
              <w:adjustRightInd w:val="0"/>
              <w:snapToGrid w:val="0"/>
              <w:rPr>
                <w:rFonts w:eastAsia="宋体"/>
              </w:rPr>
            </w:pPr>
          </w:p>
        </w:tc>
        <w:tc>
          <w:tcPr>
            <w:tcW w:w="488" w:type="pct"/>
            <w:gridSpan w:val="2"/>
            <w:tcBorders>
              <w:right w:val="single" w:color="auto" w:sz="4" w:space="0"/>
            </w:tcBorders>
            <w:vAlign w:val="center"/>
          </w:tcPr>
          <w:p w14:paraId="4902B364">
            <w:pPr>
              <w:pStyle w:val="47"/>
              <w:adjustRightInd w:val="0"/>
              <w:snapToGrid w:val="0"/>
              <w:rPr>
                <w:rFonts w:eastAsia="宋体"/>
              </w:rPr>
            </w:pPr>
            <w:r>
              <w:rPr>
                <w:rFonts w:eastAsia="宋体"/>
              </w:rPr>
              <w:t>食堂油烟</w:t>
            </w:r>
          </w:p>
        </w:tc>
        <w:tc>
          <w:tcPr>
            <w:tcW w:w="988" w:type="pct"/>
            <w:tcBorders>
              <w:left w:val="single" w:color="auto" w:sz="4" w:space="0"/>
            </w:tcBorders>
            <w:vAlign w:val="center"/>
          </w:tcPr>
          <w:p w14:paraId="2A9A90EF">
            <w:pPr>
              <w:pStyle w:val="47"/>
              <w:adjustRightInd w:val="0"/>
              <w:snapToGrid w:val="0"/>
              <w:rPr>
                <w:rFonts w:eastAsia="宋体"/>
              </w:rPr>
            </w:pPr>
            <w:r>
              <w:rPr>
                <w:rFonts w:eastAsia="宋体"/>
              </w:rPr>
              <w:t>油烟经脱油烟机处理后经8m高4#排气筒排放</w:t>
            </w:r>
          </w:p>
        </w:tc>
        <w:tc>
          <w:tcPr>
            <w:tcW w:w="1190" w:type="pct"/>
            <w:vAlign w:val="center"/>
          </w:tcPr>
          <w:p w14:paraId="3A4685F3">
            <w:pPr>
              <w:pStyle w:val="47"/>
              <w:adjustRightInd w:val="0"/>
              <w:snapToGrid w:val="0"/>
              <w:rPr>
                <w:rFonts w:eastAsia="宋体"/>
              </w:rPr>
            </w:pPr>
            <w:r>
              <w:rPr>
                <w:rFonts w:eastAsia="宋体"/>
              </w:rPr>
              <w:t>/</w:t>
            </w:r>
          </w:p>
        </w:tc>
        <w:tc>
          <w:tcPr>
            <w:tcW w:w="1242" w:type="pct"/>
            <w:vAlign w:val="center"/>
          </w:tcPr>
          <w:p w14:paraId="070D1404">
            <w:pPr>
              <w:pStyle w:val="47"/>
              <w:adjustRightInd w:val="0"/>
              <w:snapToGrid w:val="0"/>
              <w:rPr>
                <w:rFonts w:eastAsia="宋体"/>
              </w:rPr>
            </w:pPr>
            <w:r>
              <w:rPr>
                <w:rFonts w:eastAsia="宋体"/>
              </w:rPr>
              <w:t>油烟经脱油烟机处理后经8m高4#排气筒排放</w:t>
            </w:r>
          </w:p>
        </w:tc>
        <w:tc>
          <w:tcPr>
            <w:tcW w:w="667" w:type="pct"/>
            <w:gridSpan w:val="2"/>
            <w:vAlign w:val="center"/>
          </w:tcPr>
          <w:p w14:paraId="65F034B9">
            <w:pPr>
              <w:pStyle w:val="47"/>
              <w:adjustRightInd w:val="0"/>
              <w:snapToGrid w:val="0"/>
              <w:rPr>
                <w:rFonts w:eastAsia="宋体"/>
              </w:rPr>
            </w:pPr>
            <w:r>
              <w:rPr>
                <w:rFonts w:eastAsia="宋体"/>
              </w:rPr>
              <w:t>利用现有</w:t>
            </w:r>
          </w:p>
        </w:tc>
      </w:tr>
      <w:tr w14:paraId="512309E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5ABC73A9">
            <w:pPr>
              <w:pStyle w:val="47"/>
              <w:adjustRightInd w:val="0"/>
              <w:snapToGrid w:val="0"/>
              <w:rPr>
                <w:rFonts w:eastAsia="宋体"/>
              </w:rPr>
            </w:pPr>
          </w:p>
        </w:tc>
        <w:tc>
          <w:tcPr>
            <w:tcW w:w="171" w:type="pct"/>
            <w:vMerge w:val="restart"/>
            <w:vAlign w:val="center"/>
          </w:tcPr>
          <w:p w14:paraId="539FCA87">
            <w:pPr>
              <w:pStyle w:val="47"/>
              <w:adjustRightInd w:val="0"/>
              <w:snapToGrid w:val="0"/>
              <w:rPr>
                <w:rFonts w:eastAsia="宋体"/>
              </w:rPr>
            </w:pPr>
            <w:r>
              <w:rPr>
                <w:rFonts w:eastAsia="宋体"/>
              </w:rPr>
              <w:t>废水</w:t>
            </w:r>
          </w:p>
        </w:tc>
        <w:tc>
          <w:tcPr>
            <w:tcW w:w="488" w:type="pct"/>
            <w:gridSpan w:val="2"/>
            <w:tcBorders>
              <w:right w:val="single" w:color="auto" w:sz="4" w:space="0"/>
            </w:tcBorders>
            <w:vAlign w:val="center"/>
          </w:tcPr>
          <w:p w14:paraId="6F527BC0">
            <w:pPr>
              <w:pStyle w:val="47"/>
              <w:adjustRightInd w:val="0"/>
              <w:snapToGrid w:val="0"/>
              <w:rPr>
                <w:rFonts w:eastAsia="宋体"/>
              </w:rPr>
            </w:pPr>
            <w:r>
              <w:rPr>
                <w:rFonts w:eastAsia="宋体"/>
              </w:rPr>
              <w:t>生活污水</w:t>
            </w:r>
          </w:p>
        </w:tc>
        <w:tc>
          <w:tcPr>
            <w:tcW w:w="988" w:type="pct"/>
            <w:tcBorders>
              <w:left w:val="single" w:color="auto" w:sz="4" w:space="0"/>
            </w:tcBorders>
            <w:vAlign w:val="center"/>
          </w:tcPr>
          <w:p w14:paraId="02CCA99C">
            <w:pPr>
              <w:pStyle w:val="47"/>
              <w:adjustRightInd w:val="0"/>
              <w:snapToGrid w:val="0"/>
              <w:rPr>
                <w:rFonts w:eastAsia="宋体"/>
              </w:rPr>
            </w:pPr>
            <w:r>
              <w:rPr>
                <w:rFonts w:eastAsia="宋体"/>
              </w:rPr>
              <w:t>接管至常州金坛区第二污水处理有限公司集中处理，废水排放量3600m</w:t>
            </w:r>
            <w:r>
              <w:rPr>
                <w:rFonts w:eastAsia="宋体"/>
                <w:vertAlign w:val="superscript"/>
              </w:rPr>
              <w:t>3</w:t>
            </w:r>
            <w:r>
              <w:rPr>
                <w:rFonts w:eastAsia="宋体"/>
              </w:rPr>
              <w:t>/a</w:t>
            </w:r>
          </w:p>
        </w:tc>
        <w:tc>
          <w:tcPr>
            <w:tcW w:w="1190" w:type="pct"/>
            <w:vAlign w:val="center"/>
          </w:tcPr>
          <w:p w14:paraId="050B955B">
            <w:pPr>
              <w:pStyle w:val="47"/>
              <w:adjustRightInd w:val="0"/>
              <w:snapToGrid w:val="0"/>
              <w:rPr>
                <w:rFonts w:eastAsia="宋体"/>
              </w:rPr>
            </w:pPr>
            <w:r>
              <w:rPr>
                <w:rFonts w:eastAsia="宋体"/>
              </w:rPr>
              <w:t>接管至常州金坛区第二污水处理有限公司集中处理，废水排放量2400m</w:t>
            </w:r>
            <w:r>
              <w:rPr>
                <w:rFonts w:eastAsia="宋体"/>
                <w:vertAlign w:val="superscript"/>
              </w:rPr>
              <w:t>3</w:t>
            </w:r>
            <w:r>
              <w:rPr>
                <w:rFonts w:eastAsia="宋体"/>
              </w:rPr>
              <w:t>/a</w:t>
            </w:r>
          </w:p>
        </w:tc>
        <w:tc>
          <w:tcPr>
            <w:tcW w:w="1242" w:type="pct"/>
            <w:vMerge w:val="restart"/>
            <w:vAlign w:val="center"/>
          </w:tcPr>
          <w:p w14:paraId="27FC4354">
            <w:pPr>
              <w:pStyle w:val="47"/>
              <w:adjustRightInd w:val="0"/>
              <w:snapToGrid w:val="0"/>
              <w:rPr>
                <w:rFonts w:eastAsia="宋体"/>
              </w:rPr>
            </w:pPr>
            <w:r>
              <w:rPr>
                <w:rFonts w:eastAsia="宋体"/>
              </w:rPr>
              <w:t>接管至常州金坛区第二污水处理有限公司集中处理，生活污水排放量</w:t>
            </w:r>
            <w:r>
              <w:rPr>
                <w:rFonts w:hint="eastAsia" w:eastAsia="宋体"/>
              </w:rPr>
              <w:t>为6000</w:t>
            </w:r>
            <w:r>
              <w:rPr>
                <w:rFonts w:eastAsia="宋体"/>
              </w:rPr>
              <w:t>m</w:t>
            </w:r>
            <w:r>
              <w:rPr>
                <w:rFonts w:eastAsia="宋体"/>
                <w:vertAlign w:val="superscript"/>
              </w:rPr>
              <w:t>3</w:t>
            </w:r>
            <w:r>
              <w:rPr>
                <w:rFonts w:eastAsia="宋体"/>
              </w:rPr>
              <w:t>/a</w:t>
            </w:r>
            <w:r>
              <w:rPr>
                <w:rFonts w:hint="eastAsia" w:eastAsia="宋体"/>
              </w:rPr>
              <w:t>；</w:t>
            </w:r>
            <w:r>
              <w:rPr>
                <w:rFonts w:eastAsia="宋体"/>
              </w:rPr>
              <w:t>冷却塔排水</w:t>
            </w:r>
            <w:r>
              <w:rPr>
                <w:rFonts w:hint="eastAsia" w:eastAsia="宋体"/>
              </w:rPr>
              <w:t>和</w:t>
            </w:r>
            <w:r>
              <w:rPr>
                <w:rFonts w:eastAsia="宋体"/>
              </w:rPr>
              <w:t>纯水制备弃水</w:t>
            </w:r>
            <w:r>
              <w:rPr>
                <w:rFonts w:hint="eastAsia" w:eastAsia="宋体"/>
              </w:rPr>
              <w:t>（总水量1426</w:t>
            </w:r>
            <w:r>
              <w:rPr>
                <w:rFonts w:eastAsia="宋体"/>
              </w:rPr>
              <w:t>m</w:t>
            </w:r>
            <w:r>
              <w:rPr>
                <w:rFonts w:eastAsia="宋体"/>
                <w:vertAlign w:val="superscript"/>
              </w:rPr>
              <w:t>3</w:t>
            </w:r>
            <w:r>
              <w:rPr>
                <w:rFonts w:eastAsia="宋体"/>
              </w:rPr>
              <w:t>/a</w:t>
            </w:r>
            <w:r>
              <w:rPr>
                <w:rFonts w:hint="eastAsia" w:eastAsia="宋体"/>
              </w:rPr>
              <w:t>）作为清下水排入雨水管网</w:t>
            </w:r>
          </w:p>
        </w:tc>
        <w:tc>
          <w:tcPr>
            <w:tcW w:w="667" w:type="pct"/>
            <w:gridSpan w:val="2"/>
            <w:vMerge w:val="restart"/>
            <w:vAlign w:val="center"/>
          </w:tcPr>
          <w:p w14:paraId="59269636">
            <w:pPr>
              <w:pStyle w:val="47"/>
              <w:adjustRightInd w:val="0"/>
              <w:snapToGrid w:val="0"/>
              <w:rPr>
                <w:rFonts w:eastAsia="宋体"/>
              </w:rPr>
            </w:pPr>
            <w:r>
              <w:rPr>
                <w:rFonts w:eastAsia="宋体"/>
              </w:rPr>
              <w:t>依托厂区已建污水管网及排口</w:t>
            </w:r>
          </w:p>
        </w:tc>
      </w:tr>
      <w:tr w14:paraId="5E67451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332BE90B">
            <w:pPr>
              <w:pStyle w:val="47"/>
              <w:adjustRightInd w:val="0"/>
              <w:snapToGrid w:val="0"/>
              <w:rPr>
                <w:rFonts w:eastAsia="宋体"/>
              </w:rPr>
            </w:pPr>
          </w:p>
        </w:tc>
        <w:tc>
          <w:tcPr>
            <w:tcW w:w="171" w:type="pct"/>
            <w:vMerge w:val="continue"/>
            <w:vAlign w:val="center"/>
          </w:tcPr>
          <w:p w14:paraId="1277349E">
            <w:pPr>
              <w:pStyle w:val="47"/>
              <w:adjustRightInd w:val="0"/>
              <w:snapToGrid w:val="0"/>
              <w:rPr>
                <w:rFonts w:eastAsia="宋体"/>
              </w:rPr>
            </w:pPr>
          </w:p>
        </w:tc>
        <w:tc>
          <w:tcPr>
            <w:tcW w:w="488" w:type="pct"/>
            <w:gridSpan w:val="2"/>
            <w:tcBorders>
              <w:right w:val="single" w:color="auto" w:sz="4" w:space="0"/>
            </w:tcBorders>
            <w:vAlign w:val="center"/>
          </w:tcPr>
          <w:p w14:paraId="18DCE29A">
            <w:pPr>
              <w:pStyle w:val="47"/>
              <w:adjustRightInd w:val="0"/>
              <w:snapToGrid w:val="0"/>
              <w:rPr>
                <w:rFonts w:eastAsia="宋体"/>
              </w:rPr>
            </w:pPr>
            <w:r>
              <w:rPr>
                <w:rFonts w:eastAsia="宋体"/>
              </w:rPr>
              <w:t>冷却塔排水</w:t>
            </w:r>
          </w:p>
        </w:tc>
        <w:tc>
          <w:tcPr>
            <w:tcW w:w="988" w:type="pct"/>
            <w:tcBorders>
              <w:left w:val="single" w:color="auto" w:sz="4" w:space="0"/>
            </w:tcBorders>
            <w:vAlign w:val="center"/>
          </w:tcPr>
          <w:p w14:paraId="71637750">
            <w:pPr>
              <w:pStyle w:val="47"/>
              <w:adjustRightInd w:val="0"/>
              <w:snapToGrid w:val="0"/>
              <w:rPr>
                <w:rFonts w:eastAsia="宋体"/>
              </w:rPr>
            </w:pPr>
            <w:r>
              <w:rPr>
                <w:rFonts w:eastAsia="宋体"/>
              </w:rPr>
              <w:t>作为清下水排入雨水管网，900m</w:t>
            </w:r>
            <w:r>
              <w:rPr>
                <w:rFonts w:eastAsia="宋体"/>
                <w:vertAlign w:val="superscript"/>
              </w:rPr>
              <w:t>3</w:t>
            </w:r>
            <w:r>
              <w:rPr>
                <w:rFonts w:eastAsia="宋体"/>
              </w:rPr>
              <w:t>/a</w:t>
            </w:r>
          </w:p>
        </w:tc>
        <w:tc>
          <w:tcPr>
            <w:tcW w:w="1190" w:type="pct"/>
            <w:vMerge w:val="restart"/>
            <w:vAlign w:val="center"/>
          </w:tcPr>
          <w:p w14:paraId="1EC891A7">
            <w:pPr>
              <w:pStyle w:val="47"/>
              <w:adjustRightInd w:val="0"/>
              <w:snapToGrid w:val="0"/>
              <w:rPr>
                <w:rFonts w:eastAsia="宋体"/>
              </w:rPr>
            </w:pPr>
            <w:r>
              <w:rPr>
                <w:rFonts w:hint="eastAsia" w:eastAsia="宋体"/>
              </w:rPr>
              <w:t>纯水制备弃水21</w:t>
            </w:r>
            <w:r>
              <w:rPr>
                <w:rFonts w:eastAsia="宋体"/>
              </w:rPr>
              <w:t>8m</w:t>
            </w:r>
            <w:r>
              <w:rPr>
                <w:rFonts w:eastAsia="宋体"/>
                <w:vertAlign w:val="superscript"/>
              </w:rPr>
              <w:t>3</w:t>
            </w:r>
            <w:r>
              <w:rPr>
                <w:rFonts w:eastAsia="宋体"/>
              </w:rPr>
              <w:t>/a作为清下水排入雨水管网</w:t>
            </w:r>
          </w:p>
        </w:tc>
        <w:tc>
          <w:tcPr>
            <w:tcW w:w="1242" w:type="pct"/>
            <w:vMerge w:val="continue"/>
            <w:vAlign w:val="center"/>
          </w:tcPr>
          <w:p w14:paraId="639C9700">
            <w:pPr>
              <w:pStyle w:val="47"/>
              <w:adjustRightInd w:val="0"/>
              <w:snapToGrid w:val="0"/>
              <w:rPr>
                <w:rFonts w:eastAsia="宋体"/>
              </w:rPr>
            </w:pPr>
          </w:p>
        </w:tc>
        <w:tc>
          <w:tcPr>
            <w:tcW w:w="667" w:type="pct"/>
            <w:gridSpan w:val="2"/>
            <w:vMerge w:val="continue"/>
            <w:vAlign w:val="center"/>
          </w:tcPr>
          <w:p w14:paraId="3007515B">
            <w:pPr>
              <w:pStyle w:val="47"/>
              <w:adjustRightInd w:val="0"/>
              <w:snapToGrid w:val="0"/>
              <w:rPr>
                <w:rFonts w:eastAsia="宋体"/>
              </w:rPr>
            </w:pPr>
          </w:p>
        </w:tc>
      </w:tr>
      <w:tr w14:paraId="3FEE312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7323572E">
            <w:pPr>
              <w:pStyle w:val="47"/>
              <w:adjustRightInd w:val="0"/>
              <w:snapToGrid w:val="0"/>
              <w:rPr>
                <w:rFonts w:eastAsia="宋体"/>
              </w:rPr>
            </w:pPr>
          </w:p>
        </w:tc>
        <w:tc>
          <w:tcPr>
            <w:tcW w:w="171" w:type="pct"/>
            <w:vMerge w:val="continue"/>
            <w:vAlign w:val="center"/>
          </w:tcPr>
          <w:p w14:paraId="11BC2343">
            <w:pPr>
              <w:pStyle w:val="47"/>
              <w:adjustRightInd w:val="0"/>
              <w:snapToGrid w:val="0"/>
              <w:rPr>
                <w:rFonts w:eastAsia="宋体"/>
              </w:rPr>
            </w:pPr>
          </w:p>
        </w:tc>
        <w:tc>
          <w:tcPr>
            <w:tcW w:w="488" w:type="pct"/>
            <w:gridSpan w:val="2"/>
            <w:tcBorders>
              <w:right w:val="single" w:color="auto" w:sz="4" w:space="0"/>
            </w:tcBorders>
            <w:vAlign w:val="center"/>
          </w:tcPr>
          <w:p w14:paraId="495FE25E">
            <w:pPr>
              <w:pStyle w:val="47"/>
              <w:adjustRightInd w:val="0"/>
              <w:snapToGrid w:val="0"/>
              <w:rPr>
                <w:rFonts w:eastAsia="宋体"/>
              </w:rPr>
            </w:pPr>
            <w:r>
              <w:rPr>
                <w:rFonts w:eastAsia="宋体"/>
              </w:rPr>
              <w:t>纯水制备弃水</w:t>
            </w:r>
          </w:p>
        </w:tc>
        <w:tc>
          <w:tcPr>
            <w:tcW w:w="988" w:type="pct"/>
            <w:tcBorders>
              <w:left w:val="single" w:color="auto" w:sz="4" w:space="0"/>
            </w:tcBorders>
            <w:vAlign w:val="center"/>
          </w:tcPr>
          <w:p w14:paraId="60C6FF3E">
            <w:pPr>
              <w:pStyle w:val="47"/>
              <w:adjustRightInd w:val="0"/>
              <w:snapToGrid w:val="0"/>
              <w:rPr>
                <w:rFonts w:eastAsia="宋体"/>
              </w:rPr>
            </w:pPr>
            <w:r>
              <w:rPr>
                <w:rFonts w:eastAsia="宋体"/>
              </w:rPr>
              <w:t>作为清下水排入雨水管网，308m</w:t>
            </w:r>
            <w:r>
              <w:rPr>
                <w:rFonts w:eastAsia="宋体"/>
                <w:vertAlign w:val="superscript"/>
              </w:rPr>
              <w:t>3</w:t>
            </w:r>
            <w:r>
              <w:rPr>
                <w:rFonts w:eastAsia="宋体"/>
              </w:rPr>
              <w:t>/a</w:t>
            </w:r>
          </w:p>
        </w:tc>
        <w:tc>
          <w:tcPr>
            <w:tcW w:w="1190" w:type="pct"/>
            <w:vMerge w:val="continue"/>
            <w:vAlign w:val="center"/>
          </w:tcPr>
          <w:p w14:paraId="33F09C21">
            <w:pPr>
              <w:pStyle w:val="47"/>
              <w:adjustRightInd w:val="0"/>
              <w:snapToGrid w:val="0"/>
              <w:rPr>
                <w:rFonts w:eastAsia="宋体"/>
              </w:rPr>
            </w:pPr>
          </w:p>
        </w:tc>
        <w:tc>
          <w:tcPr>
            <w:tcW w:w="1242" w:type="pct"/>
            <w:vMerge w:val="continue"/>
            <w:vAlign w:val="center"/>
          </w:tcPr>
          <w:p w14:paraId="62C26104">
            <w:pPr>
              <w:pStyle w:val="47"/>
              <w:adjustRightInd w:val="0"/>
              <w:snapToGrid w:val="0"/>
              <w:rPr>
                <w:rFonts w:eastAsia="宋体"/>
              </w:rPr>
            </w:pPr>
          </w:p>
        </w:tc>
        <w:tc>
          <w:tcPr>
            <w:tcW w:w="667" w:type="pct"/>
            <w:gridSpan w:val="2"/>
            <w:vMerge w:val="continue"/>
            <w:vAlign w:val="center"/>
          </w:tcPr>
          <w:p w14:paraId="022374DF">
            <w:pPr>
              <w:pStyle w:val="47"/>
              <w:adjustRightInd w:val="0"/>
              <w:snapToGrid w:val="0"/>
              <w:rPr>
                <w:rFonts w:eastAsia="宋体"/>
              </w:rPr>
            </w:pPr>
          </w:p>
        </w:tc>
      </w:tr>
      <w:tr w14:paraId="3BEF4C7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0190CF1F">
            <w:pPr>
              <w:pStyle w:val="47"/>
              <w:adjustRightInd w:val="0"/>
              <w:snapToGrid w:val="0"/>
              <w:rPr>
                <w:rFonts w:eastAsia="宋体"/>
              </w:rPr>
            </w:pPr>
          </w:p>
        </w:tc>
        <w:tc>
          <w:tcPr>
            <w:tcW w:w="171" w:type="pct"/>
            <w:vMerge w:val="continue"/>
            <w:vAlign w:val="center"/>
          </w:tcPr>
          <w:p w14:paraId="3CD7B7C2">
            <w:pPr>
              <w:pStyle w:val="47"/>
              <w:adjustRightInd w:val="0"/>
              <w:snapToGrid w:val="0"/>
              <w:rPr>
                <w:rFonts w:eastAsia="宋体"/>
              </w:rPr>
            </w:pPr>
          </w:p>
        </w:tc>
        <w:tc>
          <w:tcPr>
            <w:tcW w:w="488" w:type="pct"/>
            <w:gridSpan w:val="2"/>
            <w:tcBorders>
              <w:right w:val="single" w:color="auto" w:sz="4" w:space="0"/>
            </w:tcBorders>
            <w:vAlign w:val="center"/>
          </w:tcPr>
          <w:p w14:paraId="655FEF70">
            <w:pPr>
              <w:pStyle w:val="47"/>
              <w:adjustRightInd w:val="0"/>
              <w:snapToGrid w:val="0"/>
              <w:rPr>
                <w:rFonts w:eastAsia="宋体"/>
              </w:rPr>
            </w:pPr>
            <w:r>
              <w:rPr>
                <w:rFonts w:eastAsia="宋体"/>
              </w:rPr>
              <w:t>模具清洗废水</w:t>
            </w:r>
          </w:p>
        </w:tc>
        <w:tc>
          <w:tcPr>
            <w:tcW w:w="988" w:type="pct"/>
            <w:vMerge w:val="restart"/>
            <w:tcBorders>
              <w:left w:val="single" w:color="auto" w:sz="4" w:space="0"/>
            </w:tcBorders>
            <w:vAlign w:val="center"/>
          </w:tcPr>
          <w:p w14:paraId="67560999">
            <w:pPr>
              <w:pStyle w:val="47"/>
              <w:adjustRightInd w:val="0"/>
              <w:snapToGrid w:val="0"/>
              <w:rPr>
                <w:rFonts w:eastAsia="宋体"/>
              </w:rPr>
            </w:pPr>
            <w:bookmarkStart w:id="34" w:name="OLE_LINK34"/>
            <w:bookmarkStart w:id="35" w:name="OLE_LINK33"/>
            <w:r>
              <w:rPr>
                <w:rFonts w:eastAsia="宋体"/>
              </w:rPr>
              <w:t>电泳水洗废水经调节+气浮+超级氧化+沉淀预处理；其余废水经调节+反应槽+高效沉淀预处理；水解酸化+MBR+石英砂过滤+活性炭过滤+超滤+反渗透+M</w:t>
            </w:r>
            <w:r>
              <w:rPr>
                <w:rFonts w:hint="eastAsia" w:eastAsia="宋体"/>
              </w:rPr>
              <w:t>V</w:t>
            </w:r>
            <w:r>
              <w:rPr>
                <w:rFonts w:eastAsia="宋体"/>
              </w:rPr>
              <w:t>R蒸发浓缩，最大处理能力3m</w:t>
            </w:r>
            <w:r>
              <w:rPr>
                <w:rFonts w:eastAsia="宋体"/>
                <w:vertAlign w:val="superscript"/>
              </w:rPr>
              <w:t>3</w:t>
            </w:r>
            <w:r>
              <w:rPr>
                <w:rFonts w:eastAsia="宋体"/>
              </w:rPr>
              <w:t>/h</w:t>
            </w:r>
            <w:bookmarkEnd w:id="34"/>
            <w:bookmarkEnd w:id="35"/>
          </w:p>
        </w:tc>
        <w:tc>
          <w:tcPr>
            <w:tcW w:w="1190" w:type="pct"/>
            <w:vMerge w:val="restart"/>
            <w:vAlign w:val="center"/>
          </w:tcPr>
          <w:p w14:paraId="6E9D16A8">
            <w:pPr>
              <w:pStyle w:val="47"/>
              <w:adjustRightInd w:val="0"/>
              <w:snapToGrid w:val="0"/>
              <w:rPr>
                <w:rFonts w:eastAsia="宋体"/>
              </w:rPr>
            </w:pPr>
            <w:r>
              <w:rPr>
                <w:rFonts w:eastAsia="宋体"/>
              </w:rPr>
              <w:t>新增模具清洗废水、脱脂水洗废水、</w:t>
            </w:r>
            <w:r>
              <w:rPr>
                <w:rFonts w:hint="eastAsia" w:eastAsia="宋体"/>
                <w:highlight w:val="black"/>
                <w:lang w:val="en-US" w:eastAsia="zh-CN"/>
              </w:rPr>
              <w:t xml:space="preserve">                 </w:t>
            </w:r>
            <w:r>
              <w:rPr>
                <w:rFonts w:eastAsia="宋体"/>
              </w:rPr>
              <w:t>，依托现有污水处理站</w:t>
            </w:r>
          </w:p>
        </w:tc>
        <w:tc>
          <w:tcPr>
            <w:tcW w:w="1242" w:type="pct"/>
            <w:vMerge w:val="restart"/>
            <w:vAlign w:val="center"/>
          </w:tcPr>
          <w:p w14:paraId="3555EEA0">
            <w:pPr>
              <w:pStyle w:val="47"/>
              <w:adjustRightInd w:val="0"/>
              <w:snapToGrid w:val="0"/>
              <w:rPr>
                <w:rFonts w:eastAsia="宋体"/>
              </w:rPr>
            </w:pPr>
            <w:r>
              <w:rPr>
                <w:rFonts w:eastAsia="宋体"/>
              </w:rPr>
              <w:t>电泳水洗废水经调节+气浮+超级氧化+沉淀预处理；其余废水经调节+反应槽+高效沉淀预处理；水解酸化+ MBR+石英砂过滤+活性炭过滤+超滤+反渗透+M</w:t>
            </w:r>
            <w:r>
              <w:rPr>
                <w:rFonts w:hint="eastAsia" w:eastAsia="宋体"/>
              </w:rPr>
              <w:t>V</w:t>
            </w:r>
            <w:r>
              <w:rPr>
                <w:rFonts w:eastAsia="宋体"/>
              </w:rPr>
              <w:t>R蒸发浓缩，最大处理能力3m</w:t>
            </w:r>
            <w:r>
              <w:rPr>
                <w:rFonts w:eastAsia="宋体"/>
                <w:vertAlign w:val="superscript"/>
              </w:rPr>
              <w:t>3</w:t>
            </w:r>
            <w:r>
              <w:rPr>
                <w:rFonts w:eastAsia="宋体"/>
              </w:rPr>
              <w:t>/h</w:t>
            </w:r>
          </w:p>
        </w:tc>
        <w:tc>
          <w:tcPr>
            <w:tcW w:w="667" w:type="pct"/>
            <w:gridSpan w:val="2"/>
            <w:vMerge w:val="restart"/>
            <w:vAlign w:val="center"/>
          </w:tcPr>
          <w:p w14:paraId="547056C9">
            <w:pPr>
              <w:pStyle w:val="47"/>
              <w:adjustRightInd w:val="0"/>
              <w:snapToGrid w:val="0"/>
              <w:rPr>
                <w:rFonts w:eastAsia="宋体"/>
              </w:rPr>
            </w:pPr>
            <w:r>
              <w:rPr>
                <w:rFonts w:eastAsia="宋体"/>
              </w:rPr>
              <w:t>依托现有</w:t>
            </w:r>
          </w:p>
        </w:tc>
      </w:tr>
      <w:tr w14:paraId="3A94DE4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47B6DF23">
            <w:pPr>
              <w:pStyle w:val="47"/>
              <w:adjustRightInd w:val="0"/>
              <w:snapToGrid w:val="0"/>
              <w:rPr>
                <w:rFonts w:eastAsia="宋体"/>
              </w:rPr>
            </w:pPr>
          </w:p>
        </w:tc>
        <w:tc>
          <w:tcPr>
            <w:tcW w:w="171" w:type="pct"/>
            <w:vMerge w:val="continue"/>
            <w:vAlign w:val="center"/>
          </w:tcPr>
          <w:p w14:paraId="186581B4">
            <w:pPr>
              <w:pStyle w:val="47"/>
              <w:adjustRightInd w:val="0"/>
              <w:snapToGrid w:val="0"/>
              <w:rPr>
                <w:rFonts w:eastAsia="宋体"/>
              </w:rPr>
            </w:pPr>
          </w:p>
        </w:tc>
        <w:tc>
          <w:tcPr>
            <w:tcW w:w="488" w:type="pct"/>
            <w:gridSpan w:val="2"/>
            <w:tcBorders>
              <w:right w:val="single" w:color="auto" w:sz="4" w:space="0"/>
            </w:tcBorders>
            <w:vAlign w:val="center"/>
          </w:tcPr>
          <w:p w14:paraId="21EE63E9">
            <w:pPr>
              <w:pStyle w:val="47"/>
              <w:adjustRightInd w:val="0"/>
              <w:snapToGrid w:val="0"/>
              <w:rPr>
                <w:rFonts w:eastAsia="宋体"/>
              </w:rPr>
            </w:pPr>
            <w:r>
              <w:rPr>
                <w:rFonts w:eastAsia="宋体"/>
              </w:rPr>
              <w:t>脱脂水洗废水</w:t>
            </w:r>
          </w:p>
        </w:tc>
        <w:tc>
          <w:tcPr>
            <w:tcW w:w="988" w:type="pct"/>
            <w:vMerge w:val="continue"/>
            <w:tcBorders>
              <w:left w:val="single" w:color="auto" w:sz="4" w:space="0"/>
            </w:tcBorders>
            <w:vAlign w:val="center"/>
          </w:tcPr>
          <w:p w14:paraId="74737D3D">
            <w:pPr>
              <w:pStyle w:val="47"/>
              <w:adjustRightInd w:val="0"/>
              <w:snapToGrid w:val="0"/>
              <w:rPr>
                <w:rFonts w:eastAsia="宋体"/>
              </w:rPr>
            </w:pPr>
          </w:p>
        </w:tc>
        <w:tc>
          <w:tcPr>
            <w:tcW w:w="1190" w:type="pct"/>
            <w:vMerge w:val="continue"/>
            <w:vAlign w:val="center"/>
          </w:tcPr>
          <w:p w14:paraId="3B132B07">
            <w:pPr>
              <w:pStyle w:val="47"/>
              <w:adjustRightInd w:val="0"/>
              <w:snapToGrid w:val="0"/>
              <w:rPr>
                <w:rFonts w:eastAsia="宋体"/>
              </w:rPr>
            </w:pPr>
          </w:p>
        </w:tc>
        <w:tc>
          <w:tcPr>
            <w:tcW w:w="1242" w:type="pct"/>
            <w:vMerge w:val="continue"/>
            <w:vAlign w:val="center"/>
          </w:tcPr>
          <w:p w14:paraId="50ED1DA8">
            <w:pPr>
              <w:pStyle w:val="47"/>
              <w:adjustRightInd w:val="0"/>
              <w:snapToGrid w:val="0"/>
              <w:rPr>
                <w:rFonts w:eastAsia="宋体"/>
              </w:rPr>
            </w:pPr>
          </w:p>
        </w:tc>
        <w:tc>
          <w:tcPr>
            <w:tcW w:w="667" w:type="pct"/>
            <w:gridSpan w:val="2"/>
            <w:vMerge w:val="continue"/>
            <w:vAlign w:val="center"/>
          </w:tcPr>
          <w:p w14:paraId="6EE10AE8">
            <w:pPr>
              <w:pStyle w:val="47"/>
              <w:adjustRightInd w:val="0"/>
              <w:snapToGrid w:val="0"/>
              <w:rPr>
                <w:rFonts w:eastAsia="宋体"/>
              </w:rPr>
            </w:pPr>
          </w:p>
        </w:tc>
      </w:tr>
      <w:tr w14:paraId="3D2F478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08E94A40">
            <w:pPr>
              <w:pStyle w:val="47"/>
              <w:adjustRightInd w:val="0"/>
              <w:snapToGrid w:val="0"/>
              <w:rPr>
                <w:rFonts w:eastAsia="宋体"/>
              </w:rPr>
            </w:pPr>
          </w:p>
        </w:tc>
        <w:tc>
          <w:tcPr>
            <w:tcW w:w="171" w:type="pct"/>
            <w:vMerge w:val="continue"/>
            <w:vAlign w:val="center"/>
          </w:tcPr>
          <w:p w14:paraId="5B871D5B">
            <w:pPr>
              <w:pStyle w:val="47"/>
              <w:adjustRightInd w:val="0"/>
              <w:snapToGrid w:val="0"/>
              <w:rPr>
                <w:rFonts w:eastAsia="宋体"/>
              </w:rPr>
            </w:pPr>
          </w:p>
        </w:tc>
        <w:tc>
          <w:tcPr>
            <w:tcW w:w="488" w:type="pct"/>
            <w:gridSpan w:val="2"/>
            <w:tcBorders>
              <w:right w:val="single" w:color="auto" w:sz="4" w:space="0"/>
            </w:tcBorders>
            <w:vAlign w:val="center"/>
          </w:tcPr>
          <w:p w14:paraId="311E5430">
            <w:pPr>
              <w:pStyle w:val="47"/>
              <w:adjustRightInd w:val="0"/>
              <w:snapToGrid w:val="0"/>
              <w:jc w:val="both"/>
              <w:rPr>
                <w:rFonts w:hint="default" w:eastAsia="宋体"/>
                <w:lang w:val="en-US" w:eastAsia="zh-CN"/>
              </w:rPr>
            </w:pPr>
            <w:r>
              <w:rPr>
                <w:rFonts w:hint="eastAsia" w:eastAsia="宋体"/>
                <w:highlight w:val="black"/>
                <w:lang w:val="en-US" w:eastAsia="zh-CN"/>
              </w:rPr>
              <w:t xml:space="preserve">             </w:t>
            </w:r>
          </w:p>
        </w:tc>
        <w:tc>
          <w:tcPr>
            <w:tcW w:w="988" w:type="pct"/>
            <w:vMerge w:val="continue"/>
            <w:tcBorders>
              <w:left w:val="single" w:color="auto" w:sz="4" w:space="0"/>
            </w:tcBorders>
            <w:vAlign w:val="center"/>
          </w:tcPr>
          <w:p w14:paraId="7734F4E9">
            <w:pPr>
              <w:pStyle w:val="47"/>
              <w:adjustRightInd w:val="0"/>
              <w:snapToGrid w:val="0"/>
              <w:rPr>
                <w:rFonts w:eastAsia="宋体"/>
              </w:rPr>
            </w:pPr>
          </w:p>
        </w:tc>
        <w:tc>
          <w:tcPr>
            <w:tcW w:w="1190" w:type="pct"/>
            <w:vMerge w:val="continue"/>
            <w:vAlign w:val="center"/>
          </w:tcPr>
          <w:p w14:paraId="071361DD">
            <w:pPr>
              <w:pStyle w:val="47"/>
              <w:adjustRightInd w:val="0"/>
              <w:snapToGrid w:val="0"/>
              <w:rPr>
                <w:rFonts w:eastAsia="宋体"/>
              </w:rPr>
            </w:pPr>
          </w:p>
        </w:tc>
        <w:tc>
          <w:tcPr>
            <w:tcW w:w="1242" w:type="pct"/>
            <w:vMerge w:val="continue"/>
            <w:vAlign w:val="center"/>
          </w:tcPr>
          <w:p w14:paraId="3C68377D">
            <w:pPr>
              <w:pStyle w:val="47"/>
              <w:adjustRightInd w:val="0"/>
              <w:snapToGrid w:val="0"/>
              <w:rPr>
                <w:rFonts w:eastAsia="宋体"/>
              </w:rPr>
            </w:pPr>
          </w:p>
        </w:tc>
        <w:tc>
          <w:tcPr>
            <w:tcW w:w="667" w:type="pct"/>
            <w:gridSpan w:val="2"/>
            <w:vMerge w:val="continue"/>
            <w:vAlign w:val="center"/>
          </w:tcPr>
          <w:p w14:paraId="12F6F857">
            <w:pPr>
              <w:pStyle w:val="47"/>
              <w:adjustRightInd w:val="0"/>
              <w:snapToGrid w:val="0"/>
              <w:rPr>
                <w:rFonts w:eastAsia="宋体"/>
              </w:rPr>
            </w:pPr>
          </w:p>
        </w:tc>
      </w:tr>
      <w:tr w14:paraId="2853A01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1927CA62">
            <w:pPr>
              <w:pStyle w:val="47"/>
              <w:adjustRightInd w:val="0"/>
              <w:snapToGrid w:val="0"/>
              <w:rPr>
                <w:rFonts w:eastAsia="宋体"/>
              </w:rPr>
            </w:pPr>
          </w:p>
        </w:tc>
        <w:tc>
          <w:tcPr>
            <w:tcW w:w="171" w:type="pct"/>
            <w:vMerge w:val="continue"/>
            <w:vAlign w:val="center"/>
          </w:tcPr>
          <w:p w14:paraId="79AF61B3">
            <w:pPr>
              <w:pStyle w:val="47"/>
              <w:adjustRightInd w:val="0"/>
              <w:snapToGrid w:val="0"/>
              <w:rPr>
                <w:rFonts w:eastAsia="宋体"/>
              </w:rPr>
            </w:pPr>
          </w:p>
        </w:tc>
        <w:tc>
          <w:tcPr>
            <w:tcW w:w="488" w:type="pct"/>
            <w:gridSpan w:val="2"/>
            <w:tcBorders>
              <w:right w:val="single" w:color="auto" w:sz="4" w:space="0"/>
            </w:tcBorders>
            <w:vAlign w:val="center"/>
          </w:tcPr>
          <w:p w14:paraId="7BB72A1E">
            <w:pPr>
              <w:pStyle w:val="47"/>
              <w:adjustRightInd w:val="0"/>
              <w:snapToGrid w:val="0"/>
              <w:rPr>
                <w:rFonts w:eastAsia="宋体"/>
              </w:rPr>
            </w:pPr>
            <w:r>
              <w:rPr>
                <w:rFonts w:eastAsia="宋体"/>
              </w:rPr>
              <w:t>电泳水洗废水</w:t>
            </w:r>
          </w:p>
        </w:tc>
        <w:tc>
          <w:tcPr>
            <w:tcW w:w="988" w:type="pct"/>
            <w:vMerge w:val="continue"/>
            <w:tcBorders>
              <w:left w:val="single" w:color="auto" w:sz="4" w:space="0"/>
            </w:tcBorders>
            <w:vAlign w:val="center"/>
          </w:tcPr>
          <w:p w14:paraId="77D75BD8">
            <w:pPr>
              <w:pStyle w:val="47"/>
              <w:adjustRightInd w:val="0"/>
              <w:snapToGrid w:val="0"/>
              <w:rPr>
                <w:rFonts w:eastAsia="宋体"/>
              </w:rPr>
            </w:pPr>
          </w:p>
        </w:tc>
        <w:tc>
          <w:tcPr>
            <w:tcW w:w="1190" w:type="pct"/>
            <w:vMerge w:val="continue"/>
            <w:vAlign w:val="center"/>
          </w:tcPr>
          <w:p w14:paraId="3F7F5CA1">
            <w:pPr>
              <w:pStyle w:val="47"/>
              <w:adjustRightInd w:val="0"/>
              <w:snapToGrid w:val="0"/>
              <w:rPr>
                <w:rFonts w:eastAsia="宋体"/>
              </w:rPr>
            </w:pPr>
          </w:p>
        </w:tc>
        <w:tc>
          <w:tcPr>
            <w:tcW w:w="1242" w:type="pct"/>
            <w:vMerge w:val="continue"/>
            <w:vAlign w:val="center"/>
          </w:tcPr>
          <w:p w14:paraId="78F4E92F">
            <w:pPr>
              <w:pStyle w:val="47"/>
              <w:adjustRightInd w:val="0"/>
              <w:snapToGrid w:val="0"/>
              <w:rPr>
                <w:rFonts w:eastAsia="宋体"/>
              </w:rPr>
            </w:pPr>
          </w:p>
        </w:tc>
        <w:tc>
          <w:tcPr>
            <w:tcW w:w="667" w:type="pct"/>
            <w:gridSpan w:val="2"/>
            <w:vMerge w:val="continue"/>
            <w:vAlign w:val="center"/>
          </w:tcPr>
          <w:p w14:paraId="54063C1E">
            <w:pPr>
              <w:pStyle w:val="47"/>
              <w:adjustRightInd w:val="0"/>
              <w:snapToGrid w:val="0"/>
              <w:rPr>
                <w:rFonts w:eastAsia="宋体"/>
              </w:rPr>
            </w:pPr>
          </w:p>
        </w:tc>
      </w:tr>
      <w:tr w14:paraId="538DCCF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0877C45F">
            <w:pPr>
              <w:pStyle w:val="47"/>
              <w:adjustRightInd w:val="0"/>
              <w:snapToGrid w:val="0"/>
              <w:rPr>
                <w:rFonts w:eastAsia="宋体"/>
              </w:rPr>
            </w:pPr>
          </w:p>
        </w:tc>
        <w:tc>
          <w:tcPr>
            <w:tcW w:w="171" w:type="pct"/>
            <w:vMerge w:val="continue"/>
            <w:vAlign w:val="center"/>
          </w:tcPr>
          <w:p w14:paraId="3B17EAE1">
            <w:pPr>
              <w:pStyle w:val="47"/>
              <w:adjustRightInd w:val="0"/>
              <w:snapToGrid w:val="0"/>
              <w:rPr>
                <w:rFonts w:eastAsia="宋体"/>
              </w:rPr>
            </w:pPr>
          </w:p>
        </w:tc>
        <w:tc>
          <w:tcPr>
            <w:tcW w:w="488" w:type="pct"/>
            <w:gridSpan w:val="2"/>
            <w:tcBorders>
              <w:right w:val="single" w:color="auto" w:sz="4" w:space="0"/>
            </w:tcBorders>
            <w:vAlign w:val="center"/>
          </w:tcPr>
          <w:p w14:paraId="04514E35">
            <w:pPr>
              <w:pStyle w:val="47"/>
              <w:adjustRightInd w:val="0"/>
              <w:snapToGrid w:val="0"/>
              <w:rPr>
                <w:rFonts w:eastAsia="宋体"/>
              </w:rPr>
            </w:pPr>
            <w:r>
              <w:rPr>
                <w:rFonts w:eastAsia="宋体"/>
              </w:rPr>
              <w:t>喷淋塔废水</w:t>
            </w:r>
          </w:p>
        </w:tc>
        <w:tc>
          <w:tcPr>
            <w:tcW w:w="988" w:type="pct"/>
            <w:vMerge w:val="continue"/>
            <w:tcBorders>
              <w:left w:val="single" w:color="auto" w:sz="4" w:space="0"/>
            </w:tcBorders>
            <w:vAlign w:val="center"/>
          </w:tcPr>
          <w:p w14:paraId="0C985087">
            <w:pPr>
              <w:pStyle w:val="47"/>
              <w:adjustRightInd w:val="0"/>
              <w:snapToGrid w:val="0"/>
              <w:rPr>
                <w:rFonts w:eastAsia="宋体"/>
              </w:rPr>
            </w:pPr>
          </w:p>
        </w:tc>
        <w:tc>
          <w:tcPr>
            <w:tcW w:w="1190" w:type="pct"/>
            <w:vMerge w:val="continue"/>
            <w:vAlign w:val="center"/>
          </w:tcPr>
          <w:p w14:paraId="6B9AEC78">
            <w:pPr>
              <w:pStyle w:val="47"/>
              <w:adjustRightInd w:val="0"/>
              <w:snapToGrid w:val="0"/>
              <w:rPr>
                <w:rFonts w:eastAsia="宋体"/>
              </w:rPr>
            </w:pPr>
          </w:p>
        </w:tc>
        <w:tc>
          <w:tcPr>
            <w:tcW w:w="1242" w:type="pct"/>
            <w:vMerge w:val="continue"/>
            <w:vAlign w:val="center"/>
          </w:tcPr>
          <w:p w14:paraId="0FF8A4BE">
            <w:pPr>
              <w:pStyle w:val="47"/>
              <w:adjustRightInd w:val="0"/>
              <w:snapToGrid w:val="0"/>
              <w:rPr>
                <w:rFonts w:eastAsia="宋体"/>
              </w:rPr>
            </w:pPr>
          </w:p>
        </w:tc>
        <w:tc>
          <w:tcPr>
            <w:tcW w:w="667" w:type="pct"/>
            <w:gridSpan w:val="2"/>
            <w:vMerge w:val="continue"/>
            <w:vAlign w:val="center"/>
          </w:tcPr>
          <w:p w14:paraId="2016C714">
            <w:pPr>
              <w:pStyle w:val="47"/>
              <w:adjustRightInd w:val="0"/>
              <w:snapToGrid w:val="0"/>
              <w:rPr>
                <w:rFonts w:eastAsia="宋体"/>
              </w:rPr>
            </w:pPr>
          </w:p>
        </w:tc>
      </w:tr>
      <w:tr w14:paraId="2F63003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57615CE3">
            <w:pPr>
              <w:pStyle w:val="47"/>
              <w:adjustRightInd w:val="0"/>
              <w:snapToGrid w:val="0"/>
              <w:rPr>
                <w:rFonts w:eastAsia="宋体"/>
              </w:rPr>
            </w:pPr>
          </w:p>
        </w:tc>
        <w:tc>
          <w:tcPr>
            <w:tcW w:w="171" w:type="pct"/>
            <w:vMerge w:val="restart"/>
            <w:vAlign w:val="center"/>
          </w:tcPr>
          <w:p w14:paraId="0E067A4E">
            <w:pPr>
              <w:pStyle w:val="47"/>
              <w:adjustRightInd w:val="0"/>
              <w:snapToGrid w:val="0"/>
              <w:rPr>
                <w:rFonts w:eastAsia="宋体"/>
              </w:rPr>
            </w:pPr>
            <w:r>
              <w:rPr>
                <w:rFonts w:eastAsia="宋体"/>
              </w:rPr>
              <w:t>固废</w:t>
            </w:r>
          </w:p>
        </w:tc>
        <w:tc>
          <w:tcPr>
            <w:tcW w:w="488" w:type="pct"/>
            <w:gridSpan w:val="2"/>
            <w:tcBorders>
              <w:right w:val="single" w:color="auto" w:sz="4" w:space="0"/>
            </w:tcBorders>
            <w:vAlign w:val="center"/>
          </w:tcPr>
          <w:p w14:paraId="4383A6BA">
            <w:pPr>
              <w:pStyle w:val="47"/>
              <w:adjustRightInd w:val="0"/>
              <w:snapToGrid w:val="0"/>
              <w:rPr>
                <w:rFonts w:eastAsia="宋体"/>
              </w:rPr>
            </w:pPr>
            <w:r>
              <w:rPr>
                <w:rFonts w:eastAsia="宋体"/>
              </w:rPr>
              <w:t>一般固废</w:t>
            </w:r>
          </w:p>
        </w:tc>
        <w:tc>
          <w:tcPr>
            <w:tcW w:w="988" w:type="pct"/>
            <w:tcBorders>
              <w:left w:val="single" w:color="auto" w:sz="4" w:space="0"/>
            </w:tcBorders>
            <w:vAlign w:val="center"/>
          </w:tcPr>
          <w:p w14:paraId="77B52BFC">
            <w:pPr>
              <w:pStyle w:val="47"/>
              <w:adjustRightInd w:val="0"/>
              <w:snapToGrid w:val="0"/>
              <w:rPr>
                <w:rFonts w:eastAsia="宋体"/>
              </w:rPr>
            </w:pPr>
            <w:r>
              <w:rPr>
                <w:rFonts w:eastAsia="宋体"/>
              </w:rPr>
              <w:t>一般固废仓库100m</w:t>
            </w:r>
            <w:r>
              <w:rPr>
                <w:rFonts w:eastAsia="宋体"/>
                <w:vertAlign w:val="superscript"/>
              </w:rPr>
              <w:t>2</w:t>
            </w:r>
          </w:p>
        </w:tc>
        <w:tc>
          <w:tcPr>
            <w:tcW w:w="1190" w:type="pct"/>
            <w:vAlign w:val="center"/>
          </w:tcPr>
          <w:p w14:paraId="4F502B5E">
            <w:pPr>
              <w:pStyle w:val="47"/>
              <w:adjustRightInd w:val="0"/>
              <w:snapToGrid w:val="0"/>
              <w:rPr>
                <w:rFonts w:eastAsia="宋体"/>
              </w:rPr>
            </w:pPr>
            <w:r>
              <w:rPr>
                <w:rFonts w:eastAsia="宋体"/>
              </w:rPr>
              <w:t>依托现有一般固废仓库100m</w:t>
            </w:r>
            <w:r>
              <w:rPr>
                <w:rFonts w:eastAsia="宋体"/>
                <w:vertAlign w:val="superscript"/>
              </w:rPr>
              <w:t>2</w:t>
            </w:r>
          </w:p>
        </w:tc>
        <w:tc>
          <w:tcPr>
            <w:tcW w:w="1242" w:type="pct"/>
            <w:vAlign w:val="center"/>
          </w:tcPr>
          <w:p w14:paraId="5C7E776E">
            <w:pPr>
              <w:pStyle w:val="47"/>
              <w:adjustRightInd w:val="0"/>
              <w:snapToGrid w:val="0"/>
              <w:rPr>
                <w:rFonts w:eastAsia="宋体"/>
              </w:rPr>
            </w:pPr>
            <w:r>
              <w:rPr>
                <w:rFonts w:eastAsia="宋体"/>
              </w:rPr>
              <w:t>一般固废仓库100m</w:t>
            </w:r>
            <w:r>
              <w:rPr>
                <w:rFonts w:eastAsia="宋体"/>
                <w:vertAlign w:val="superscript"/>
              </w:rPr>
              <w:t>2</w:t>
            </w:r>
          </w:p>
        </w:tc>
        <w:tc>
          <w:tcPr>
            <w:tcW w:w="667" w:type="pct"/>
            <w:gridSpan w:val="2"/>
            <w:vMerge w:val="restart"/>
            <w:vAlign w:val="center"/>
          </w:tcPr>
          <w:p w14:paraId="78779E10">
            <w:pPr>
              <w:pStyle w:val="47"/>
              <w:adjustRightInd w:val="0"/>
              <w:snapToGrid w:val="0"/>
              <w:rPr>
                <w:rFonts w:eastAsia="宋体"/>
              </w:rPr>
            </w:pPr>
            <w:r>
              <w:rPr>
                <w:rFonts w:eastAsia="宋体"/>
              </w:rPr>
              <w:t>依托现有</w:t>
            </w:r>
          </w:p>
        </w:tc>
      </w:tr>
      <w:tr w14:paraId="4378732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39A89163">
            <w:pPr>
              <w:pStyle w:val="47"/>
              <w:adjustRightInd w:val="0"/>
              <w:snapToGrid w:val="0"/>
              <w:rPr>
                <w:rFonts w:eastAsia="宋体"/>
              </w:rPr>
            </w:pPr>
          </w:p>
        </w:tc>
        <w:tc>
          <w:tcPr>
            <w:tcW w:w="171" w:type="pct"/>
            <w:vMerge w:val="continue"/>
            <w:vAlign w:val="center"/>
          </w:tcPr>
          <w:p w14:paraId="2C1B3F82">
            <w:pPr>
              <w:pStyle w:val="47"/>
              <w:adjustRightInd w:val="0"/>
              <w:snapToGrid w:val="0"/>
              <w:rPr>
                <w:rFonts w:eastAsia="宋体"/>
              </w:rPr>
            </w:pPr>
          </w:p>
        </w:tc>
        <w:tc>
          <w:tcPr>
            <w:tcW w:w="488" w:type="pct"/>
            <w:gridSpan w:val="2"/>
            <w:tcBorders>
              <w:right w:val="single" w:color="auto" w:sz="4" w:space="0"/>
            </w:tcBorders>
            <w:vAlign w:val="center"/>
          </w:tcPr>
          <w:p w14:paraId="7371847B">
            <w:pPr>
              <w:pStyle w:val="47"/>
              <w:adjustRightInd w:val="0"/>
              <w:snapToGrid w:val="0"/>
              <w:rPr>
                <w:rFonts w:eastAsia="宋体"/>
              </w:rPr>
            </w:pPr>
            <w:r>
              <w:rPr>
                <w:rFonts w:eastAsia="宋体"/>
              </w:rPr>
              <w:t>危险废物</w:t>
            </w:r>
          </w:p>
        </w:tc>
        <w:tc>
          <w:tcPr>
            <w:tcW w:w="988" w:type="pct"/>
            <w:tcBorders>
              <w:left w:val="single" w:color="auto" w:sz="4" w:space="0"/>
            </w:tcBorders>
            <w:vAlign w:val="center"/>
          </w:tcPr>
          <w:p w14:paraId="5A7660B0">
            <w:pPr>
              <w:pStyle w:val="47"/>
              <w:adjustRightInd w:val="0"/>
              <w:snapToGrid w:val="0"/>
              <w:rPr>
                <w:rFonts w:eastAsia="宋体"/>
              </w:rPr>
            </w:pPr>
            <w:r>
              <w:rPr>
                <w:rFonts w:eastAsia="宋体"/>
              </w:rPr>
              <w:t>危险废物仓库30m</w:t>
            </w:r>
            <w:r>
              <w:rPr>
                <w:rFonts w:eastAsia="宋体"/>
                <w:vertAlign w:val="superscript"/>
              </w:rPr>
              <w:t>2</w:t>
            </w:r>
          </w:p>
        </w:tc>
        <w:tc>
          <w:tcPr>
            <w:tcW w:w="1190" w:type="pct"/>
            <w:vAlign w:val="center"/>
          </w:tcPr>
          <w:p w14:paraId="40351BB8">
            <w:pPr>
              <w:pStyle w:val="47"/>
              <w:adjustRightInd w:val="0"/>
              <w:snapToGrid w:val="0"/>
              <w:rPr>
                <w:rFonts w:eastAsia="宋体"/>
              </w:rPr>
            </w:pPr>
            <w:r>
              <w:rPr>
                <w:rFonts w:eastAsia="宋体"/>
              </w:rPr>
              <w:t>依托现有危险废物仓库30m</w:t>
            </w:r>
            <w:r>
              <w:rPr>
                <w:rFonts w:eastAsia="宋体"/>
                <w:vertAlign w:val="superscript"/>
              </w:rPr>
              <w:t>2</w:t>
            </w:r>
          </w:p>
        </w:tc>
        <w:tc>
          <w:tcPr>
            <w:tcW w:w="1242" w:type="pct"/>
            <w:vAlign w:val="center"/>
          </w:tcPr>
          <w:p w14:paraId="63F7967C">
            <w:pPr>
              <w:pStyle w:val="47"/>
              <w:adjustRightInd w:val="0"/>
              <w:snapToGrid w:val="0"/>
              <w:rPr>
                <w:rFonts w:eastAsia="宋体"/>
              </w:rPr>
            </w:pPr>
            <w:r>
              <w:rPr>
                <w:rFonts w:eastAsia="宋体"/>
              </w:rPr>
              <w:t>危险废物仓库30m</w:t>
            </w:r>
            <w:r>
              <w:rPr>
                <w:rFonts w:eastAsia="宋体"/>
                <w:vertAlign w:val="superscript"/>
              </w:rPr>
              <w:t>2</w:t>
            </w:r>
          </w:p>
        </w:tc>
        <w:tc>
          <w:tcPr>
            <w:tcW w:w="667" w:type="pct"/>
            <w:gridSpan w:val="2"/>
            <w:vMerge w:val="continue"/>
            <w:vAlign w:val="center"/>
          </w:tcPr>
          <w:p w14:paraId="4999543E">
            <w:pPr>
              <w:pStyle w:val="47"/>
              <w:adjustRightInd w:val="0"/>
              <w:snapToGrid w:val="0"/>
              <w:rPr>
                <w:rFonts w:eastAsia="宋体"/>
              </w:rPr>
            </w:pPr>
          </w:p>
        </w:tc>
      </w:tr>
      <w:tr w14:paraId="4AA9033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77655060">
            <w:pPr>
              <w:pStyle w:val="47"/>
              <w:adjustRightInd w:val="0"/>
              <w:snapToGrid w:val="0"/>
              <w:rPr>
                <w:rFonts w:eastAsia="宋体"/>
              </w:rPr>
            </w:pPr>
          </w:p>
        </w:tc>
        <w:tc>
          <w:tcPr>
            <w:tcW w:w="660" w:type="pct"/>
            <w:gridSpan w:val="3"/>
            <w:tcBorders>
              <w:right w:val="single" w:color="auto" w:sz="4" w:space="0"/>
            </w:tcBorders>
            <w:vAlign w:val="center"/>
          </w:tcPr>
          <w:p w14:paraId="47BC8C9B">
            <w:pPr>
              <w:pStyle w:val="47"/>
              <w:adjustRightInd w:val="0"/>
              <w:snapToGrid w:val="0"/>
              <w:rPr>
                <w:rFonts w:eastAsia="宋体"/>
              </w:rPr>
            </w:pPr>
            <w:r>
              <w:rPr>
                <w:rFonts w:eastAsia="宋体"/>
              </w:rPr>
              <w:t>噪声</w:t>
            </w:r>
          </w:p>
        </w:tc>
        <w:tc>
          <w:tcPr>
            <w:tcW w:w="988" w:type="pct"/>
            <w:tcBorders>
              <w:left w:val="single" w:color="auto" w:sz="4" w:space="0"/>
            </w:tcBorders>
            <w:vAlign w:val="center"/>
          </w:tcPr>
          <w:p w14:paraId="37DA9B67">
            <w:pPr>
              <w:pStyle w:val="47"/>
              <w:adjustRightInd w:val="0"/>
              <w:snapToGrid w:val="0"/>
              <w:rPr>
                <w:rFonts w:eastAsia="宋体"/>
              </w:rPr>
            </w:pPr>
            <w:r>
              <w:rPr>
                <w:rFonts w:eastAsia="宋体"/>
              </w:rPr>
              <w:t>隔声、减振、消音措施，降噪≥25dB(A)</w:t>
            </w:r>
          </w:p>
        </w:tc>
        <w:tc>
          <w:tcPr>
            <w:tcW w:w="1190" w:type="pct"/>
            <w:vAlign w:val="center"/>
          </w:tcPr>
          <w:p w14:paraId="3E3532C2">
            <w:pPr>
              <w:pStyle w:val="47"/>
              <w:adjustRightInd w:val="0"/>
              <w:snapToGrid w:val="0"/>
              <w:rPr>
                <w:rFonts w:eastAsia="宋体"/>
              </w:rPr>
            </w:pPr>
            <w:r>
              <w:rPr>
                <w:rFonts w:eastAsia="宋体"/>
              </w:rPr>
              <w:t>隔声、减振、消音措施，降噪≥25dB(A)</w:t>
            </w:r>
          </w:p>
        </w:tc>
        <w:tc>
          <w:tcPr>
            <w:tcW w:w="1242" w:type="pct"/>
            <w:vAlign w:val="center"/>
          </w:tcPr>
          <w:p w14:paraId="37120E48">
            <w:pPr>
              <w:pStyle w:val="47"/>
              <w:adjustRightInd w:val="0"/>
              <w:snapToGrid w:val="0"/>
              <w:rPr>
                <w:rFonts w:eastAsia="宋体"/>
              </w:rPr>
            </w:pPr>
            <w:r>
              <w:rPr>
                <w:rFonts w:eastAsia="宋体"/>
              </w:rPr>
              <w:t>隔声、减振、消音措施，降噪≥25dB(A)</w:t>
            </w:r>
          </w:p>
        </w:tc>
        <w:tc>
          <w:tcPr>
            <w:tcW w:w="667" w:type="pct"/>
            <w:gridSpan w:val="2"/>
            <w:vAlign w:val="center"/>
          </w:tcPr>
          <w:p w14:paraId="3B5842E2">
            <w:pPr>
              <w:pStyle w:val="47"/>
              <w:adjustRightInd w:val="0"/>
              <w:snapToGrid w:val="0"/>
              <w:rPr>
                <w:rFonts w:eastAsia="宋体"/>
              </w:rPr>
            </w:pPr>
            <w:r>
              <w:rPr>
                <w:rFonts w:eastAsia="宋体"/>
              </w:rPr>
              <w:t>/</w:t>
            </w:r>
          </w:p>
        </w:tc>
      </w:tr>
      <w:tr w14:paraId="49F9E0A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3E3F0FAE">
            <w:pPr>
              <w:pStyle w:val="47"/>
              <w:adjustRightInd w:val="0"/>
              <w:snapToGrid w:val="0"/>
              <w:rPr>
                <w:rFonts w:eastAsia="宋体"/>
              </w:rPr>
            </w:pPr>
          </w:p>
        </w:tc>
        <w:tc>
          <w:tcPr>
            <w:tcW w:w="226" w:type="pct"/>
            <w:gridSpan w:val="2"/>
            <w:vMerge w:val="restart"/>
            <w:vAlign w:val="center"/>
          </w:tcPr>
          <w:p w14:paraId="02009752">
            <w:pPr>
              <w:pStyle w:val="47"/>
              <w:adjustRightInd w:val="0"/>
              <w:snapToGrid w:val="0"/>
              <w:rPr>
                <w:rFonts w:eastAsia="宋体"/>
              </w:rPr>
            </w:pPr>
            <w:r>
              <w:rPr>
                <w:rFonts w:eastAsia="宋体"/>
              </w:rPr>
              <w:t>风险防范</w:t>
            </w:r>
          </w:p>
        </w:tc>
        <w:tc>
          <w:tcPr>
            <w:tcW w:w="434" w:type="pct"/>
            <w:tcBorders>
              <w:right w:val="single" w:color="auto" w:sz="4" w:space="0"/>
            </w:tcBorders>
            <w:vAlign w:val="center"/>
          </w:tcPr>
          <w:p w14:paraId="39700E8F">
            <w:pPr>
              <w:pStyle w:val="47"/>
              <w:adjustRightInd w:val="0"/>
              <w:snapToGrid w:val="0"/>
              <w:rPr>
                <w:rFonts w:eastAsia="宋体"/>
              </w:rPr>
            </w:pPr>
            <w:r>
              <w:rPr>
                <w:rFonts w:eastAsia="宋体"/>
              </w:rPr>
              <w:t>应急事故池</w:t>
            </w:r>
          </w:p>
        </w:tc>
        <w:tc>
          <w:tcPr>
            <w:tcW w:w="988" w:type="pct"/>
            <w:tcBorders>
              <w:left w:val="single" w:color="auto" w:sz="4" w:space="0"/>
            </w:tcBorders>
            <w:vAlign w:val="center"/>
          </w:tcPr>
          <w:p w14:paraId="799240F7">
            <w:pPr>
              <w:pStyle w:val="47"/>
              <w:adjustRightInd w:val="0"/>
              <w:snapToGrid w:val="0"/>
              <w:rPr>
                <w:rFonts w:eastAsia="宋体"/>
              </w:rPr>
            </w:pPr>
            <w:r>
              <w:rPr>
                <w:rFonts w:eastAsia="宋体"/>
              </w:rPr>
              <w:t>一座，130m</w:t>
            </w:r>
            <w:r>
              <w:rPr>
                <w:rFonts w:eastAsia="宋体"/>
                <w:vertAlign w:val="superscript"/>
              </w:rPr>
              <w:t>3</w:t>
            </w:r>
          </w:p>
        </w:tc>
        <w:tc>
          <w:tcPr>
            <w:tcW w:w="1190" w:type="pct"/>
            <w:vAlign w:val="center"/>
          </w:tcPr>
          <w:p w14:paraId="732CAAAF">
            <w:pPr>
              <w:pStyle w:val="47"/>
              <w:adjustRightInd w:val="0"/>
              <w:snapToGrid w:val="0"/>
              <w:rPr>
                <w:rFonts w:eastAsia="宋体"/>
              </w:rPr>
            </w:pPr>
            <w:r>
              <w:rPr>
                <w:rFonts w:eastAsia="宋体"/>
              </w:rPr>
              <w:t>/</w:t>
            </w:r>
          </w:p>
        </w:tc>
        <w:tc>
          <w:tcPr>
            <w:tcW w:w="1242" w:type="pct"/>
            <w:vAlign w:val="center"/>
          </w:tcPr>
          <w:p w14:paraId="193ACE7A">
            <w:pPr>
              <w:pStyle w:val="47"/>
              <w:adjustRightInd w:val="0"/>
              <w:snapToGrid w:val="0"/>
              <w:rPr>
                <w:rFonts w:eastAsia="宋体"/>
              </w:rPr>
            </w:pPr>
            <w:r>
              <w:rPr>
                <w:rFonts w:eastAsia="宋体"/>
              </w:rPr>
              <w:t>一座，130m</w:t>
            </w:r>
            <w:r>
              <w:rPr>
                <w:rFonts w:eastAsia="宋体"/>
                <w:vertAlign w:val="superscript"/>
              </w:rPr>
              <w:t>3</w:t>
            </w:r>
          </w:p>
        </w:tc>
        <w:tc>
          <w:tcPr>
            <w:tcW w:w="667" w:type="pct"/>
            <w:gridSpan w:val="2"/>
            <w:vAlign w:val="center"/>
          </w:tcPr>
          <w:p w14:paraId="0500FD8B">
            <w:pPr>
              <w:pStyle w:val="47"/>
              <w:adjustRightInd w:val="0"/>
              <w:snapToGrid w:val="0"/>
              <w:rPr>
                <w:rFonts w:eastAsia="宋体"/>
              </w:rPr>
            </w:pPr>
            <w:r>
              <w:rPr>
                <w:rFonts w:eastAsia="宋体"/>
              </w:rPr>
              <w:t>依托现有</w:t>
            </w:r>
          </w:p>
        </w:tc>
      </w:tr>
      <w:tr w14:paraId="605838F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251" w:type="pct"/>
            <w:vMerge w:val="continue"/>
            <w:vAlign w:val="center"/>
          </w:tcPr>
          <w:p w14:paraId="27FF7EEC">
            <w:pPr>
              <w:pStyle w:val="47"/>
              <w:adjustRightInd w:val="0"/>
              <w:snapToGrid w:val="0"/>
              <w:rPr>
                <w:rFonts w:eastAsia="宋体"/>
              </w:rPr>
            </w:pPr>
          </w:p>
        </w:tc>
        <w:tc>
          <w:tcPr>
            <w:tcW w:w="226" w:type="pct"/>
            <w:gridSpan w:val="2"/>
            <w:vMerge w:val="continue"/>
            <w:vAlign w:val="center"/>
          </w:tcPr>
          <w:p w14:paraId="2B3E0892">
            <w:pPr>
              <w:pStyle w:val="47"/>
              <w:adjustRightInd w:val="0"/>
              <w:snapToGrid w:val="0"/>
              <w:rPr>
                <w:rFonts w:eastAsia="宋体"/>
              </w:rPr>
            </w:pPr>
          </w:p>
        </w:tc>
        <w:tc>
          <w:tcPr>
            <w:tcW w:w="434" w:type="pct"/>
            <w:tcBorders>
              <w:right w:val="single" w:color="auto" w:sz="4" w:space="0"/>
            </w:tcBorders>
            <w:vAlign w:val="center"/>
          </w:tcPr>
          <w:p w14:paraId="644FE1C0">
            <w:pPr>
              <w:pStyle w:val="47"/>
              <w:adjustRightInd w:val="0"/>
              <w:snapToGrid w:val="0"/>
              <w:rPr>
                <w:rFonts w:eastAsia="宋体"/>
              </w:rPr>
            </w:pPr>
            <w:r>
              <w:rPr>
                <w:rFonts w:eastAsia="宋体"/>
              </w:rPr>
              <w:t>消防水池</w:t>
            </w:r>
          </w:p>
        </w:tc>
        <w:tc>
          <w:tcPr>
            <w:tcW w:w="988" w:type="pct"/>
            <w:tcBorders>
              <w:left w:val="single" w:color="auto" w:sz="4" w:space="0"/>
            </w:tcBorders>
            <w:vAlign w:val="center"/>
          </w:tcPr>
          <w:p w14:paraId="397AE714">
            <w:pPr>
              <w:pStyle w:val="47"/>
              <w:adjustRightInd w:val="0"/>
              <w:snapToGrid w:val="0"/>
              <w:rPr>
                <w:rFonts w:eastAsia="宋体"/>
              </w:rPr>
            </w:pPr>
            <w:r>
              <w:rPr>
                <w:rFonts w:eastAsia="宋体"/>
              </w:rPr>
              <w:t>一座，100m</w:t>
            </w:r>
            <w:r>
              <w:rPr>
                <w:rFonts w:eastAsia="宋体"/>
                <w:vertAlign w:val="superscript"/>
              </w:rPr>
              <w:t>3</w:t>
            </w:r>
          </w:p>
        </w:tc>
        <w:tc>
          <w:tcPr>
            <w:tcW w:w="1190" w:type="pct"/>
            <w:vAlign w:val="center"/>
          </w:tcPr>
          <w:p w14:paraId="241CC7B9">
            <w:pPr>
              <w:pStyle w:val="47"/>
              <w:adjustRightInd w:val="0"/>
              <w:snapToGrid w:val="0"/>
              <w:rPr>
                <w:rFonts w:eastAsia="宋体"/>
              </w:rPr>
            </w:pPr>
            <w:r>
              <w:rPr>
                <w:rFonts w:eastAsia="宋体"/>
              </w:rPr>
              <w:t>/</w:t>
            </w:r>
          </w:p>
        </w:tc>
        <w:tc>
          <w:tcPr>
            <w:tcW w:w="1242" w:type="pct"/>
            <w:vAlign w:val="center"/>
          </w:tcPr>
          <w:p w14:paraId="0F04C6CE">
            <w:pPr>
              <w:pStyle w:val="47"/>
              <w:adjustRightInd w:val="0"/>
              <w:snapToGrid w:val="0"/>
              <w:rPr>
                <w:rFonts w:eastAsia="宋体"/>
              </w:rPr>
            </w:pPr>
            <w:r>
              <w:rPr>
                <w:rFonts w:eastAsia="宋体"/>
              </w:rPr>
              <w:t>一座，100m</w:t>
            </w:r>
            <w:r>
              <w:rPr>
                <w:rFonts w:eastAsia="宋体"/>
                <w:vertAlign w:val="superscript"/>
              </w:rPr>
              <w:t>3</w:t>
            </w:r>
          </w:p>
        </w:tc>
        <w:tc>
          <w:tcPr>
            <w:tcW w:w="667" w:type="pct"/>
            <w:gridSpan w:val="2"/>
            <w:vAlign w:val="center"/>
          </w:tcPr>
          <w:p w14:paraId="5CF27E79">
            <w:pPr>
              <w:pStyle w:val="47"/>
              <w:adjustRightInd w:val="0"/>
              <w:snapToGrid w:val="0"/>
              <w:rPr>
                <w:rFonts w:eastAsia="宋体"/>
              </w:rPr>
            </w:pPr>
            <w:r>
              <w:rPr>
                <w:rFonts w:eastAsia="宋体"/>
              </w:rPr>
              <w:t>依托现有</w:t>
            </w:r>
          </w:p>
        </w:tc>
      </w:tr>
      <w:tr w14:paraId="3FA153C0">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gridAfter w:val="1"/>
          <w:wAfter w:w="33" w:type="pct"/>
          <w:trHeight w:val="340" w:hRule="atLeast"/>
          <w:jc w:val="center"/>
        </w:trPr>
        <w:tc>
          <w:tcPr>
            <w:tcW w:w="251" w:type="pct"/>
            <w:vAlign w:val="center"/>
          </w:tcPr>
          <w:p w14:paraId="6DCE54DF">
            <w:pPr>
              <w:pStyle w:val="47"/>
              <w:adjustRightInd w:val="0"/>
              <w:snapToGrid w:val="0"/>
              <w:rPr>
                <w:rFonts w:eastAsia="宋体"/>
              </w:rPr>
            </w:pPr>
            <w:r>
              <w:rPr>
                <w:rFonts w:eastAsia="宋体"/>
              </w:rPr>
              <w:t>依托工程</w:t>
            </w:r>
          </w:p>
        </w:tc>
        <w:tc>
          <w:tcPr>
            <w:tcW w:w="4715" w:type="pct"/>
            <w:gridSpan w:val="7"/>
            <w:vAlign w:val="center"/>
          </w:tcPr>
          <w:p w14:paraId="737355D4">
            <w:pPr>
              <w:pStyle w:val="47"/>
              <w:adjustRightInd w:val="0"/>
              <w:snapToGrid w:val="0"/>
              <w:rPr>
                <w:rFonts w:eastAsia="宋体"/>
              </w:rPr>
            </w:pPr>
            <w:r>
              <w:rPr>
                <w:rFonts w:eastAsia="宋体"/>
              </w:rPr>
              <w:t>依托现有厂区内已建1#车间、2#车间、3#车间、4#车间、5#车间、办公楼、食堂、固废仓库、污水管网和排污口、雨水管网和排口，供水、供电等基础设施</w:t>
            </w:r>
          </w:p>
        </w:tc>
      </w:tr>
    </w:tbl>
    <w:p w14:paraId="013C5D50"/>
    <w:p w14:paraId="4DFB9261">
      <w:pPr>
        <w:pStyle w:val="8"/>
        <w:sectPr>
          <w:pgSz w:w="16838" w:h="11906" w:orient="landscape"/>
          <w:pgMar w:top="1531" w:right="1701" w:bottom="1531" w:left="1701" w:header="851" w:footer="851" w:gutter="0"/>
          <w:cols w:space="720" w:num="1"/>
          <w:docGrid w:linePitch="312" w:charSpace="0"/>
        </w:sectPr>
      </w:pPr>
    </w:p>
    <w:p w14:paraId="3A1A3CE9"/>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602"/>
      </w:tblGrid>
      <w:tr w14:paraId="3E4FE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dxa"/>
            <w:vAlign w:val="center"/>
          </w:tcPr>
          <w:p w14:paraId="49C0BEF4">
            <w:pPr>
              <w:pStyle w:val="21"/>
              <w:widowControl w:val="0"/>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建设内容</w:t>
            </w:r>
          </w:p>
        </w:tc>
        <w:tc>
          <w:tcPr>
            <w:tcW w:w="8602" w:type="dxa"/>
          </w:tcPr>
          <w:p w14:paraId="3C9F4A57">
            <w:pPr>
              <w:pStyle w:val="8"/>
              <w:adjustRightInd w:val="0"/>
              <w:snapToGrid w:val="0"/>
              <w:spacing w:beforeLines="50" w:line="360" w:lineRule="auto"/>
              <w:ind w:firstLine="422" w:firstLineChars="200"/>
              <w:rPr>
                <w:b/>
                <w:bCs/>
                <w:szCs w:val="21"/>
              </w:rPr>
            </w:pPr>
            <w:r>
              <w:rPr>
                <w:b/>
                <w:bCs/>
                <w:szCs w:val="21"/>
              </w:rPr>
              <w:t>（1）主体工程依托可行性分析</w:t>
            </w:r>
          </w:p>
          <w:p w14:paraId="2E34BF86">
            <w:pPr>
              <w:pStyle w:val="8"/>
              <w:adjustRightInd w:val="0"/>
              <w:snapToGrid w:val="0"/>
              <w:spacing w:line="360" w:lineRule="auto"/>
              <w:ind w:firstLine="420" w:firstLineChars="200"/>
              <w:rPr>
                <w:szCs w:val="21"/>
              </w:rPr>
            </w:pPr>
            <w:r>
              <w:rPr>
                <w:szCs w:val="21"/>
              </w:rPr>
              <w:t>本次扩建项目新增生产线设备均依托厂区现有生产车间；1#车间为现有项目使用车间，建筑面积约7905m</w:t>
            </w:r>
            <w:r>
              <w:rPr>
                <w:szCs w:val="21"/>
                <w:vertAlign w:val="superscript"/>
              </w:rPr>
              <w:t>2</w:t>
            </w:r>
            <w:r>
              <w:rPr>
                <w:szCs w:val="21"/>
              </w:rPr>
              <w:t>，根据车间平面布置情况可知，1#车间设备及办公区域等已使用面积约6200m</w:t>
            </w:r>
            <w:r>
              <w:rPr>
                <w:szCs w:val="21"/>
                <w:vertAlign w:val="superscript"/>
              </w:rPr>
              <w:t>2</w:t>
            </w:r>
            <w:r>
              <w:rPr>
                <w:szCs w:val="21"/>
              </w:rPr>
              <w:t>，本次扩建项目设备使用面积约1000m</w:t>
            </w:r>
            <w:r>
              <w:rPr>
                <w:szCs w:val="21"/>
                <w:vertAlign w:val="superscript"/>
              </w:rPr>
              <w:t>2</w:t>
            </w:r>
            <w:r>
              <w:rPr>
                <w:szCs w:val="21"/>
              </w:rPr>
              <w:t>，1#车间区域能够满足扩建项目生产线建设空间需求。</w:t>
            </w:r>
          </w:p>
          <w:p w14:paraId="464D8F9C">
            <w:pPr>
              <w:pStyle w:val="8"/>
              <w:adjustRightInd w:val="0"/>
              <w:snapToGrid w:val="0"/>
              <w:spacing w:line="360" w:lineRule="auto"/>
              <w:ind w:firstLine="420" w:firstLineChars="200"/>
              <w:rPr>
                <w:szCs w:val="21"/>
              </w:rPr>
            </w:pPr>
            <w:r>
              <w:rPr>
                <w:szCs w:val="21"/>
              </w:rPr>
              <w:t>2#车间为现有项目使用车间，建筑面积约6594m</w:t>
            </w:r>
            <w:r>
              <w:rPr>
                <w:szCs w:val="21"/>
                <w:vertAlign w:val="superscript"/>
              </w:rPr>
              <w:t>2</w:t>
            </w:r>
            <w:r>
              <w:rPr>
                <w:szCs w:val="21"/>
              </w:rPr>
              <w:t>，根据车间平面布置情况可知，2#车间成品仓库、设备及办公区域等已使用面积约5500m</w:t>
            </w:r>
            <w:r>
              <w:rPr>
                <w:szCs w:val="21"/>
                <w:vertAlign w:val="superscript"/>
              </w:rPr>
              <w:t>2</w:t>
            </w:r>
            <w:r>
              <w:rPr>
                <w:szCs w:val="21"/>
              </w:rPr>
              <w:t>，本次扩建项目利用车间内已有设备，不新增设备，故2#车间区域能够满足扩建项目建设需求。</w:t>
            </w:r>
          </w:p>
          <w:p w14:paraId="3CB8BA40">
            <w:pPr>
              <w:pStyle w:val="8"/>
              <w:adjustRightInd w:val="0"/>
              <w:snapToGrid w:val="0"/>
              <w:spacing w:line="360" w:lineRule="auto"/>
              <w:ind w:firstLine="420" w:firstLineChars="200"/>
              <w:rPr>
                <w:szCs w:val="21"/>
              </w:rPr>
            </w:pPr>
            <w:r>
              <w:rPr>
                <w:szCs w:val="21"/>
              </w:rPr>
              <w:t>3#车间为现有项目使用车间，建筑面积约7905m</w:t>
            </w:r>
            <w:r>
              <w:rPr>
                <w:szCs w:val="21"/>
                <w:vertAlign w:val="superscript"/>
              </w:rPr>
              <w:t>2</w:t>
            </w:r>
            <w:r>
              <w:rPr>
                <w:szCs w:val="21"/>
              </w:rPr>
              <w:t>，根据车间平面布置情况可知，3#车间原料仓库、设备及办公区域等已使用面积约6500m</w:t>
            </w:r>
            <w:r>
              <w:rPr>
                <w:szCs w:val="21"/>
                <w:vertAlign w:val="superscript"/>
              </w:rPr>
              <w:t>2</w:t>
            </w:r>
            <w:r>
              <w:rPr>
                <w:szCs w:val="21"/>
              </w:rPr>
              <w:t>，本次扩建项目设备使用面积约200m</w:t>
            </w:r>
            <w:r>
              <w:rPr>
                <w:szCs w:val="21"/>
                <w:vertAlign w:val="superscript"/>
              </w:rPr>
              <w:t>2</w:t>
            </w:r>
            <w:r>
              <w:rPr>
                <w:szCs w:val="21"/>
              </w:rPr>
              <w:t>，3#车间区域能够满足扩建项目生产线建设空间需求。</w:t>
            </w:r>
          </w:p>
          <w:p w14:paraId="0B8A96ED">
            <w:pPr>
              <w:pStyle w:val="8"/>
              <w:adjustRightInd w:val="0"/>
              <w:snapToGrid w:val="0"/>
              <w:spacing w:line="360" w:lineRule="auto"/>
              <w:ind w:firstLine="420" w:firstLineChars="200"/>
              <w:rPr>
                <w:szCs w:val="21"/>
              </w:rPr>
            </w:pPr>
            <w:r>
              <w:rPr>
                <w:szCs w:val="21"/>
              </w:rPr>
              <w:t>4#车间为现有项目使用车间，建筑面积约7905m</w:t>
            </w:r>
            <w:r>
              <w:rPr>
                <w:szCs w:val="21"/>
                <w:vertAlign w:val="superscript"/>
              </w:rPr>
              <w:t>2</w:t>
            </w:r>
            <w:r>
              <w:rPr>
                <w:szCs w:val="21"/>
              </w:rPr>
              <w:t>，根据车间平面布置情况可知，4#车间设备及办公区域等已使用面积约6800m</w:t>
            </w:r>
            <w:r>
              <w:rPr>
                <w:szCs w:val="21"/>
                <w:vertAlign w:val="superscript"/>
              </w:rPr>
              <w:t>2</w:t>
            </w:r>
            <w:r>
              <w:rPr>
                <w:szCs w:val="21"/>
              </w:rPr>
              <w:t>，本次扩建项目设备使用面积约500m</w:t>
            </w:r>
            <w:r>
              <w:rPr>
                <w:szCs w:val="21"/>
                <w:vertAlign w:val="superscript"/>
              </w:rPr>
              <w:t>2</w:t>
            </w:r>
            <w:r>
              <w:rPr>
                <w:szCs w:val="21"/>
              </w:rPr>
              <w:t>，4#车间区域能够满足扩建项目生产线建设空间需求。</w:t>
            </w:r>
          </w:p>
          <w:p w14:paraId="0D5F02DB">
            <w:pPr>
              <w:pStyle w:val="8"/>
              <w:adjustRightInd w:val="0"/>
              <w:snapToGrid w:val="0"/>
              <w:spacing w:line="360" w:lineRule="auto"/>
              <w:ind w:firstLine="420" w:firstLineChars="200"/>
              <w:rPr>
                <w:szCs w:val="21"/>
              </w:rPr>
            </w:pPr>
            <w:r>
              <w:rPr>
                <w:szCs w:val="21"/>
              </w:rPr>
              <w:t>5#车间为现有项目使用车间，从事模具的修整、产品的质量检验，建筑面积约4089m</w:t>
            </w:r>
            <w:r>
              <w:rPr>
                <w:szCs w:val="21"/>
                <w:vertAlign w:val="superscript"/>
              </w:rPr>
              <w:t>2</w:t>
            </w:r>
            <w:r>
              <w:rPr>
                <w:szCs w:val="21"/>
              </w:rPr>
              <w:t>，根据车间平面布置情况可知，5#车间模具堆放、设备及办公区域等已使用面积约2200m</w:t>
            </w:r>
            <w:r>
              <w:rPr>
                <w:szCs w:val="21"/>
                <w:vertAlign w:val="superscript"/>
              </w:rPr>
              <w:t>2</w:t>
            </w:r>
            <w:r>
              <w:rPr>
                <w:szCs w:val="21"/>
              </w:rPr>
              <w:t>，本次扩建项目新增的模具修整设备使用面积约280m</w:t>
            </w:r>
            <w:r>
              <w:rPr>
                <w:szCs w:val="21"/>
                <w:vertAlign w:val="superscript"/>
              </w:rPr>
              <w:t>2</w:t>
            </w:r>
            <w:r>
              <w:rPr>
                <w:szCs w:val="21"/>
              </w:rPr>
              <w:t>，5#车间区域能够满足扩建项目建设空间需求。</w:t>
            </w:r>
          </w:p>
          <w:p w14:paraId="12775D40">
            <w:pPr>
              <w:pStyle w:val="8"/>
              <w:adjustRightInd w:val="0"/>
              <w:snapToGrid w:val="0"/>
              <w:spacing w:line="360" w:lineRule="auto"/>
              <w:ind w:firstLine="420" w:firstLineChars="200"/>
              <w:rPr>
                <w:b/>
                <w:bCs/>
                <w:szCs w:val="21"/>
              </w:rPr>
            </w:pPr>
            <w:r>
              <w:rPr>
                <w:szCs w:val="21"/>
              </w:rPr>
              <w:t>成品仓库位于2#车间，扩建项目成品储存及现有项目成品储存合计使用面积约3000m</w:t>
            </w:r>
            <w:r>
              <w:rPr>
                <w:szCs w:val="21"/>
                <w:vertAlign w:val="superscript"/>
              </w:rPr>
              <w:t>2</w:t>
            </w:r>
            <w:r>
              <w:rPr>
                <w:szCs w:val="21"/>
              </w:rPr>
              <w:t>，成品仓库能够满足成品储存需求；原料仓库位于3#车间，扩建项目原料储存及现有项目原料储存合计使用面积约3000m</w:t>
            </w:r>
            <w:r>
              <w:rPr>
                <w:szCs w:val="21"/>
                <w:vertAlign w:val="superscript"/>
              </w:rPr>
              <w:t>2</w:t>
            </w:r>
            <w:r>
              <w:rPr>
                <w:szCs w:val="21"/>
              </w:rPr>
              <w:t>，成品仓库能够满足原料储存需求。</w:t>
            </w:r>
          </w:p>
          <w:p w14:paraId="57877BB2">
            <w:pPr>
              <w:pStyle w:val="8"/>
              <w:adjustRightInd w:val="0"/>
              <w:snapToGrid w:val="0"/>
              <w:spacing w:line="360" w:lineRule="auto"/>
              <w:ind w:firstLine="422" w:firstLineChars="200"/>
              <w:rPr>
                <w:b/>
                <w:bCs/>
                <w:szCs w:val="21"/>
              </w:rPr>
            </w:pPr>
            <w:r>
              <w:rPr>
                <w:b/>
                <w:bCs/>
                <w:szCs w:val="21"/>
              </w:rPr>
              <w:t>（2）公用工程依托可行性分析</w:t>
            </w:r>
          </w:p>
          <w:p w14:paraId="69605995">
            <w:pPr>
              <w:adjustRightInd w:val="0"/>
              <w:snapToGrid w:val="0"/>
              <w:spacing w:line="360" w:lineRule="auto"/>
              <w:ind w:firstLine="420" w:firstLineChars="200"/>
              <w:rPr>
                <w:szCs w:val="21"/>
              </w:rPr>
            </w:pPr>
            <w:r>
              <w:rPr>
                <w:szCs w:val="21"/>
              </w:rPr>
              <w:t>本项目供水由市政给水管网提供，依托现有厂区内已建给水管网；雨水依托厂区内现有已建雨水管网及雨水排口；供电由园区电网提供，依托园区内现有已建电网及变压器；能够满足本项目生产建设使用。</w:t>
            </w:r>
          </w:p>
          <w:p w14:paraId="3637ACE6">
            <w:pPr>
              <w:adjustRightInd w:val="0"/>
              <w:snapToGrid w:val="0"/>
              <w:spacing w:line="360" w:lineRule="auto"/>
              <w:ind w:firstLine="422" w:firstLineChars="200"/>
              <w:rPr>
                <w:b/>
                <w:bCs/>
                <w:szCs w:val="21"/>
              </w:rPr>
            </w:pPr>
            <w:r>
              <w:rPr>
                <w:b/>
                <w:bCs/>
                <w:szCs w:val="21"/>
              </w:rPr>
              <w:t>（3）固废仓库依托可行性分析</w:t>
            </w:r>
          </w:p>
          <w:p w14:paraId="3606692A">
            <w:pPr>
              <w:adjustRightInd w:val="0"/>
              <w:snapToGrid w:val="0"/>
              <w:spacing w:line="360" w:lineRule="auto"/>
              <w:ind w:firstLine="420" w:firstLineChars="200"/>
              <w:rPr>
                <w:szCs w:val="21"/>
              </w:rPr>
            </w:pPr>
            <w:r>
              <w:rPr>
                <w:szCs w:val="21"/>
              </w:rPr>
              <w:t>现有厂区内已建一座100m</w:t>
            </w:r>
            <w:r>
              <w:rPr>
                <w:szCs w:val="21"/>
                <w:vertAlign w:val="superscript"/>
              </w:rPr>
              <w:t>2</w:t>
            </w:r>
            <w:r>
              <w:rPr>
                <w:szCs w:val="21"/>
              </w:rPr>
              <w:t>一般固废仓库及一座30m</w:t>
            </w:r>
            <w:r>
              <w:rPr>
                <w:szCs w:val="21"/>
                <w:vertAlign w:val="superscript"/>
              </w:rPr>
              <w:t>2</w:t>
            </w:r>
            <w:r>
              <w:rPr>
                <w:szCs w:val="21"/>
              </w:rPr>
              <w:t>危险废物仓库。</w:t>
            </w:r>
          </w:p>
          <w:p w14:paraId="5FA044A9">
            <w:pPr>
              <w:adjustRightInd w:val="0"/>
              <w:snapToGrid w:val="0"/>
              <w:spacing w:line="360" w:lineRule="auto"/>
              <w:ind w:firstLine="420" w:firstLineChars="200"/>
              <w:rPr>
                <w:szCs w:val="21"/>
              </w:rPr>
            </w:pPr>
            <w:r>
              <w:rPr>
                <w:szCs w:val="21"/>
              </w:rPr>
              <w:t>现有项目一般固废产生类别为</w:t>
            </w:r>
            <w:bookmarkStart w:id="36" w:name="OLE_LINK11"/>
            <w:bookmarkStart w:id="37" w:name="OLE_LINK10"/>
            <w:r>
              <w:rPr>
                <w:szCs w:val="21"/>
              </w:rPr>
              <w:t>废胶料、废橡胶边角料、废金属边角料及收集粉尘</w:t>
            </w:r>
            <w:bookmarkEnd w:id="36"/>
            <w:bookmarkEnd w:id="37"/>
            <w:r>
              <w:rPr>
                <w:szCs w:val="21"/>
              </w:rPr>
              <w:t>，合计产生量共</w:t>
            </w:r>
            <w:r>
              <w:rPr>
                <w:rFonts w:hint="eastAsia"/>
                <w:szCs w:val="21"/>
              </w:rPr>
              <w:t>26.855</w:t>
            </w:r>
            <w:r>
              <w:rPr>
                <w:szCs w:val="21"/>
              </w:rPr>
              <w:t>t/a，每季度清运一次，使用贮存面积约</w:t>
            </w:r>
            <w:r>
              <w:rPr>
                <w:rFonts w:hint="eastAsia"/>
                <w:szCs w:val="21"/>
              </w:rPr>
              <w:t>25</w:t>
            </w:r>
            <w:r>
              <w:rPr>
                <w:szCs w:val="21"/>
              </w:rPr>
              <w:t>m</w:t>
            </w:r>
            <w:r>
              <w:rPr>
                <w:szCs w:val="21"/>
                <w:vertAlign w:val="superscript"/>
              </w:rPr>
              <w:t>2</w:t>
            </w:r>
            <w:r>
              <w:rPr>
                <w:szCs w:val="21"/>
              </w:rPr>
              <w:t>，仓库内尚有空置区域。本项目新增一般固废类别为废胶料、废橡胶边角料、废金属边角料及收集粉尘，合计产生量约</w:t>
            </w:r>
            <w:r>
              <w:rPr>
                <w:rFonts w:hint="eastAsia"/>
                <w:szCs w:val="21"/>
              </w:rPr>
              <w:t>13.42</w:t>
            </w:r>
            <w:r>
              <w:rPr>
                <w:szCs w:val="21"/>
              </w:rPr>
              <w:t>t/a，每月清理一次，新增使用贮存面积约</w:t>
            </w:r>
            <w:r>
              <w:rPr>
                <w:rFonts w:hint="eastAsia"/>
                <w:szCs w:val="21"/>
              </w:rPr>
              <w:t>15</w:t>
            </w:r>
            <w:r>
              <w:rPr>
                <w:szCs w:val="21"/>
              </w:rPr>
              <w:t>m</w:t>
            </w:r>
            <w:r>
              <w:rPr>
                <w:szCs w:val="21"/>
                <w:vertAlign w:val="superscript"/>
              </w:rPr>
              <w:t>2</w:t>
            </w:r>
            <w:r>
              <w:rPr>
                <w:szCs w:val="21"/>
              </w:rPr>
              <w:t>，现有一般固废仓库空间可满足本项目贮存需要。且本项目产生一般固废类别、性质与现有项目相似，可合并贮存。</w:t>
            </w:r>
          </w:p>
          <w:p w14:paraId="0F8B939A">
            <w:pPr>
              <w:adjustRightInd w:val="0"/>
              <w:snapToGrid w:val="0"/>
              <w:spacing w:line="360" w:lineRule="auto"/>
              <w:ind w:firstLine="420" w:firstLineChars="200"/>
              <w:rPr>
                <w:szCs w:val="21"/>
              </w:rPr>
            </w:pPr>
            <w:r>
              <w:rPr>
                <w:szCs w:val="21"/>
              </w:rPr>
              <w:t>现有项目危险废物产生类别为</w:t>
            </w:r>
            <w:bookmarkStart w:id="38" w:name="OLE_LINK12"/>
            <w:bookmarkStart w:id="39" w:name="OLE_LINK13"/>
            <w:bookmarkStart w:id="40" w:name="OLE_LINK14"/>
            <w:r>
              <w:rPr>
                <w:szCs w:val="21"/>
              </w:rPr>
              <w:t>污泥、废抹布手套（混入生活垃圾）、废矿物油、废超滤膜、蒸发器残渣、废活性炭、废包装桶、废胶黏剂</w:t>
            </w:r>
            <w:bookmarkEnd w:id="38"/>
            <w:bookmarkEnd w:id="39"/>
            <w:bookmarkEnd w:id="40"/>
            <w:r>
              <w:rPr>
                <w:szCs w:val="21"/>
              </w:rPr>
              <w:t>，合计产生量共为</w:t>
            </w:r>
            <w:r>
              <w:rPr>
                <w:rFonts w:hint="eastAsia"/>
                <w:szCs w:val="21"/>
              </w:rPr>
              <w:t>96.75</w:t>
            </w:r>
            <w:r>
              <w:rPr>
                <w:szCs w:val="21"/>
              </w:rPr>
              <w:t>t/a，每季度清运一次，使用贮存面积约</w:t>
            </w:r>
            <w:r>
              <w:rPr>
                <w:rFonts w:hint="eastAsia"/>
                <w:szCs w:val="21"/>
              </w:rPr>
              <w:t>20</w:t>
            </w:r>
            <w:r>
              <w:rPr>
                <w:szCs w:val="21"/>
              </w:rPr>
              <w:t>m</w:t>
            </w:r>
            <w:r>
              <w:rPr>
                <w:szCs w:val="21"/>
                <w:vertAlign w:val="superscript"/>
              </w:rPr>
              <w:t>2</w:t>
            </w:r>
            <w:r>
              <w:rPr>
                <w:szCs w:val="21"/>
              </w:rPr>
              <w:t>，仓库内尚有空置区域。本项目新增危险废物类别为废活性炭、污泥、废包装桶、废胶黏剂、废切削液、蒸发器残渣等，合计产生量约</w:t>
            </w:r>
            <w:r>
              <w:rPr>
                <w:rFonts w:hint="eastAsia"/>
                <w:szCs w:val="21"/>
              </w:rPr>
              <w:t>37.15</w:t>
            </w:r>
            <w:r>
              <w:rPr>
                <w:szCs w:val="21"/>
              </w:rPr>
              <w:t>t/a，新增使用贮存面积约</w:t>
            </w:r>
            <w:r>
              <w:rPr>
                <w:rFonts w:hint="eastAsia"/>
                <w:szCs w:val="21"/>
              </w:rPr>
              <w:t>10</w:t>
            </w:r>
            <w:r>
              <w:rPr>
                <w:szCs w:val="21"/>
              </w:rPr>
              <w:t>m</w:t>
            </w:r>
            <w:r>
              <w:rPr>
                <w:szCs w:val="21"/>
                <w:vertAlign w:val="superscript"/>
              </w:rPr>
              <w:t>2</w:t>
            </w:r>
            <w:r>
              <w:rPr>
                <w:szCs w:val="21"/>
              </w:rPr>
              <w:t>，现有危险废物仓库空间可满足本项目贮存需要。本项目产生的危险废物类别中废活性炭、污泥、废包装桶、废胶黏剂、蒸发器残渣与现有项目一致，在贮存过程中不会发生二次反应；污泥采取分区贮存方式，不与其他类别危险废物接触，能够满足危险废物暂存要求。</w:t>
            </w:r>
          </w:p>
          <w:p w14:paraId="5F424028">
            <w:pPr>
              <w:adjustRightInd w:val="0"/>
              <w:snapToGrid w:val="0"/>
              <w:spacing w:line="360" w:lineRule="auto"/>
              <w:ind w:firstLine="422" w:firstLineChars="200"/>
              <w:rPr>
                <w:b/>
                <w:bCs/>
                <w:szCs w:val="21"/>
              </w:rPr>
            </w:pPr>
            <w:r>
              <w:rPr>
                <w:b/>
                <w:bCs/>
                <w:szCs w:val="21"/>
              </w:rPr>
              <w:t>（4）现有工序转移可行性分析</w:t>
            </w:r>
          </w:p>
          <w:p w14:paraId="712B1E47">
            <w:pPr>
              <w:adjustRightInd w:val="0"/>
              <w:snapToGrid w:val="0"/>
              <w:spacing w:line="360" w:lineRule="auto"/>
              <w:ind w:firstLine="420" w:firstLineChars="200"/>
              <w:rPr>
                <w:szCs w:val="21"/>
              </w:rPr>
            </w:pPr>
            <w:r>
              <w:rPr>
                <w:szCs w:val="21"/>
              </w:rPr>
              <w:t>现有2#车间，生产工艺为抛丸、喷砂</w:t>
            </w:r>
            <w:r>
              <w:rPr>
                <w:rFonts w:hint="eastAsia"/>
                <w:szCs w:val="21"/>
                <w:highlight w:val="black"/>
                <w:lang w:eastAsia="zh-CN"/>
              </w:rPr>
              <w:t>、</w:t>
            </w:r>
            <w:r>
              <w:rPr>
                <w:rFonts w:hint="eastAsia"/>
                <w:szCs w:val="21"/>
                <w:highlight w:val="black"/>
                <w:lang w:val="en-US" w:eastAsia="zh-CN"/>
              </w:rPr>
              <w:t xml:space="preserve">      </w:t>
            </w:r>
            <w:r>
              <w:rPr>
                <w:rFonts w:hint="eastAsia"/>
                <w:szCs w:val="21"/>
                <w:lang w:val="en-US" w:eastAsia="zh-CN"/>
              </w:rPr>
              <w:t>、</w:t>
            </w:r>
            <w:r>
              <w:rPr>
                <w:szCs w:val="21"/>
              </w:rPr>
              <w:t>电泳、喷涂浸胶等，本次扩建项目拟将喷涂浸胶工艺转移至4#车间内，涉及转移设备涂胶机等。并将现有的一套废气治理设施一并转移至4#车间，转移过程中，液态原料物料周转过程中应加盖密闭，设备应将原料用尽后再转移，以确保无原辅料在转移过程中发生泄漏。</w:t>
            </w:r>
            <w:r>
              <w:rPr>
                <w:rFonts w:hint="eastAsia"/>
                <w:szCs w:val="21"/>
              </w:rPr>
              <w:t>将</w:t>
            </w:r>
            <w:r>
              <w:t>原有4#车间</w:t>
            </w:r>
            <w:r>
              <w:rPr>
                <w:rFonts w:hint="eastAsia"/>
              </w:rPr>
              <w:t>的挤出预成型工序</w:t>
            </w:r>
            <w:r>
              <w:t>生产设备移至</w:t>
            </w:r>
            <w:r>
              <w:rPr>
                <w:rFonts w:hint="eastAsia"/>
              </w:rPr>
              <w:t>3#车间，</w:t>
            </w:r>
            <w:r>
              <w:rPr>
                <w:szCs w:val="21"/>
              </w:rPr>
              <w:t>设备应将原料用尽后再转移，以确保无原辅料在转移过程中发生泄漏。</w:t>
            </w:r>
          </w:p>
          <w:p w14:paraId="79758F5A">
            <w:pPr>
              <w:adjustRightInd w:val="0"/>
              <w:snapToGrid w:val="0"/>
              <w:spacing w:line="360" w:lineRule="auto"/>
              <w:ind w:firstLine="422" w:firstLineChars="200"/>
              <w:rPr>
                <w:b/>
                <w:bCs/>
                <w:szCs w:val="21"/>
              </w:rPr>
            </w:pPr>
            <w:r>
              <w:rPr>
                <w:b/>
                <w:bCs/>
                <w:szCs w:val="21"/>
              </w:rPr>
              <w:t>4、主要生产设备情况</w:t>
            </w:r>
          </w:p>
          <w:p w14:paraId="1834D0D4">
            <w:pPr>
              <w:adjustRightInd w:val="0"/>
              <w:snapToGrid w:val="0"/>
              <w:spacing w:line="360" w:lineRule="auto"/>
              <w:ind w:firstLine="420" w:firstLineChars="200"/>
              <w:rPr>
                <w:bCs/>
                <w:szCs w:val="21"/>
              </w:rPr>
            </w:pPr>
            <w:r>
              <w:rPr>
                <w:bCs/>
                <w:szCs w:val="21"/>
              </w:rPr>
              <w:t>本项目主要生产设备见表2-3。</w:t>
            </w:r>
          </w:p>
          <w:p w14:paraId="4674ED13">
            <w:pPr>
              <w:pStyle w:val="8"/>
              <w:rPr>
                <w:bCs/>
                <w:sz w:val="24"/>
                <w:szCs w:val="21"/>
              </w:rPr>
            </w:pPr>
          </w:p>
          <w:p w14:paraId="5A2AD785">
            <w:pPr>
              <w:rPr>
                <w:bCs/>
                <w:szCs w:val="21"/>
              </w:rPr>
            </w:pPr>
          </w:p>
          <w:p w14:paraId="64F0C2C4">
            <w:pPr>
              <w:rPr>
                <w:bCs/>
                <w:szCs w:val="21"/>
              </w:rPr>
            </w:pPr>
          </w:p>
          <w:p w14:paraId="5278FF68">
            <w:pPr>
              <w:rPr>
                <w:bCs/>
                <w:szCs w:val="21"/>
              </w:rPr>
            </w:pPr>
          </w:p>
          <w:p w14:paraId="2158ADCA">
            <w:pPr>
              <w:rPr>
                <w:bCs/>
                <w:szCs w:val="21"/>
              </w:rPr>
            </w:pPr>
          </w:p>
          <w:p w14:paraId="47CBC951">
            <w:pPr>
              <w:rPr>
                <w:bCs/>
                <w:szCs w:val="21"/>
              </w:rPr>
            </w:pPr>
          </w:p>
          <w:p w14:paraId="0C4764C3">
            <w:pPr>
              <w:rPr>
                <w:bCs/>
                <w:szCs w:val="21"/>
              </w:rPr>
            </w:pPr>
          </w:p>
          <w:p w14:paraId="1C3E7510">
            <w:pPr>
              <w:pStyle w:val="8"/>
              <w:rPr>
                <w:bCs/>
                <w:sz w:val="24"/>
                <w:szCs w:val="21"/>
              </w:rPr>
            </w:pPr>
          </w:p>
          <w:p w14:paraId="3EC37AEB">
            <w:pPr>
              <w:rPr>
                <w:bCs/>
                <w:szCs w:val="21"/>
              </w:rPr>
            </w:pPr>
          </w:p>
          <w:p w14:paraId="4F11FB25">
            <w:pPr>
              <w:pStyle w:val="8"/>
              <w:rPr>
                <w:bCs/>
                <w:sz w:val="24"/>
                <w:szCs w:val="21"/>
              </w:rPr>
            </w:pPr>
          </w:p>
          <w:p w14:paraId="1D02A7B4">
            <w:pPr>
              <w:rPr>
                <w:bCs/>
                <w:szCs w:val="21"/>
              </w:rPr>
            </w:pPr>
          </w:p>
          <w:p w14:paraId="0228F3D5">
            <w:pPr>
              <w:pStyle w:val="8"/>
              <w:rPr>
                <w:bCs/>
                <w:sz w:val="24"/>
                <w:szCs w:val="21"/>
              </w:rPr>
            </w:pPr>
          </w:p>
          <w:p w14:paraId="3550CED1">
            <w:pPr>
              <w:rPr>
                <w:bCs/>
                <w:szCs w:val="21"/>
              </w:rPr>
            </w:pPr>
          </w:p>
          <w:p w14:paraId="58FD9BC2">
            <w:pPr>
              <w:pStyle w:val="8"/>
              <w:rPr>
                <w:bCs/>
                <w:sz w:val="24"/>
                <w:szCs w:val="21"/>
              </w:rPr>
            </w:pPr>
          </w:p>
          <w:p w14:paraId="759F5BD0">
            <w:pPr>
              <w:rPr>
                <w:bCs/>
                <w:szCs w:val="21"/>
              </w:rPr>
            </w:pPr>
          </w:p>
          <w:p w14:paraId="57DE6ED1">
            <w:pPr>
              <w:pStyle w:val="8"/>
              <w:rPr>
                <w:bCs/>
                <w:sz w:val="24"/>
                <w:szCs w:val="21"/>
              </w:rPr>
            </w:pPr>
          </w:p>
          <w:p w14:paraId="16D06B9C">
            <w:pPr>
              <w:rPr>
                <w:bCs/>
                <w:szCs w:val="21"/>
              </w:rPr>
            </w:pPr>
          </w:p>
          <w:p w14:paraId="6F15B284">
            <w:pPr>
              <w:pStyle w:val="8"/>
              <w:rPr>
                <w:bCs/>
                <w:sz w:val="24"/>
                <w:szCs w:val="21"/>
              </w:rPr>
            </w:pPr>
          </w:p>
          <w:p w14:paraId="6B6ED35A">
            <w:pPr>
              <w:rPr>
                <w:bCs/>
                <w:szCs w:val="21"/>
              </w:rPr>
            </w:pPr>
          </w:p>
          <w:p w14:paraId="37A0AF91">
            <w:pPr>
              <w:pStyle w:val="8"/>
              <w:rPr>
                <w:bCs/>
                <w:sz w:val="24"/>
                <w:szCs w:val="21"/>
              </w:rPr>
            </w:pPr>
          </w:p>
          <w:p w14:paraId="5318A1D0">
            <w:pPr>
              <w:pStyle w:val="8"/>
              <w:rPr>
                <w:bCs/>
                <w:sz w:val="24"/>
                <w:szCs w:val="21"/>
              </w:rPr>
            </w:pPr>
          </w:p>
          <w:p w14:paraId="5C97D692">
            <w:pPr>
              <w:rPr>
                <w:bCs/>
                <w:szCs w:val="21"/>
              </w:rPr>
            </w:pPr>
          </w:p>
          <w:p w14:paraId="65D3E3CD">
            <w:pPr>
              <w:pStyle w:val="8"/>
              <w:rPr>
                <w:bCs/>
                <w:sz w:val="24"/>
                <w:szCs w:val="21"/>
              </w:rPr>
            </w:pPr>
          </w:p>
          <w:p w14:paraId="013D68CF">
            <w:pPr>
              <w:pStyle w:val="8"/>
              <w:rPr>
                <w:sz w:val="24"/>
              </w:rPr>
            </w:pPr>
          </w:p>
        </w:tc>
      </w:tr>
    </w:tbl>
    <w:p w14:paraId="7AF07416"/>
    <w:p w14:paraId="13A79423">
      <w:pPr>
        <w:pStyle w:val="8"/>
        <w:sectPr>
          <w:pgSz w:w="11906" w:h="16838"/>
          <w:pgMar w:top="1701" w:right="1531" w:bottom="1701" w:left="1531" w:header="851" w:footer="851" w:gutter="0"/>
          <w:cols w:space="720" w:num="1"/>
          <w:docGrid w:linePitch="312" w:charSpace="0"/>
        </w:sectPr>
      </w:pPr>
    </w:p>
    <w:p w14:paraId="71CB9B76">
      <w:pPr>
        <w:pStyle w:val="53"/>
        <w:adjustRightInd w:val="0"/>
        <w:snapToGrid w:val="0"/>
        <w:spacing w:beforeLines="0" w:afterLines="0"/>
        <w:rPr>
          <w:rFonts w:eastAsia="宋体"/>
          <w:sz w:val="21"/>
          <w:szCs w:val="21"/>
        </w:rPr>
      </w:pPr>
      <w:r>
        <w:rPr>
          <w:rFonts w:eastAsia="宋体"/>
          <w:sz w:val="21"/>
          <w:szCs w:val="21"/>
        </w:rPr>
        <w:t>表2-3  建设项目主要设备表</w:t>
      </w:r>
    </w:p>
    <w:tbl>
      <w:tblPr>
        <w:tblStyle w:val="25"/>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618"/>
        <w:gridCol w:w="955"/>
        <w:gridCol w:w="2601"/>
        <w:gridCol w:w="3467"/>
        <w:gridCol w:w="1230"/>
        <w:gridCol w:w="1503"/>
        <w:gridCol w:w="977"/>
        <w:gridCol w:w="2141"/>
      </w:tblGrid>
      <w:tr w14:paraId="32CA8D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Merge w:val="restart"/>
            <w:vAlign w:val="center"/>
          </w:tcPr>
          <w:p w14:paraId="7FFBF711">
            <w:pPr>
              <w:pStyle w:val="86"/>
              <w:spacing w:beforeLines="0" w:line="240" w:lineRule="auto"/>
              <w:ind w:firstLine="0" w:firstLineChars="0"/>
              <w:jc w:val="center"/>
              <w:rPr>
                <w:rFonts w:ascii="Times New Roman" w:hAnsi="Times New Roman"/>
                <w:b/>
                <w:sz w:val="21"/>
                <w:szCs w:val="21"/>
              </w:rPr>
            </w:pPr>
            <w:r>
              <w:rPr>
                <w:rFonts w:ascii="Times New Roman" w:hAnsi="Times New Roman"/>
                <w:b/>
                <w:sz w:val="21"/>
                <w:szCs w:val="21"/>
              </w:rPr>
              <w:t>序号</w:t>
            </w:r>
          </w:p>
        </w:tc>
        <w:tc>
          <w:tcPr>
            <w:tcW w:w="354" w:type="pct"/>
            <w:vMerge w:val="restart"/>
            <w:vAlign w:val="center"/>
          </w:tcPr>
          <w:p w14:paraId="1FDD6143">
            <w:pPr>
              <w:pStyle w:val="86"/>
              <w:spacing w:beforeLines="0" w:line="240" w:lineRule="auto"/>
              <w:ind w:firstLine="0" w:firstLineChars="0"/>
              <w:jc w:val="center"/>
              <w:rPr>
                <w:rFonts w:ascii="Times New Roman" w:hAnsi="Times New Roman"/>
                <w:b/>
                <w:sz w:val="21"/>
                <w:szCs w:val="21"/>
              </w:rPr>
            </w:pPr>
            <w:r>
              <w:rPr>
                <w:rFonts w:ascii="Times New Roman" w:hAnsi="Times New Roman"/>
                <w:b/>
                <w:sz w:val="21"/>
                <w:szCs w:val="21"/>
              </w:rPr>
              <w:t>类别</w:t>
            </w:r>
          </w:p>
        </w:tc>
        <w:tc>
          <w:tcPr>
            <w:tcW w:w="964" w:type="pct"/>
            <w:vMerge w:val="restart"/>
            <w:vAlign w:val="center"/>
          </w:tcPr>
          <w:p w14:paraId="1ECB9FAB">
            <w:pPr>
              <w:pStyle w:val="86"/>
              <w:spacing w:beforeLines="0" w:line="240" w:lineRule="auto"/>
              <w:ind w:firstLine="0" w:firstLineChars="0"/>
              <w:jc w:val="center"/>
              <w:rPr>
                <w:rFonts w:ascii="Times New Roman" w:hAnsi="Times New Roman"/>
                <w:b/>
                <w:sz w:val="21"/>
                <w:szCs w:val="21"/>
              </w:rPr>
            </w:pPr>
            <w:r>
              <w:rPr>
                <w:rFonts w:ascii="Times New Roman" w:hAnsi="Times New Roman"/>
                <w:b/>
                <w:sz w:val="21"/>
                <w:szCs w:val="21"/>
              </w:rPr>
              <w:t>名称</w:t>
            </w:r>
          </w:p>
        </w:tc>
        <w:tc>
          <w:tcPr>
            <w:tcW w:w="1285" w:type="pct"/>
            <w:vMerge w:val="restart"/>
            <w:vAlign w:val="center"/>
          </w:tcPr>
          <w:p w14:paraId="6DC73236">
            <w:pPr>
              <w:pStyle w:val="86"/>
              <w:spacing w:beforeLines="0" w:line="240" w:lineRule="auto"/>
              <w:ind w:firstLine="0" w:firstLineChars="0"/>
              <w:jc w:val="center"/>
              <w:rPr>
                <w:rFonts w:ascii="Times New Roman" w:hAnsi="Times New Roman"/>
                <w:b/>
                <w:sz w:val="21"/>
                <w:szCs w:val="21"/>
              </w:rPr>
            </w:pPr>
            <w:r>
              <w:rPr>
                <w:rFonts w:ascii="Times New Roman" w:hAnsi="Times New Roman"/>
                <w:b/>
                <w:sz w:val="21"/>
                <w:szCs w:val="21"/>
              </w:rPr>
              <w:t>规格型号</w:t>
            </w:r>
          </w:p>
        </w:tc>
        <w:tc>
          <w:tcPr>
            <w:tcW w:w="1375" w:type="pct"/>
            <w:gridSpan w:val="3"/>
            <w:vAlign w:val="center"/>
          </w:tcPr>
          <w:p w14:paraId="4C616B65">
            <w:pPr>
              <w:snapToGrid w:val="0"/>
              <w:jc w:val="center"/>
              <w:rPr>
                <w:b/>
                <w:szCs w:val="21"/>
              </w:rPr>
            </w:pPr>
            <w:r>
              <w:rPr>
                <w:b/>
                <w:szCs w:val="21"/>
              </w:rPr>
              <w:t>数量（台数）</w:t>
            </w:r>
          </w:p>
        </w:tc>
        <w:tc>
          <w:tcPr>
            <w:tcW w:w="793" w:type="pct"/>
            <w:vMerge w:val="restart"/>
            <w:vAlign w:val="center"/>
          </w:tcPr>
          <w:p w14:paraId="48F799D8">
            <w:pPr>
              <w:pStyle w:val="86"/>
              <w:spacing w:beforeLines="0" w:line="240" w:lineRule="auto"/>
              <w:ind w:firstLine="0" w:firstLineChars="0"/>
              <w:jc w:val="center"/>
              <w:rPr>
                <w:rFonts w:ascii="Times New Roman" w:hAnsi="Times New Roman"/>
                <w:b/>
                <w:sz w:val="21"/>
                <w:szCs w:val="21"/>
              </w:rPr>
            </w:pPr>
            <w:r>
              <w:rPr>
                <w:rFonts w:ascii="Times New Roman" w:hAnsi="Times New Roman"/>
                <w:b/>
                <w:sz w:val="21"/>
                <w:szCs w:val="21"/>
              </w:rPr>
              <w:t>备注</w:t>
            </w:r>
          </w:p>
        </w:tc>
      </w:tr>
      <w:tr w14:paraId="16F9DA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Merge w:val="continue"/>
            <w:vAlign w:val="center"/>
          </w:tcPr>
          <w:p w14:paraId="72435DBC">
            <w:pPr>
              <w:pStyle w:val="86"/>
              <w:spacing w:beforeLines="0" w:line="240" w:lineRule="auto"/>
              <w:ind w:firstLine="0" w:firstLineChars="0"/>
              <w:jc w:val="center"/>
              <w:rPr>
                <w:rFonts w:ascii="Times New Roman" w:hAnsi="Times New Roman"/>
                <w:sz w:val="21"/>
                <w:szCs w:val="21"/>
              </w:rPr>
            </w:pPr>
          </w:p>
        </w:tc>
        <w:tc>
          <w:tcPr>
            <w:tcW w:w="354" w:type="pct"/>
            <w:vMerge w:val="continue"/>
            <w:vAlign w:val="center"/>
          </w:tcPr>
          <w:p w14:paraId="1D6DD8A9">
            <w:pPr>
              <w:pStyle w:val="86"/>
              <w:spacing w:beforeLines="0" w:line="240" w:lineRule="auto"/>
              <w:ind w:firstLine="0" w:firstLineChars="0"/>
              <w:jc w:val="center"/>
              <w:rPr>
                <w:rFonts w:ascii="Times New Roman" w:hAnsi="Times New Roman"/>
                <w:sz w:val="21"/>
                <w:szCs w:val="21"/>
              </w:rPr>
            </w:pPr>
          </w:p>
        </w:tc>
        <w:tc>
          <w:tcPr>
            <w:tcW w:w="964" w:type="pct"/>
            <w:vMerge w:val="continue"/>
            <w:vAlign w:val="center"/>
          </w:tcPr>
          <w:p w14:paraId="7CF61D0D">
            <w:pPr>
              <w:pStyle w:val="86"/>
              <w:spacing w:beforeLines="0" w:line="240" w:lineRule="auto"/>
              <w:ind w:firstLine="0" w:firstLineChars="0"/>
              <w:jc w:val="center"/>
              <w:rPr>
                <w:rFonts w:ascii="Times New Roman" w:hAnsi="Times New Roman"/>
                <w:sz w:val="21"/>
                <w:szCs w:val="21"/>
              </w:rPr>
            </w:pPr>
          </w:p>
        </w:tc>
        <w:tc>
          <w:tcPr>
            <w:tcW w:w="1285" w:type="pct"/>
            <w:vMerge w:val="continue"/>
            <w:vAlign w:val="center"/>
          </w:tcPr>
          <w:p w14:paraId="15416887">
            <w:pPr>
              <w:pStyle w:val="86"/>
              <w:spacing w:beforeLines="0" w:line="240" w:lineRule="auto"/>
              <w:ind w:firstLine="0" w:firstLineChars="0"/>
              <w:jc w:val="center"/>
              <w:rPr>
                <w:rFonts w:ascii="Times New Roman" w:hAnsi="Times New Roman"/>
                <w:sz w:val="21"/>
                <w:szCs w:val="21"/>
              </w:rPr>
            </w:pPr>
          </w:p>
        </w:tc>
        <w:tc>
          <w:tcPr>
            <w:tcW w:w="456" w:type="pct"/>
            <w:vAlign w:val="center"/>
          </w:tcPr>
          <w:p w14:paraId="0348A0D5">
            <w:pPr>
              <w:pStyle w:val="62"/>
              <w:adjustRightInd w:val="0"/>
              <w:snapToGrid w:val="0"/>
              <w:rPr>
                <w:rFonts w:eastAsia="宋体"/>
              </w:rPr>
            </w:pPr>
            <w:r>
              <w:rPr>
                <w:rFonts w:eastAsia="宋体"/>
              </w:rPr>
              <w:t>实际现有量</w:t>
            </w:r>
          </w:p>
        </w:tc>
        <w:tc>
          <w:tcPr>
            <w:tcW w:w="557" w:type="pct"/>
            <w:vAlign w:val="center"/>
          </w:tcPr>
          <w:p w14:paraId="6FFE7873">
            <w:pPr>
              <w:pStyle w:val="62"/>
              <w:adjustRightInd w:val="0"/>
              <w:snapToGrid w:val="0"/>
              <w:rPr>
                <w:rFonts w:eastAsia="宋体"/>
              </w:rPr>
            </w:pPr>
            <w:r>
              <w:rPr>
                <w:rFonts w:eastAsia="宋体"/>
              </w:rPr>
              <w:t>扩建后全厂量</w:t>
            </w:r>
          </w:p>
        </w:tc>
        <w:tc>
          <w:tcPr>
            <w:tcW w:w="362" w:type="pct"/>
            <w:vAlign w:val="center"/>
          </w:tcPr>
          <w:p w14:paraId="495107BE">
            <w:pPr>
              <w:pStyle w:val="62"/>
              <w:adjustRightInd w:val="0"/>
              <w:snapToGrid w:val="0"/>
              <w:rPr>
                <w:rFonts w:eastAsia="宋体"/>
              </w:rPr>
            </w:pPr>
            <w:r>
              <w:rPr>
                <w:rFonts w:eastAsia="宋体"/>
              </w:rPr>
              <w:t>变化量</w:t>
            </w:r>
          </w:p>
        </w:tc>
        <w:tc>
          <w:tcPr>
            <w:tcW w:w="793" w:type="pct"/>
            <w:vMerge w:val="continue"/>
            <w:vAlign w:val="center"/>
          </w:tcPr>
          <w:p w14:paraId="3C18F64C">
            <w:pPr>
              <w:pStyle w:val="86"/>
              <w:spacing w:before="120" w:line="240" w:lineRule="auto"/>
              <w:ind w:firstLine="420"/>
              <w:jc w:val="center"/>
              <w:rPr>
                <w:rFonts w:ascii="Times New Roman" w:hAnsi="Times New Roman"/>
                <w:sz w:val="21"/>
                <w:szCs w:val="21"/>
              </w:rPr>
            </w:pPr>
          </w:p>
        </w:tc>
      </w:tr>
      <w:tr w14:paraId="32EE00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FE7A1D1">
            <w:pPr>
              <w:snapToGrid w:val="0"/>
              <w:jc w:val="center"/>
              <w:rPr>
                <w:szCs w:val="21"/>
              </w:rPr>
            </w:pPr>
            <w:r>
              <w:rPr>
                <w:szCs w:val="21"/>
              </w:rPr>
              <w:t>1</w:t>
            </w:r>
          </w:p>
        </w:tc>
        <w:tc>
          <w:tcPr>
            <w:tcW w:w="354" w:type="pct"/>
            <w:vMerge w:val="restart"/>
            <w:vAlign w:val="center"/>
          </w:tcPr>
          <w:p w14:paraId="71CFB1FD">
            <w:pPr>
              <w:pStyle w:val="86"/>
              <w:spacing w:beforeLines="0" w:line="240" w:lineRule="auto"/>
              <w:ind w:firstLine="0" w:firstLineChars="0"/>
              <w:jc w:val="center"/>
              <w:rPr>
                <w:rFonts w:ascii="Times New Roman" w:hAnsi="Times New Roman"/>
                <w:sz w:val="21"/>
                <w:szCs w:val="21"/>
              </w:rPr>
            </w:pPr>
            <w:r>
              <w:rPr>
                <w:rFonts w:ascii="Times New Roman" w:hAnsi="Times New Roman"/>
                <w:sz w:val="21"/>
                <w:szCs w:val="21"/>
              </w:rPr>
              <w:t>1#车间</w:t>
            </w:r>
          </w:p>
        </w:tc>
        <w:tc>
          <w:tcPr>
            <w:tcW w:w="964" w:type="pct"/>
            <w:vAlign w:val="center"/>
          </w:tcPr>
          <w:p w14:paraId="1D0172C6">
            <w:pPr>
              <w:snapToGrid w:val="0"/>
              <w:jc w:val="center"/>
              <w:rPr>
                <w:szCs w:val="21"/>
              </w:rPr>
            </w:pPr>
            <w:r>
              <w:rPr>
                <w:szCs w:val="21"/>
              </w:rPr>
              <w:t>开炼机</w:t>
            </w:r>
          </w:p>
        </w:tc>
        <w:tc>
          <w:tcPr>
            <w:tcW w:w="1285" w:type="pct"/>
            <w:vAlign w:val="center"/>
          </w:tcPr>
          <w:p w14:paraId="5EBE5DB1">
            <w:pPr>
              <w:snapToGrid w:val="0"/>
              <w:jc w:val="center"/>
              <w:rPr>
                <w:szCs w:val="21"/>
              </w:rPr>
            </w:pPr>
            <w:r>
              <w:rPr>
                <w:szCs w:val="21"/>
              </w:rPr>
              <w:t>KL-16"/XK-400</w:t>
            </w:r>
          </w:p>
        </w:tc>
        <w:tc>
          <w:tcPr>
            <w:tcW w:w="456" w:type="pct"/>
            <w:vAlign w:val="center"/>
          </w:tcPr>
          <w:p w14:paraId="55D27BE1">
            <w:pPr>
              <w:snapToGrid w:val="0"/>
              <w:jc w:val="center"/>
              <w:rPr>
                <w:szCs w:val="21"/>
              </w:rPr>
            </w:pPr>
            <w:r>
              <w:rPr>
                <w:szCs w:val="21"/>
              </w:rPr>
              <w:t>3</w:t>
            </w:r>
          </w:p>
        </w:tc>
        <w:tc>
          <w:tcPr>
            <w:tcW w:w="557" w:type="pct"/>
            <w:vAlign w:val="center"/>
          </w:tcPr>
          <w:p w14:paraId="063D9177">
            <w:pPr>
              <w:snapToGrid w:val="0"/>
              <w:jc w:val="center"/>
              <w:rPr>
                <w:szCs w:val="21"/>
              </w:rPr>
            </w:pPr>
            <w:r>
              <w:rPr>
                <w:szCs w:val="21"/>
              </w:rPr>
              <w:t>3</w:t>
            </w:r>
          </w:p>
        </w:tc>
        <w:tc>
          <w:tcPr>
            <w:tcW w:w="362" w:type="pct"/>
            <w:vAlign w:val="center"/>
          </w:tcPr>
          <w:p w14:paraId="243D77D7">
            <w:pPr>
              <w:snapToGrid w:val="0"/>
              <w:jc w:val="center"/>
              <w:rPr>
                <w:szCs w:val="21"/>
              </w:rPr>
            </w:pPr>
            <w:r>
              <w:rPr>
                <w:szCs w:val="21"/>
              </w:rPr>
              <w:t>0</w:t>
            </w:r>
          </w:p>
        </w:tc>
        <w:tc>
          <w:tcPr>
            <w:tcW w:w="793" w:type="pct"/>
            <w:vAlign w:val="center"/>
          </w:tcPr>
          <w:p w14:paraId="13B0E326">
            <w:pPr>
              <w:snapToGrid w:val="0"/>
              <w:jc w:val="center"/>
              <w:rPr>
                <w:szCs w:val="21"/>
              </w:rPr>
            </w:pPr>
            <w:r>
              <w:rPr>
                <w:szCs w:val="21"/>
              </w:rPr>
              <w:t>国产</w:t>
            </w:r>
          </w:p>
        </w:tc>
      </w:tr>
      <w:tr w14:paraId="134930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5" w:hRule="atLeast"/>
          <w:tblHeader/>
        </w:trPr>
        <w:tc>
          <w:tcPr>
            <w:tcW w:w="229" w:type="pct"/>
            <w:vAlign w:val="center"/>
          </w:tcPr>
          <w:p w14:paraId="650F869E">
            <w:pPr>
              <w:snapToGrid w:val="0"/>
              <w:jc w:val="center"/>
              <w:rPr>
                <w:szCs w:val="21"/>
              </w:rPr>
            </w:pPr>
            <w:r>
              <w:rPr>
                <w:szCs w:val="21"/>
              </w:rPr>
              <w:t>2</w:t>
            </w:r>
          </w:p>
        </w:tc>
        <w:tc>
          <w:tcPr>
            <w:tcW w:w="354" w:type="pct"/>
            <w:vMerge w:val="continue"/>
            <w:vAlign w:val="center"/>
          </w:tcPr>
          <w:p w14:paraId="6F7F4310">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714CD8E">
            <w:pPr>
              <w:snapToGrid w:val="0"/>
              <w:jc w:val="center"/>
              <w:rPr>
                <w:szCs w:val="21"/>
              </w:rPr>
            </w:pPr>
            <w:r>
              <w:rPr>
                <w:szCs w:val="21"/>
              </w:rPr>
              <w:t>橡胶精密预型机</w:t>
            </w:r>
          </w:p>
        </w:tc>
        <w:tc>
          <w:tcPr>
            <w:tcW w:w="1285" w:type="pct"/>
            <w:vAlign w:val="center"/>
          </w:tcPr>
          <w:p w14:paraId="3191476E">
            <w:pPr>
              <w:snapToGrid w:val="0"/>
              <w:jc w:val="center"/>
              <w:rPr>
                <w:szCs w:val="21"/>
              </w:rPr>
            </w:pPr>
            <w:r>
              <w:rPr>
                <w:szCs w:val="21"/>
              </w:rPr>
              <w:t>JYZ200/JY250</w:t>
            </w:r>
          </w:p>
        </w:tc>
        <w:tc>
          <w:tcPr>
            <w:tcW w:w="456" w:type="pct"/>
            <w:vAlign w:val="center"/>
          </w:tcPr>
          <w:p w14:paraId="74FA9EA2">
            <w:pPr>
              <w:snapToGrid w:val="0"/>
              <w:jc w:val="center"/>
              <w:rPr>
                <w:szCs w:val="21"/>
              </w:rPr>
            </w:pPr>
            <w:r>
              <w:rPr>
                <w:szCs w:val="21"/>
              </w:rPr>
              <w:t>4</w:t>
            </w:r>
          </w:p>
        </w:tc>
        <w:tc>
          <w:tcPr>
            <w:tcW w:w="557" w:type="pct"/>
            <w:vAlign w:val="center"/>
          </w:tcPr>
          <w:p w14:paraId="3C7F1F49">
            <w:pPr>
              <w:snapToGrid w:val="0"/>
              <w:jc w:val="center"/>
              <w:rPr>
                <w:szCs w:val="21"/>
              </w:rPr>
            </w:pPr>
            <w:r>
              <w:rPr>
                <w:szCs w:val="21"/>
              </w:rPr>
              <w:t>4</w:t>
            </w:r>
          </w:p>
        </w:tc>
        <w:tc>
          <w:tcPr>
            <w:tcW w:w="362" w:type="pct"/>
            <w:vAlign w:val="center"/>
          </w:tcPr>
          <w:p w14:paraId="6CB00FA5">
            <w:pPr>
              <w:snapToGrid w:val="0"/>
              <w:jc w:val="center"/>
              <w:rPr>
                <w:szCs w:val="21"/>
              </w:rPr>
            </w:pPr>
            <w:r>
              <w:rPr>
                <w:szCs w:val="21"/>
              </w:rPr>
              <w:t>0</w:t>
            </w:r>
          </w:p>
        </w:tc>
        <w:tc>
          <w:tcPr>
            <w:tcW w:w="793" w:type="pct"/>
            <w:vAlign w:val="center"/>
          </w:tcPr>
          <w:p w14:paraId="15DB1251">
            <w:pPr>
              <w:snapToGrid w:val="0"/>
              <w:jc w:val="center"/>
              <w:rPr>
                <w:szCs w:val="21"/>
              </w:rPr>
            </w:pPr>
            <w:r>
              <w:rPr>
                <w:szCs w:val="21"/>
              </w:rPr>
              <w:t>国产</w:t>
            </w:r>
          </w:p>
        </w:tc>
      </w:tr>
      <w:tr w14:paraId="380ACD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6FE48B3">
            <w:pPr>
              <w:snapToGrid w:val="0"/>
              <w:jc w:val="center"/>
              <w:rPr>
                <w:szCs w:val="21"/>
              </w:rPr>
            </w:pPr>
            <w:r>
              <w:rPr>
                <w:szCs w:val="21"/>
              </w:rPr>
              <w:t>3</w:t>
            </w:r>
          </w:p>
        </w:tc>
        <w:tc>
          <w:tcPr>
            <w:tcW w:w="354" w:type="pct"/>
            <w:vMerge w:val="continue"/>
            <w:vAlign w:val="center"/>
          </w:tcPr>
          <w:p w14:paraId="029D6CF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41F83D9">
            <w:pPr>
              <w:snapToGrid w:val="0"/>
              <w:jc w:val="center"/>
              <w:rPr>
                <w:szCs w:val="21"/>
              </w:rPr>
            </w:pPr>
            <w:r>
              <w:rPr>
                <w:szCs w:val="21"/>
              </w:rPr>
              <w:t>预成型机</w:t>
            </w:r>
          </w:p>
        </w:tc>
        <w:tc>
          <w:tcPr>
            <w:tcW w:w="1285" w:type="pct"/>
            <w:vAlign w:val="center"/>
          </w:tcPr>
          <w:p w14:paraId="646516F5">
            <w:pPr>
              <w:snapToGrid w:val="0"/>
              <w:jc w:val="center"/>
              <w:rPr>
                <w:szCs w:val="21"/>
              </w:rPr>
            </w:pPr>
            <w:r>
              <w:rPr>
                <w:szCs w:val="21"/>
              </w:rPr>
              <w:t>200</w:t>
            </w:r>
          </w:p>
        </w:tc>
        <w:tc>
          <w:tcPr>
            <w:tcW w:w="456" w:type="pct"/>
            <w:vAlign w:val="center"/>
          </w:tcPr>
          <w:p w14:paraId="7EDA0277">
            <w:pPr>
              <w:snapToGrid w:val="0"/>
              <w:jc w:val="center"/>
              <w:rPr>
                <w:szCs w:val="21"/>
              </w:rPr>
            </w:pPr>
            <w:r>
              <w:rPr>
                <w:szCs w:val="21"/>
              </w:rPr>
              <w:t>0</w:t>
            </w:r>
          </w:p>
        </w:tc>
        <w:tc>
          <w:tcPr>
            <w:tcW w:w="557" w:type="pct"/>
            <w:vAlign w:val="center"/>
          </w:tcPr>
          <w:p w14:paraId="2F518C82">
            <w:pPr>
              <w:snapToGrid w:val="0"/>
              <w:jc w:val="center"/>
              <w:rPr>
                <w:szCs w:val="21"/>
              </w:rPr>
            </w:pPr>
            <w:r>
              <w:rPr>
                <w:szCs w:val="21"/>
              </w:rPr>
              <w:t>2</w:t>
            </w:r>
          </w:p>
        </w:tc>
        <w:tc>
          <w:tcPr>
            <w:tcW w:w="362" w:type="pct"/>
            <w:vAlign w:val="center"/>
          </w:tcPr>
          <w:p w14:paraId="241C08C0">
            <w:pPr>
              <w:snapToGrid w:val="0"/>
              <w:jc w:val="center"/>
              <w:rPr>
                <w:szCs w:val="21"/>
              </w:rPr>
            </w:pPr>
            <w:r>
              <w:rPr>
                <w:szCs w:val="21"/>
              </w:rPr>
              <w:t>+2</w:t>
            </w:r>
          </w:p>
        </w:tc>
        <w:tc>
          <w:tcPr>
            <w:tcW w:w="793" w:type="pct"/>
            <w:vAlign w:val="center"/>
          </w:tcPr>
          <w:p w14:paraId="1D52B901">
            <w:pPr>
              <w:snapToGrid w:val="0"/>
              <w:jc w:val="center"/>
              <w:rPr>
                <w:szCs w:val="21"/>
              </w:rPr>
            </w:pPr>
            <w:r>
              <w:rPr>
                <w:szCs w:val="21"/>
              </w:rPr>
              <w:t>国产</w:t>
            </w:r>
          </w:p>
        </w:tc>
      </w:tr>
      <w:tr w14:paraId="3C4470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0E3D0F2">
            <w:pPr>
              <w:snapToGrid w:val="0"/>
              <w:jc w:val="center"/>
              <w:rPr>
                <w:szCs w:val="21"/>
              </w:rPr>
            </w:pPr>
            <w:r>
              <w:rPr>
                <w:szCs w:val="21"/>
              </w:rPr>
              <w:t>4</w:t>
            </w:r>
          </w:p>
        </w:tc>
        <w:tc>
          <w:tcPr>
            <w:tcW w:w="354" w:type="pct"/>
            <w:vMerge w:val="continue"/>
            <w:vAlign w:val="center"/>
          </w:tcPr>
          <w:p w14:paraId="18CE2EB3">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521B95E">
            <w:pPr>
              <w:snapToGrid w:val="0"/>
              <w:jc w:val="center"/>
              <w:rPr>
                <w:szCs w:val="21"/>
              </w:rPr>
            </w:pPr>
            <w:r>
              <w:rPr>
                <w:szCs w:val="21"/>
              </w:rPr>
              <w:t>高精密度橡胶切条机</w:t>
            </w:r>
          </w:p>
        </w:tc>
        <w:tc>
          <w:tcPr>
            <w:tcW w:w="1285" w:type="pct"/>
            <w:vAlign w:val="center"/>
          </w:tcPr>
          <w:p w14:paraId="131880DF">
            <w:pPr>
              <w:snapToGrid w:val="0"/>
              <w:jc w:val="center"/>
              <w:rPr>
                <w:szCs w:val="21"/>
              </w:rPr>
            </w:pPr>
            <w:r>
              <w:rPr>
                <w:szCs w:val="21"/>
              </w:rPr>
              <w:t>JXQ</w:t>
            </w:r>
          </w:p>
        </w:tc>
        <w:tc>
          <w:tcPr>
            <w:tcW w:w="456" w:type="pct"/>
            <w:vAlign w:val="center"/>
          </w:tcPr>
          <w:p w14:paraId="75E034BF">
            <w:pPr>
              <w:snapToGrid w:val="0"/>
              <w:jc w:val="center"/>
              <w:rPr>
                <w:szCs w:val="21"/>
              </w:rPr>
            </w:pPr>
            <w:r>
              <w:rPr>
                <w:szCs w:val="21"/>
              </w:rPr>
              <w:t>5</w:t>
            </w:r>
          </w:p>
        </w:tc>
        <w:tc>
          <w:tcPr>
            <w:tcW w:w="557" w:type="pct"/>
            <w:vAlign w:val="center"/>
          </w:tcPr>
          <w:p w14:paraId="132BEE66">
            <w:pPr>
              <w:snapToGrid w:val="0"/>
              <w:jc w:val="center"/>
              <w:rPr>
                <w:szCs w:val="21"/>
              </w:rPr>
            </w:pPr>
            <w:r>
              <w:rPr>
                <w:szCs w:val="21"/>
              </w:rPr>
              <w:t>5</w:t>
            </w:r>
          </w:p>
        </w:tc>
        <w:tc>
          <w:tcPr>
            <w:tcW w:w="362" w:type="pct"/>
            <w:vAlign w:val="center"/>
          </w:tcPr>
          <w:p w14:paraId="0A0A723C">
            <w:pPr>
              <w:snapToGrid w:val="0"/>
              <w:jc w:val="center"/>
              <w:rPr>
                <w:szCs w:val="21"/>
              </w:rPr>
            </w:pPr>
            <w:r>
              <w:rPr>
                <w:szCs w:val="21"/>
              </w:rPr>
              <w:t>0</w:t>
            </w:r>
          </w:p>
        </w:tc>
        <w:tc>
          <w:tcPr>
            <w:tcW w:w="793" w:type="pct"/>
            <w:vAlign w:val="center"/>
          </w:tcPr>
          <w:p w14:paraId="2E66BA64">
            <w:pPr>
              <w:snapToGrid w:val="0"/>
              <w:jc w:val="center"/>
              <w:rPr>
                <w:szCs w:val="21"/>
              </w:rPr>
            </w:pPr>
            <w:r>
              <w:rPr>
                <w:szCs w:val="21"/>
              </w:rPr>
              <w:t>国产</w:t>
            </w:r>
          </w:p>
        </w:tc>
      </w:tr>
      <w:tr w14:paraId="4D7ACE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B5C790F">
            <w:pPr>
              <w:snapToGrid w:val="0"/>
              <w:jc w:val="center"/>
              <w:rPr>
                <w:szCs w:val="21"/>
              </w:rPr>
            </w:pPr>
            <w:r>
              <w:rPr>
                <w:szCs w:val="21"/>
              </w:rPr>
              <w:t>5</w:t>
            </w:r>
          </w:p>
        </w:tc>
        <w:tc>
          <w:tcPr>
            <w:tcW w:w="354" w:type="pct"/>
            <w:vMerge w:val="continue"/>
            <w:vAlign w:val="center"/>
          </w:tcPr>
          <w:p w14:paraId="6CEC3381">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D9281F3">
            <w:pPr>
              <w:snapToGrid w:val="0"/>
              <w:jc w:val="center"/>
              <w:rPr>
                <w:szCs w:val="21"/>
              </w:rPr>
            </w:pPr>
            <w:r>
              <w:rPr>
                <w:szCs w:val="21"/>
              </w:rPr>
              <w:t>精密切条机</w:t>
            </w:r>
          </w:p>
        </w:tc>
        <w:tc>
          <w:tcPr>
            <w:tcW w:w="1285" w:type="pct"/>
            <w:vAlign w:val="center"/>
          </w:tcPr>
          <w:p w14:paraId="31785ACF">
            <w:pPr>
              <w:snapToGrid w:val="0"/>
              <w:jc w:val="center"/>
              <w:rPr>
                <w:szCs w:val="21"/>
              </w:rPr>
            </w:pPr>
            <w:r>
              <w:rPr>
                <w:szCs w:val="21"/>
              </w:rPr>
              <w:t>600</w:t>
            </w:r>
          </w:p>
        </w:tc>
        <w:tc>
          <w:tcPr>
            <w:tcW w:w="456" w:type="pct"/>
            <w:vAlign w:val="center"/>
          </w:tcPr>
          <w:p w14:paraId="086E0498">
            <w:pPr>
              <w:snapToGrid w:val="0"/>
              <w:jc w:val="center"/>
              <w:rPr>
                <w:szCs w:val="21"/>
              </w:rPr>
            </w:pPr>
            <w:r>
              <w:rPr>
                <w:szCs w:val="21"/>
              </w:rPr>
              <w:t>0</w:t>
            </w:r>
          </w:p>
        </w:tc>
        <w:tc>
          <w:tcPr>
            <w:tcW w:w="557" w:type="pct"/>
            <w:vAlign w:val="center"/>
          </w:tcPr>
          <w:p w14:paraId="702670BB">
            <w:pPr>
              <w:snapToGrid w:val="0"/>
              <w:jc w:val="center"/>
              <w:rPr>
                <w:szCs w:val="21"/>
              </w:rPr>
            </w:pPr>
            <w:r>
              <w:rPr>
                <w:szCs w:val="21"/>
              </w:rPr>
              <w:t>3</w:t>
            </w:r>
          </w:p>
        </w:tc>
        <w:tc>
          <w:tcPr>
            <w:tcW w:w="362" w:type="pct"/>
            <w:vAlign w:val="center"/>
          </w:tcPr>
          <w:p w14:paraId="004187D6">
            <w:pPr>
              <w:snapToGrid w:val="0"/>
              <w:jc w:val="center"/>
              <w:rPr>
                <w:szCs w:val="21"/>
              </w:rPr>
            </w:pPr>
            <w:r>
              <w:rPr>
                <w:szCs w:val="21"/>
              </w:rPr>
              <w:t>+3</w:t>
            </w:r>
          </w:p>
        </w:tc>
        <w:tc>
          <w:tcPr>
            <w:tcW w:w="793" w:type="pct"/>
            <w:vAlign w:val="center"/>
          </w:tcPr>
          <w:p w14:paraId="6CC45676">
            <w:pPr>
              <w:snapToGrid w:val="0"/>
              <w:jc w:val="center"/>
              <w:rPr>
                <w:szCs w:val="21"/>
              </w:rPr>
            </w:pPr>
            <w:r>
              <w:rPr>
                <w:szCs w:val="21"/>
              </w:rPr>
              <w:t>国产</w:t>
            </w:r>
          </w:p>
        </w:tc>
      </w:tr>
      <w:tr w14:paraId="715CE2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3EAB12C">
            <w:pPr>
              <w:snapToGrid w:val="0"/>
              <w:jc w:val="center"/>
              <w:rPr>
                <w:szCs w:val="21"/>
              </w:rPr>
            </w:pPr>
            <w:r>
              <w:rPr>
                <w:szCs w:val="21"/>
              </w:rPr>
              <w:t>6</w:t>
            </w:r>
          </w:p>
        </w:tc>
        <w:tc>
          <w:tcPr>
            <w:tcW w:w="354" w:type="pct"/>
            <w:vMerge w:val="continue"/>
            <w:vAlign w:val="center"/>
          </w:tcPr>
          <w:p w14:paraId="3BE471AF">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3C43A96">
            <w:pPr>
              <w:snapToGrid w:val="0"/>
              <w:jc w:val="center"/>
              <w:rPr>
                <w:szCs w:val="21"/>
              </w:rPr>
            </w:pPr>
            <w:r>
              <w:rPr>
                <w:szCs w:val="21"/>
              </w:rPr>
              <w:t>多功能数控切条机</w:t>
            </w:r>
          </w:p>
        </w:tc>
        <w:tc>
          <w:tcPr>
            <w:tcW w:w="1285" w:type="pct"/>
            <w:vAlign w:val="center"/>
          </w:tcPr>
          <w:p w14:paraId="592EC201">
            <w:pPr>
              <w:snapToGrid w:val="0"/>
              <w:jc w:val="center"/>
              <w:rPr>
                <w:szCs w:val="21"/>
              </w:rPr>
            </w:pPr>
            <w:r>
              <w:rPr>
                <w:szCs w:val="21"/>
              </w:rPr>
              <w:t>SY-E</w:t>
            </w:r>
          </w:p>
        </w:tc>
        <w:tc>
          <w:tcPr>
            <w:tcW w:w="456" w:type="pct"/>
            <w:vAlign w:val="center"/>
          </w:tcPr>
          <w:p w14:paraId="53A208F8">
            <w:pPr>
              <w:snapToGrid w:val="0"/>
              <w:jc w:val="center"/>
              <w:rPr>
                <w:szCs w:val="21"/>
              </w:rPr>
            </w:pPr>
            <w:r>
              <w:rPr>
                <w:szCs w:val="21"/>
              </w:rPr>
              <w:t>1</w:t>
            </w:r>
          </w:p>
        </w:tc>
        <w:tc>
          <w:tcPr>
            <w:tcW w:w="557" w:type="pct"/>
            <w:vAlign w:val="center"/>
          </w:tcPr>
          <w:p w14:paraId="25954FD3">
            <w:pPr>
              <w:snapToGrid w:val="0"/>
              <w:jc w:val="center"/>
              <w:rPr>
                <w:szCs w:val="21"/>
              </w:rPr>
            </w:pPr>
            <w:r>
              <w:rPr>
                <w:szCs w:val="21"/>
              </w:rPr>
              <w:t>1</w:t>
            </w:r>
          </w:p>
        </w:tc>
        <w:tc>
          <w:tcPr>
            <w:tcW w:w="362" w:type="pct"/>
            <w:vAlign w:val="center"/>
          </w:tcPr>
          <w:p w14:paraId="4EF64C35">
            <w:pPr>
              <w:snapToGrid w:val="0"/>
              <w:jc w:val="center"/>
              <w:rPr>
                <w:szCs w:val="21"/>
              </w:rPr>
            </w:pPr>
            <w:r>
              <w:rPr>
                <w:szCs w:val="21"/>
              </w:rPr>
              <w:t>0</w:t>
            </w:r>
          </w:p>
        </w:tc>
        <w:tc>
          <w:tcPr>
            <w:tcW w:w="793" w:type="pct"/>
            <w:vAlign w:val="center"/>
          </w:tcPr>
          <w:p w14:paraId="6D17628C">
            <w:pPr>
              <w:snapToGrid w:val="0"/>
              <w:jc w:val="center"/>
              <w:rPr>
                <w:szCs w:val="21"/>
              </w:rPr>
            </w:pPr>
            <w:r>
              <w:rPr>
                <w:szCs w:val="21"/>
              </w:rPr>
              <w:t>国产</w:t>
            </w:r>
          </w:p>
        </w:tc>
      </w:tr>
      <w:tr w14:paraId="799BD7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56E4AA7">
            <w:pPr>
              <w:snapToGrid w:val="0"/>
              <w:jc w:val="center"/>
              <w:rPr>
                <w:szCs w:val="21"/>
              </w:rPr>
            </w:pPr>
            <w:r>
              <w:rPr>
                <w:szCs w:val="21"/>
              </w:rPr>
              <w:t>7</w:t>
            </w:r>
          </w:p>
        </w:tc>
        <w:tc>
          <w:tcPr>
            <w:tcW w:w="354" w:type="pct"/>
            <w:vMerge w:val="continue"/>
            <w:vAlign w:val="center"/>
          </w:tcPr>
          <w:p w14:paraId="14212AC5">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15D250C">
            <w:pPr>
              <w:snapToGrid w:val="0"/>
              <w:jc w:val="center"/>
              <w:rPr>
                <w:szCs w:val="21"/>
              </w:rPr>
            </w:pPr>
            <w:r>
              <w:rPr>
                <w:szCs w:val="21"/>
              </w:rPr>
              <w:t>裁断机</w:t>
            </w:r>
          </w:p>
        </w:tc>
        <w:tc>
          <w:tcPr>
            <w:tcW w:w="1285" w:type="pct"/>
            <w:vAlign w:val="center"/>
          </w:tcPr>
          <w:p w14:paraId="51383B5E">
            <w:pPr>
              <w:snapToGrid w:val="0"/>
              <w:jc w:val="center"/>
              <w:rPr>
                <w:szCs w:val="21"/>
              </w:rPr>
            </w:pPr>
            <w:r>
              <w:rPr>
                <w:szCs w:val="21"/>
              </w:rPr>
              <w:t>/</w:t>
            </w:r>
          </w:p>
        </w:tc>
        <w:tc>
          <w:tcPr>
            <w:tcW w:w="456" w:type="pct"/>
            <w:vAlign w:val="center"/>
          </w:tcPr>
          <w:p w14:paraId="13767363">
            <w:pPr>
              <w:snapToGrid w:val="0"/>
              <w:jc w:val="center"/>
              <w:rPr>
                <w:szCs w:val="21"/>
              </w:rPr>
            </w:pPr>
            <w:r>
              <w:rPr>
                <w:szCs w:val="21"/>
              </w:rPr>
              <w:t>1</w:t>
            </w:r>
          </w:p>
        </w:tc>
        <w:tc>
          <w:tcPr>
            <w:tcW w:w="557" w:type="pct"/>
            <w:vAlign w:val="center"/>
          </w:tcPr>
          <w:p w14:paraId="6A0DC71A">
            <w:pPr>
              <w:snapToGrid w:val="0"/>
              <w:jc w:val="center"/>
              <w:rPr>
                <w:szCs w:val="21"/>
              </w:rPr>
            </w:pPr>
            <w:r>
              <w:rPr>
                <w:szCs w:val="21"/>
              </w:rPr>
              <w:t>1</w:t>
            </w:r>
          </w:p>
        </w:tc>
        <w:tc>
          <w:tcPr>
            <w:tcW w:w="362" w:type="pct"/>
            <w:vAlign w:val="center"/>
          </w:tcPr>
          <w:p w14:paraId="0178553E">
            <w:pPr>
              <w:snapToGrid w:val="0"/>
              <w:jc w:val="center"/>
              <w:rPr>
                <w:szCs w:val="21"/>
              </w:rPr>
            </w:pPr>
            <w:r>
              <w:rPr>
                <w:szCs w:val="21"/>
              </w:rPr>
              <w:t>0</w:t>
            </w:r>
          </w:p>
        </w:tc>
        <w:tc>
          <w:tcPr>
            <w:tcW w:w="793" w:type="pct"/>
            <w:vAlign w:val="center"/>
          </w:tcPr>
          <w:p w14:paraId="43545A2C">
            <w:pPr>
              <w:snapToGrid w:val="0"/>
              <w:jc w:val="center"/>
              <w:rPr>
                <w:szCs w:val="21"/>
              </w:rPr>
            </w:pPr>
            <w:r>
              <w:rPr>
                <w:szCs w:val="21"/>
              </w:rPr>
              <w:t>国产</w:t>
            </w:r>
          </w:p>
        </w:tc>
      </w:tr>
      <w:tr w14:paraId="25FC4F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5C6AE34">
            <w:pPr>
              <w:snapToGrid w:val="0"/>
              <w:jc w:val="center"/>
              <w:rPr>
                <w:szCs w:val="21"/>
              </w:rPr>
            </w:pPr>
            <w:r>
              <w:rPr>
                <w:szCs w:val="21"/>
              </w:rPr>
              <w:t>8</w:t>
            </w:r>
          </w:p>
        </w:tc>
        <w:tc>
          <w:tcPr>
            <w:tcW w:w="354" w:type="pct"/>
            <w:vMerge w:val="continue"/>
            <w:vAlign w:val="center"/>
          </w:tcPr>
          <w:p w14:paraId="3EE7AB0A">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50BDEB9">
            <w:pPr>
              <w:snapToGrid w:val="0"/>
              <w:jc w:val="center"/>
              <w:rPr>
                <w:szCs w:val="21"/>
              </w:rPr>
            </w:pPr>
            <w:r>
              <w:rPr>
                <w:szCs w:val="21"/>
              </w:rPr>
              <w:t>分条机</w:t>
            </w:r>
          </w:p>
        </w:tc>
        <w:tc>
          <w:tcPr>
            <w:tcW w:w="1285" w:type="pct"/>
            <w:vAlign w:val="center"/>
          </w:tcPr>
          <w:p w14:paraId="5BA9A014">
            <w:pPr>
              <w:snapToGrid w:val="0"/>
              <w:jc w:val="center"/>
              <w:rPr>
                <w:szCs w:val="21"/>
              </w:rPr>
            </w:pPr>
            <w:r>
              <w:rPr>
                <w:szCs w:val="21"/>
              </w:rPr>
              <w:t>CYKD4800</w:t>
            </w:r>
          </w:p>
        </w:tc>
        <w:tc>
          <w:tcPr>
            <w:tcW w:w="456" w:type="pct"/>
            <w:vAlign w:val="center"/>
          </w:tcPr>
          <w:p w14:paraId="7384DCCA">
            <w:pPr>
              <w:snapToGrid w:val="0"/>
              <w:jc w:val="center"/>
              <w:rPr>
                <w:szCs w:val="21"/>
              </w:rPr>
            </w:pPr>
            <w:r>
              <w:rPr>
                <w:szCs w:val="21"/>
              </w:rPr>
              <w:t>1</w:t>
            </w:r>
          </w:p>
        </w:tc>
        <w:tc>
          <w:tcPr>
            <w:tcW w:w="557" w:type="pct"/>
            <w:vAlign w:val="center"/>
          </w:tcPr>
          <w:p w14:paraId="22480E2A">
            <w:pPr>
              <w:snapToGrid w:val="0"/>
              <w:jc w:val="center"/>
              <w:rPr>
                <w:szCs w:val="21"/>
              </w:rPr>
            </w:pPr>
            <w:r>
              <w:rPr>
                <w:szCs w:val="21"/>
              </w:rPr>
              <w:t>1</w:t>
            </w:r>
          </w:p>
        </w:tc>
        <w:tc>
          <w:tcPr>
            <w:tcW w:w="362" w:type="pct"/>
            <w:vAlign w:val="center"/>
          </w:tcPr>
          <w:p w14:paraId="4F833E2D">
            <w:pPr>
              <w:snapToGrid w:val="0"/>
              <w:jc w:val="center"/>
              <w:rPr>
                <w:szCs w:val="21"/>
              </w:rPr>
            </w:pPr>
            <w:r>
              <w:rPr>
                <w:szCs w:val="21"/>
              </w:rPr>
              <w:t>0</w:t>
            </w:r>
          </w:p>
        </w:tc>
        <w:tc>
          <w:tcPr>
            <w:tcW w:w="793" w:type="pct"/>
            <w:vAlign w:val="center"/>
          </w:tcPr>
          <w:p w14:paraId="0F282424">
            <w:pPr>
              <w:snapToGrid w:val="0"/>
              <w:jc w:val="center"/>
              <w:rPr>
                <w:szCs w:val="21"/>
              </w:rPr>
            </w:pPr>
            <w:r>
              <w:rPr>
                <w:szCs w:val="21"/>
              </w:rPr>
              <w:t>国产</w:t>
            </w:r>
          </w:p>
        </w:tc>
      </w:tr>
      <w:tr w14:paraId="36F793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F53F36D">
            <w:pPr>
              <w:snapToGrid w:val="0"/>
              <w:jc w:val="center"/>
              <w:rPr>
                <w:szCs w:val="21"/>
              </w:rPr>
            </w:pPr>
            <w:r>
              <w:rPr>
                <w:rFonts w:hint="eastAsia"/>
                <w:szCs w:val="21"/>
              </w:rPr>
              <w:t>9</w:t>
            </w:r>
          </w:p>
        </w:tc>
        <w:tc>
          <w:tcPr>
            <w:tcW w:w="354" w:type="pct"/>
            <w:vMerge w:val="continue"/>
            <w:vAlign w:val="center"/>
          </w:tcPr>
          <w:p w14:paraId="61F5F187">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A98F368">
            <w:pPr>
              <w:snapToGrid w:val="0"/>
              <w:jc w:val="center"/>
              <w:rPr>
                <w:szCs w:val="21"/>
              </w:rPr>
            </w:pPr>
            <w:r>
              <w:rPr>
                <w:szCs w:val="21"/>
              </w:rPr>
              <w:t>过滤挤出机</w:t>
            </w:r>
          </w:p>
        </w:tc>
        <w:tc>
          <w:tcPr>
            <w:tcW w:w="1285" w:type="pct"/>
            <w:vAlign w:val="center"/>
          </w:tcPr>
          <w:p w14:paraId="2E7BB46B">
            <w:pPr>
              <w:snapToGrid w:val="0"/>
              <w:jc w:val="center"/>
              <w:rPr>
                <w:szCs w:val="21"/>
              </w:rPr>
            </w:pPr>
            <w:r>
              <w:rPr>
                <w:szCs w:val="21"/>
              </w:rPr>
              <w:t>XJD-Φ90×12D</w:t>
            </w:r>
          </w:p>
        </w:tc>
        <w:tc>
          <w:tcPr>
            <w:tcW w:w="456" w:type="pct"/>
            <w:vAlign w:val="center"/>
          </w:tcPr>
          <w:p w14:paraId="12F1E3D3">
            <w:pPr>
              <w:snapToGrid w:val="0"/>
              <w:jc w:val="center"/>
              <w:rPr>
                <w:szCs w:val="21"/>
              </w:rPr>
            </w:pPr>
            <w:r>
              <w:rPr>
                <w:szCs w:val="21"/>
              </w:rPr>
              <w:t>1</w:t>
            </w:r>
          </w:p>
        </w:tc>
        <w:tc>
          <w:tcPr>
            <w:tcW w:w="557" w:type="pct"/>
            <w:vAlign w:val="center"/>
          </w:tcPr>
          <w:p w14:paraId="08A24495">
            <w:pPr>
              <w:snapToGrid w:val="0"/>
              <w:jc w:val="center"/>
              <w:rPr>
                <w:szCs w:val="21"/>
              </w:rPr>
            </w:pPr>
            <w:r>
              <w:rPr>
                <w:szCs w:val="21"/>
              </w:rPr>
              <w:t>1</w:t>
            </w:r>
          </w:p>
        </w:tc>
        <w:tc>
          <w:tcPr>
            <w:tcW w:w="362" w:type="pct"/>
            <w:vAlign w:val="center"/>
          </w:tcPr>
          <w:p w14:paraId="6AD03130">
            <w:pPr>
              <w:snapToGrid w:val="0"/>
              <w:jc w:val="center"/>
              <w:rPr>
                <w:szCs w:val="21"/>
              </w:rPr>
            </w:pPr>
            <w:r>
              <w:rPr>
                <w:szCs w:val="21"/>
              </w:rPr>
              <w:t>0</w:t>
            </w:r>
          </w:p>
        </w:tc>
        <w:tc>
          <w:tcPr>
            <w:tcW w:w="793" w:type="pct"/>
            <w:vAlign w:val="center"/>
          </w:tcPr>
          <w:p w14:paraId="6DC15261">
            <w:pPr>
              <w:snapToGrid w:val="0"/>
              <w:jc w:val="center"/>
              <w:rPr>
                <w:szCs w:val="21"/>
              </w:rPr>
            </w:pPr>
            <w:r>
              <w:rPr>
                <w:szCs w:val="21"/>
              </w:rPr>
              <w:t>国产</w:t>
            </w:r>
          </w:p>
        </w:tc>
      </w:tr>
      <w:tr w14:paraId="4E9121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369BA1D">
            <w:pPr>
              <w:snapToGrid w:val="0"/>
              <w:jc w:val="center"/>
              <w:rPr>
                <w:szCs w:val="21"/>
              </w:rPr>
            </w:pPr>
            <w:r>
              <w:rPr>
                <w:szCs w:val="21"/>
              </w:rPr>
              <w:t>1</w:t>
            </w:r>
            <w:r>
              <w:rPr>
                <w:rFonts w:hint="eastAsia"/>
                <w:szCs w:val="21"/>
              </w:rPr>
              <w:t>0</w:t>
            </w:r>
          </w:p>
        </w:tc>
        <w:tc>
          <w:tcPr>
            <w:tcW w:w="354" w:type="pct"/>
            <w:vMerge w:val="continue"/>
            <w:vAlign w:val="center"/>
          </w:tcPr>
          <w:p w14:paraId="367E03C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61ACAFD">
            <w:pPr>
              <w:snapToGrid w:val="0"/>
              <w:jc w:val="center"/>
              <w:rPr>
                <w:szCs w:val="21"/>
              </w:rPr>
            </w:pPr>
            <w:r>
              <w:rPr>
                <w:szCs w:val="21"/>
              </w:rPr>
              <w:t>冷却输送机</w:t>
            </w:r>
          </w:p>
        </w:tc>
        <w:tc>
          <w:tcPr>
            <w:tcW w:w="1285" w:type="pct"/>
            <w:vAlign w:val="center"/>
          </w:tcPr>
          <w:p w14:paraId="0650950F">
            <w:pPr>
              <w:snapToGrid w:val="0"/>
              <w:jc w:val="center"/>
              <w:rPr>
                <w:szCs w:val="21"/>
              </w:rPr>
            </w:pPr>
            <w:r>
              <w:rPr>
                <w:szCs w:val="21"/>
              </w:rPr>
              <w:t>/</w:t>
            </w:r>
          </w:p>
        </w:tc>
        <w:tc>
          <w:tcPr>
            <w:tcW w:w="456" w:type="pct"/>
            <w:vAlign w:val="center"/>
          </w:tcPr>
          <w:p w14:paraId="17E4A9DC">
            <w:pPr>
              <w:snapToGrid w:val="0"/>
              <w:jc w:val="center"/>
              <w:rPr>
                <w:szCs w:val="21"/>
              </w:rPr>
            </w:pPr>
            <w:r>
              <w:rPr>
                <w:szCs w:val="21"/>
              </w:rPr>
              <w:t>1</w:t>
            </w:r>
          </w:p>
        </w:tc>
        <w:tc>
          <w:tcPr>
            <w:tcW w:w="557" w:type="pct"/>
            <w:vAlign w:val="center"/>
          </w:tcPr>
          <w:p w14:paraId="2B6746CC">
            <w:pPr>
              <w:snapToGrid w:val="0"/>
              <w:jc w:val="center"/>
              <w:rPr>
                <w:szCs w:val="21"/>
              </w:rPr>
            </w:pPr>
            <w:r>
              <w:rPr>
                <w:szCs w:val="21"/>
              </w:rPr>
              <w:t>1</w:t>
            </w:r>
          </w:p>
        </w:tc>
        <w:tc>
          <w:tcPr>
            <w:tcW w:w="362" w:type="pct"/>
            <w:vAlign w:val="center"/>
          </w:tcPr>
          <w:p w14:paraId="24EA8C0E">
            <w:pPr>
              <w:snapToGrid w:val="0"/>
              <w:jc w:val="center"/>
              <w:rPr>
                <w:szCs w:val="21"/>
              </w:rPr>
            </w:pPr>
            <w:r>
              <w:rPr>
                <w:szCs w:val="21"/>
              </w:rPr>
              <w:t>0</w:t>
            </w:r>
          </w:p>
        </w:tc>
        <w:tc>
          <w:tcPr>
            <w:tcW w:w="793" w:type="pct"/>
            <w:vAlign w:val="center"/>
          </w:tcPr>
          <w:p w14:paraId="4E8A5FFA">
            <w:pPr>
              <w:snapToGrid w:val="0"/>
              <w:jc w:val="center"/>
              <w:rPr>
                <w:szCs w:val="21"/>
              </w:rPr>
            </w:pPr>
            <w:r>
              <w:rPr>
                <w:szCs w:val="21"/>
              </w:rPr>
              <w:t>国产</w:t>
            </w:r>
          </w:p>
        </w:tc>
      </w:tr>
      <w:tr w14:paraId="6D2BEF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21A5EE9">
            <w:pPr>
              <w:snapToGrid w:val="0"/>
              <w:jc w:val="center"/>
              <w:rPr>
                <w:szCs w:val="21"/>
              </w:rPr>
            </w:pPr>
            <w:r>
              <w:rPr>
                <w:szCs w:val="21"/>
              </w:rPr>
              <w:t>1</w:t>
            </w:r>
            <w:r>
              <w:rPr>
                <w:rFonts w:hint="eastAsia"/>
                <w:szCs w:val="21"/>
              </w:rPr>
              <w:t>1</w:t>
            </w:r>
          </w:p>
        </w:tc>
        <w:tc>
          <w:tcPr>
            <w:tcW w:w="354" w:type="pct"/>
            <w:vMerge w:val="continue"/>
            <w:vAlign w:val="center"/>
          </w:tcPr>
          <w:p w14:paraId="384C080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4AE30E12">
            <w:pPr>
              <w:snapToGrid w:val="0"/>
              <w:jc w:val="center"/>
              <w:rPr>
                <w:szCs w:val="21"/>
                <w:lang w:val="de-DE"/>
              </w:rPr>
            </w:pPr>
            <w:r>
              <w:rPr>
                <w:szCs w:val="21"/>
              </w:rPr>
              <w:t>旁板型加硫机</w:t>
            </w:r>
            <w:r>
              <w:rPr>
                <w:szCs w:val="21"/>
                <w:lang w:val="de-DE"/>
              </w:rPr>
              <w:t>（SK100T)</w:t>
            </w:r>
          </w:p>
        </w:tc>
        <w:tc>
          <w:tcPr>
            <w:tcW w:w="1285" w:type="pct"/>
            <w:vAlign w:val="center"/>
          </w:tcPr>
          <w:p w14:paraId="2B6D6A55">
            <w:pPr>
              <w:snapToGrid w:val="0"/>
              <w:jc w:val="center"/>
              <w:rPr>
                <w:szCs w:val="21"/>
              </w:rPr>
            </w:pPr>
            <w:r>
              <w:rPr>
                <w:szCs w:val="21"/>
              </w:rPr>
              <w:t>S-V-100-2RT</w:t>
            </w:r>
          </w:p>
        </w:tc>
        <w:tc>
          <w:tcPr>
            <w:tcW w:w="456" w:type="pct"/>
            <w:vAlign w:val="center"/>
          </w:tcPr>
          <w:p w14:paraId="00159C69">
            <w:pPr>
              <w:snapToGrid w:val="0"/>
              <w:jc w:val="center"/>
              <w:rPr>
                <w:szCs w:val="21"/>
              </w:rPr>
            </w:pPr>
            <w:r>
              <w:rPr>
                <w:rFonts w:hint="eastAsia"/>
                <w:szCs w:val="21"/>
              </w:rPr>
              <w:t>12</w:t>
            </w:r>
          </w:p>
        </w:tc>
        <w:tc>
          <w:tcPr>
            <w:tcW w:w="557" w:type="pct"/>
            <w:vAlign w:val="center"/>
          </w:tcPr>
          <w:p w14:paraId="4B076A74">
            <w:pPr>
              <w:snapToGrid w:val="0"/>
              <w:jc w:val="center"/>
              <w:rPr>
                <w:szCs w:val="21"/>
              </w:rPr>
            </w:pPr>
            <w:r>
              <w:rPr>
                <w:rFonts w:hint="eastAsia"/>
                <w:szCs w:val="21"/>
              </w:rPr>
              <w:t>12</w:t>
            </w:r>
          </w:p>
        </w:tc>
        <w:tc>
          <w:tcPr>
            <w:tcW w:w="362" w:type="pct"/>
            <w:vAlign w:val="center"/>
          </w:tcPr>
          <w:p w14:paraId="15A68F45">
            <w:pPr>
              <w:snapToGrid w:val="0"/>
              <w:jc w:val="center"/>
              <w:rPr>
                <w:szCs w:val="21"/>
              </w:rPr>
            </w:pPr>
            <w:r>
              <w:rPr>
                <w:szCs w:val="21"/>
              </w:rPr>
              <w:t>0</w:t>
            </w:r>
          </w:p>
        </w:tc>
        <w:tc>
          <w:tcPr>
            <w:tcW w:w="793" w:type="pct"/>
            <w:vAlign w:val="center"/>
          </w:tcPr>
          <w:p w14:paraId="270C248A">
            <w:pPr>
              <w:snapToGrid w:val="0"/>
              <w:jc w:val="center"/>
              <w:rPr>
                <w:szCs w:val="21"/>
              </w:rPr>
            </w:pPr>
            <w:r>
              <w:rPr>
                <w:szCs w:val="21"/>
              </w:rPr>
              <w:t>国产</w:t>
            </w:r>
          </w:p>
        </w:tc>
      </w:tr>
      <w:tr w14:paraId="23246B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F33C072">
            <w:pPr>
              <w:snapToGrid w:val="0"/>
              <w:jc w:val="center"/>
              <w:rPr>
                <w:szCs w:val="21"/>
              </w:rPr>
            </w:pPr>
            <w:r>
              <w:rPr>
                <w:szCs w:val="21"/>
              </w:rPr>
              <w:t>1</w:t>
            </w:r>
            <w:r>
              <w:rPr>
                <w:rFonts w:hint="eastAsia"/>
                <w:szCs w:val="21"/>
              </w:rPr>
              <w:t>2</w:t>
            </w:r>
          </w:p>
        </w:tc>
        <w:tc>
          <w:tcPr>
            <w:tcW w:w="354" w:type="pct"/>
            <w:vMerge w:val="continue"/>
            <w:vAlign w:val="center"/>
          </w:tcPr>
          <w:p w14:paraId="218D7D82">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F1AC048">
            <w:pPr>
              <w:snapToGrid w:val="0"/>
              <w:jc w:val="center"/>
              <w:rPr>
                <w:szCs w:val="21"/>
              </w:rPr>
            </w:pPr>
            <w:r>
              <w:rPr>
                <w:szCs w:val="21"/>
              </w:rPr>
              <w:t>注射加硫机</w:t>
            </w:r>
          </w:p>
        </w:tc>
        <w:tc>
          <w:tcPr>
            <w:tcW w:w="1285" w:type="pct"/>
            <w:vAlign w:val="center"/>
          </w:tcPr>
          <w:p w14:paraId="77526394">
            <w:pPr>
              <w:snapToGrid w:val="0"/>
              <w:jc w:val="center"/>
              <w:rPr>
                <w:szCs w:val="21"/>
              </w:rPr>
            </w:pPr>
            <w:r>
              <w:rPr>
                <w:szCs w:val="21"/>
              </w:rPr>
              <w:t>RH-200</w:t>
            </w:r>
          </w:p>
        </w:tc>
        <w:tc>
          <w:tcPr>
            <w:tcW w:w="456" w:type="pct"/>
            <w:vAlign w:val="center"/>
          </w:tcPr>
          <w:p w14:paraId="1D98E5F2">
            <w:pPr>
              <w:snapToGrid w:val="0"/>
              <w:jc w:val="center"/>
              <w:rPr>
                <w:szCs w:val="21"/>
              </w:rPr>
            </w:pPr>
            <w:r>
              <w:rPr>
                <w:szCs w:val="21"/>
              </w:rPr>
              <w:t>12</w:t>
            </w:r>
          </w:p>
        </w:tc>
        <w:tc>
          <w:tcPr>
            <w:tcW w:w="557" w:type="pct"/>
            <w:vAlign w:val="center"/>
          </w:tcPr>
          <w:p w14:paraId="77628C10">
            <w:pPr>
              <w:snapToGrid w:val="0"/>
              <w:jc w:val="center"/>
              <w:rPr>
                <w:szCs w:val="21"/>
              </w:rPr>
            </w:pPr>
            <w:r>
              <w:rPr>
                <w:szCs w:val="21"/>
              </w:rPr>
              <w:t>12</w:t>
            </w:r>
          </w:p>
        </w:tc>
        <w:tc>
          <w:tcPr>
            <w:tcW w:w="362" w:type="pct"/>
            <w:vAlign w:val="center"/>
          </w:tcPr>
          <w:p w14:paraId="112CD2A6">
            <w:pPr>
              <w:snapToGrid w:val="0"/>
              <w:jc w:val="center"/>
              <w:rPr>
                <w:szCs w:val="21"/>
              </w:rPr>
            </w:pPr>
            <w:r>
              <w:rPr>
                <w:szCs w:val="21"/>
              </w:rPr>
              <w:t>0</w:t>
            </w:r>
          </w:p>
        </w:tc>
        <w:tc>
          <w:tcPr>
            <w:tcW w:w="793" w:type="pct"/>
            <w:vAlign w:val="center"/>
          </w:tcPr>
          <w:p w14:paraId="0C3AE44A">
            <w:pPr>
              <w:snapToGrid w:val="0"/>
              <w:jc w:val="center"/>
              <w:rPr>
                <w:szCs w:val="21"/>
              </w:rPr>
            </w:pPr>
            <w:r>
              <w:rPr>
                <w:szCs w:val="21"/>
              </w:rPr>
              <w:t>国产</w:t>
            </w:r>
          </w:p>
        </w:tc>
      </w:tr>
      <w:tr w14:paraId="1D50FE3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A385EA5">
            <w:pPr>
              <w:snapToGrid w:val="0"/>
              <w:jc w:val="center"/>
              <w:rPr>
                <w:szCs w:val="21"/>
              </w:rPr>
            </w:pPr>
            <w:r>
              <w:rPr>
                <w:szCs w:val="21"/>
              </w:rPr>
              <w:t>1</w:t>
            </w:r>
            <w:r>
              <w:rPr>
                <w:rFonts w:hint="eastAsia"/>
                <w:szCs w:val="21"/>
              </w:rPr>
              <w:t>3</w:t>
            </w:r>
          </w:p>
        </w:tc>
        <w:tc>
          <w:tcPr>
            <w:tcW w:w="354" w:type="pct"/>
            <w:vMerge w:val="continue"/>
            <w:vAlign w:val="center"/>
          </w:tcPr>
          <w:p w14:paraId="39588010">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46AE8EAE">
            <w:pPr>
              <w:snapToGrid w:val="0"/>
              <w:jc w:val="center"/>
              <w:rPr>
                <w:szCs w:val="21"/>
              </w:rPr>
            </w:pPr>
            <w:r>
              <w:rPr>
                <w:szCs w:val="21"/>
              </w:rPr>
              <w:t>加硫机</w:t>
            </w:r>
          </w:p>
        </w:tc>
        <w:tc>
          <w:tcPr>
            <w:tcW w:w="1285" w:type="pct"/>
            <w:vAlign w:val="center"/>
          </w:tcPr>
          <w:p w14:paraId="65DEA66A">
            <w:pPr>
              <w:snapToGrid w:val="0"/>
              <w:jc w:val="center"/>
              <w:rPr>
                <w:szCs w:val="21"/>
              </w:rPr>
            </w:pPr>
            <w:r>
              <w:rPr>
                <w:szCs w:val="21"/>
              </w:rPr>
              <w:t>S-V-100-3RT</w:t>
            </w:r>
          </w:p>
        </w:tc>
        <w:tc>
          <w:tcPr>
            <w:tcW w:w="456" w:type="pct"/>
            <w:vAlign w:val="center"/>
          </w:tcPr>
          <w:p w14:paraId="1362A7BF">
            <w:pPr>
              <w:snapToGrid w:val="0"/>
              <w:jc w:val="center"/>
              <w:rPr>
                <w:szCs w:val="21"/>
              </w:rPr>
            </w:pPr>
            <w:r>
              <w:rPr>
                <w:rFonts w:hint="eastAsia"/>
                <w:szCs w:val="21"/>
              </w:rPr>
              <w:t>4</w:t>
            </w:r>
          </w:p>
        </w:tc>
        <w:tc>
          <w:tcPr>
            <w:tcW w:w="557" w:type="pct"/>
            <w:vAlign w:val="center"/>
          </w:tcPr>
          <w:p w14:paraId="4B8273A8">
            <w:pPr>
              <w:snapToGrid w:val="0"/>
              <w:jc w:val="center"/>
              <w:rPr>
                <w:szCs w:val="21"/>
              </w:rPr>
            </w:pPr>
            <w:r>
              <w:rPr>
                <w:rFonts w:hint="eastAsia"/>
                <w:szCs w:val="21"/>
              </w:rPr>
              <w:t>4</w:t>
            </w:r>
          </w:p>
        </w:tc>
        <w:tc>
          <w:tcPr>
            <w:tcW w:w="362" w:type="pct"/>
            <w:vAlign w:val="center"/>
          </w:tcPr>
          <w:p w14:paraId="42846BD0">
            <w:pPr>
              <w:snapToGrid w:val="0"/>
              <w:jc w:val="center"/>
              <w:rPr>
                <w:szCs w:val="21"/>
              </w:rPr>
            </w:pPr>
            <w:r>
              <w:rPr>
                <w:szCs w:val="21"/>
              </w:rPr>
              <w:t>0</w:t>
            </w:r>
          </w:p>
        </w:tc>
        <w:tc>
          <w:tcPr>
            <w:tcW w:w="793" w:type="pct"/>
            <w:vAlign w:val="center"/>
          </w:tcPr>
          <w:p w14:paraId="4A9AC438">
            <w:pPr>
              <w:snapToGrid w:val="0"/>
              <w:jc w:val="center"/>
              <w:rPr>
                <w:szCs w:val="21"/>
              </w:rPr>
            </w:pPr>
            <w:r>
              <w:rPr>
                <w:szCs w:val="21"/>
              </w:rPr>
              <w:t>国产</w:t>
            </w:r>
          </w:p>
        </w:tc>
      </w:tr>
      <w:tr w14:paraId="5413217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6675212">
            <w:pPr>
              <w:snapToGrid w:val="0"/>
              <w:jc w:val="center"/>
              <w:rPr>
                <w:szCs w:val="21"/>
              </w:rPr>
            </w:pPr>
            <w:r>
              <w:rPr>
                <w:szCs w:val="21"/>
              </w:rPr>
              <w:t>1</w:t>
            </w:r>
            <w:r>
              <w:rPr>
                <w:rFonts w:hint="eastAsia"/>
                <w:szCs w:val="21"/>
              </w:rPr>
              <w:t>4</w:t>
            </w:r>
          </w:p>
        </w:tc>
        <w:tc>
          <w:tcPr>
            <w:tcW w:w="354" w:type="pct"/>
            <w:vMerge w:val="continue"/>
            <w:vAlign w:val="center"/>
          </w:tcPr>
          <w:p w14:paraId="5561E484">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3158343">
            <w:pPr>
              <w:snapToGrid w:val="0"/>
              <w:jc w:val="center"/>
              <w:rPr>
                <w:szCs w:val="21"/>
              </w:rPr>
            </w:pPr>
            <w:r>
              <w:rPr>
                <w:szCs w:val="21"/>
              </w:rPr>
              <w:t>轨道开模真空加硫机</w:t>
            </w:r>
          </w:p>
        </w:tc>
        <w:tc>
          <w:tcPr>
            <w:tcW w:w="1285" w:type="pct"/>
            <w:vAlign w:val="center"/>
          </w:tcPr>
          <w:p w14:paraId="7637DCAB">
            <w:pPr>
              <w:snapToGrid w:val="0"/>
              <w:jc w:val="center"/>
              <w:rPr>
                <w:szCs w:val="21"/>
              </w:rPr>
            </w:pPr>
            <w:r>
              <w:rPr>
                <w:szCs w:val="21"/>
              </w:rPr>
              <w:t>VC-200/P20VCR</w:t>
            </w:r>
          </w:p>
        </w:tc>
        <w:tc>
          <w:tcPr>
            <w:tcW w:w="456" w:type="pct"/>
            <w:vAlign w:val="center"/>
          </w:tcPr>
          <w:p w14:paraId="351E207D">
            <w:pPr>
              <w:snapToGrid w:val="0"/>
              <w:jc w:val="center"/>
              <w:rPr>
                <w:szCs w:val="21"/>
              </w:rPr>
            </w:pPr>
            <w:r>
              <w:rPr>
                <w:rFonts w:hint="eastAsia"/>
                <w:szCs w:val="21"/>
              </w:rPr>
              <w:t>6</w:t>
            </w:r>
          </w:p>
        </w:tc>
        <w:tc>
          <w:tcPr>
            <w:tcW w:w="557" w:type="pct"/>
            <w:vAlign w:val="center"/>
          </w:tcPr>
          <w:p w14:paraId="661359E8">
            <w:pPr>
              <w:snapToGrid w:val="0"/>
              <w:jc w:val="center"/>
              <w:rPr>
                <w:szCs w:val="21"/>
              </w:rPr>
            </w:pPr>
            <w:r>
              <w:rPr>
                <w:rFonts w:hint="eastAsia"/>
                <w:szCs w:val="21"/>
              </w:rPr>
              <w:t>6</w:t>
            </w:r>
          </w:p>
        </w:tc>
        <w:tc>
          <w:tcPr>
            <w:tcW w:w="362" w:type="pct"/>
            <w:vAlign w:val="center"/>
          </w:tcPr>
          <w:p w14:paraId="30A1585C">
            <w:pPr>
              <w:snapToGrid w:val="0"/>
              <w:jc w:val="center"/>
              <w:rPr>
                <w:szCs w:val="21"/>
              </w:rPr>
            </w:pPr>
            <w:r>
              <w:rPr>
                <w:szCs w:val="21"/>
              </w:rPr>
              <w:t>0</w:t>
            </w:r>
          </w:p>
        </w:tc>
        <w:tc>
          <w:tcPr>
            <w:tcW w:w="793" w:type="pct"/>
            <w:vAlign w:val="center"/>
          </w:tcPr>
          <w:p w14:paraId="14782F69">
            <w:pPr>
              <w:snapToGrid w:val="0"/>
              <w:jc w:val="center"/>
              <w:rPr>
                <w:szCs w:val="21"/>
              </w:rPr>
            </w:pPr>
            <w:r>
              <w:rPr>
                <w:szCs w:val="21"/>
              </w:rPr>
              <w:t>国产</w:t>
            </w:r>
          </w:p>
        </w:tc>
      </w:tr>
      <w:tr w14:paraId="3092F2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056A846">
            <w:pPr>
              <w:snapToGrid w:val="0"/>
              <w:jc w:val="center"/>
              <w:rPr>
                <w:szCs w:val="21"/>
              </w:rPr>
            </w:pPr>
            <w:r>
              <w:rPr>
                <w:rFonts w:hint="eastAsia"/>
                <w:szCs w:val="21"/>
              </w:rPr>
              <w:t>15</w:t>
            </w:r>
          </w:p>
        </w:tc>
        <w:tc>
          <w:tcPr>
            <w:tcW w:w="354" w:type="pct"/>
            <w:vMerge w:val="continue"/>
            <w:vAlign w:val="center"/>
          </w:tcPr>
          <w:p w14:paraId="421367A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7123949">
            <w:pPr>
              <w:snapToGrid w:val="0"/>
              <w:jc w:val="center"/>
              <w:rPr>
                <w:szCs w:val="21"/>
              </w:rPr>
            </w:pPr>
            <w:r>
              <w:rPr>
                <w:szCs w:val="21"/>
              </w:rPr>
              <w:t>双掀真空加硫机</w:t>
            </w:r>
          </w:p>
        </w:tc>
        <w:tc>
          <w:tcPr>
            <w:tcW w:w="1285" w:type="pct"/>
            <w:vAlign w:val="center"/>
          </w:tcPr>
          <w:p w14:paraId="4A5C2189">
            <w:pPr>
              <w:snapToGrid w:val="0"/>
              <w:jc w:val="center"/>
              <w:rPr>
                <w:szCs w:val="21"/>
              </w:rPr>
            </w:pPr>
            <w:r>
              <w:rPr>
                <w:szCs w:val="21"/>
              </w:rPr>
              <w:t>VC-200/P20VCF-3</w:t>
            </w:r>
          </w:p>
        </w:tc>
        <w:tc>
          <w:tcPr>
            <w:tcW w:w="456" w:type="pct"/>
            <w:vAlign w:val="center"/>
          </w:tcPr>
          <w:p w14:paraId="6A0D0CC4">
            <w:pPr>
              <w:snapToGrid w:val="0"/>
              <w:jc w:val="center"/>
              <w:rPr>
                <w:szCs w:val="21"/>
              </w:rPr>
            </w:pPr>
            <w:r>
              <w:rPr>
                <w:szCs w:val="21"/>
              </w:rPr>
              <w:t>1</w:t>
            </w:r>
            <w:r>
              <w:rPr>
                <w:rFonts w:hint="eastAsia"/>
                <w:szCs w:val="21"/>
              </w:rPr>
              <w:t>4</w:t>
            </w:r>
          </w:p>
        </w:tc>
        <w:tc>
          <w:tcPr>
            <w:tcW w:w="557" w:type="pct"/>
            <w:vAlign w:val="center"/>
          </w:tcPr>
          <w:p w14:paraId="04CFD450">
            <w:pPr>
              <w:snapToGrid w:val="0"/>
              <w:jc w:val="center"/>
              <w:rPr>
                <w:szCs w:val="21"/>
              </w:rPr>
            </w:pPr>
            <w:r>
              <w:rPr>
                <w:szCs w:val="21"/>
              </w:rPr>
              <w:t>1</w:t>
            </w:r>
            <w:r>
              <w:rPr>
                <w:rFonts w:hint="eastAsia"/>
                <w:szCs w:val="21"/>
              </w:rPr>
              <w:t>4</w:t>
            </w:r>
          </w:p>
        </w:tc>
        <w:tc>
          <w:tcPr>
            <w:tcW w:w="362" w:type="pct"/>
            <w:vAlign w:val="center"/>
          </w:tcPr>
          <w:p w14:paraId="1B2185EB">
            <w:pPr>
              <w:snapToGrid w:val="0"/>
              <w:jc w:val="center"/>
              <w:rPr>
                <w:szCs w:val="21"/>
              </w:rPr>
            </w:pPr>
            <w:r>
              <w:rPr>
                <w:szCs w:val="21"/>
              </w:rPr>
              <w:t>0</w:t>
            </w:r>
          </w:p>
        </w:tc>
        <w:tc>
          <w:tcPr>
            <w:tcW w:w="793" w:type="pct"/>
            <w:vAlign w:val="center"/>
          </w:tcPr>
          <w:p w14:paraId="3469FF58">
            <w:pPr>
              <w:snapToGrid w:val="0"/>
              <w:jc w:val="center"/>
              <w:rPr>
                <w:szCs w:val="21"/>
              </w:rPr>
            </w:pPr>
            <w:r>
              <w:rPr>
                <w:szCs w:val="21"/>
              </w:rPr>
              <w:t>国产</w:t>
            </w:r>
          </w:p>
        </w:tc>
      </w:tr>
      <w:tr w14:paraId="0847B6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AFA733E">
            <w:pPr>
              <w:snapToGrid w:val="0"/>
              <w:jc w:val="center"/>
              <w:rPr>
                <w:szCs w:val="21"/>
              </w:rPr>
            </w:pPr>
            <w:r>
              <w:rPr>
                <w:rFonts w:hint="eastAsia"/>
                <w:szCs w:val="21"/>
              </w:rPr>
              <w:t>16</w:t>
            </w:r>
          </w:p>
        </w:tc>
        <w:tc>
          <w:tcPr>
            <w:tcW w:w="354" w:type="pct"/>
            <w:vMerge w:val="continue"/>
            <w:vAlign w:val="center"/>
          </w:tcPr>
          <w:p w14:paraId="2429E2AF">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75237D3">
            <w:pPr>
              <w:snapToGrid w:val="0"/>
              <w:jc w:val="center"/>
              <w:rPr>
                <w:szCs w:val="21"/>
              </w:rPr>
            </w:pPr>
            <w:r>
              <w:rPr>
                <w:szCs w:val="21"/>
              </w:rPr>
              <w:t>真空加硫机</w:t>
            </w:r>
          </w:p>
        </w:tc>
        <w:tc>
          <w:tcPr>
            <w:tcW w:w="1285" w:type="pct"/>
            <w:vAlign w:val="center"/>
          </w:tcPr>
          <w:p w14:paraId="7960B77E">
            <w:pPr>
              <w:snapToGrid w:val="0"/>
              <w:jc w:val="center"/>
              <w:rPr>
                <w:szCs w:val="21"/>
              </w:rPr>
            </w:pPr>
            <w:r>
              <w:rPr>
                <w:szCs w:val="21"/>
              </w:rPr>
              <w:t>VC-250</w:t>
            </w:r>
          </w:p>
        </w:tc>
        <w:tc>
          <w:tcPr>
            <w:tcW w:w="456" w:type="pct"/>
            <w:vAlign w:val="center"/>
          </w:tcPr>
          <w:p w14:paraId="0F1A2653">
            <w:pPr>
              <w:snapToGrid w:val="0"/>
              <w:jc w:val="center"/>
              <w:rPr>
                <w:szCs w:val="21"/>
              </w:rPr>
            </w:pPr>
            <w:r>
              <w:rPr>
                <w:szCs w:val="21"/>
              </w:rPr>
              <w:t>9</w:t>
            </w:r>
          </w:p>
        </w:tc>
        <w:tc>
          <w:tcPr>
            <w:tcW w:w="557" w:type="pct"/>
            <w:vAlign w:val="center"/>
          </w:tcPr>
          <w:p w14:paraId="67D8AD32">
            <w:pPr>
              <w:snapToGrid w:val="0"/>
              <w:jc w:val="center"/>
              <w:rPr>
                <w:szCs w:val="21"/>
              </w:rPr>
            </w:pPr>
            <w:r>
              <w:rPr>
                <w:szCs w:val="21"/>
              </w:rPr>
              <w:t>9</w:t>
            </w:r>
          </w:p>
        </w:tc>
        <w:tc>
          <w:tcPr>
            <w:tcW w:w="362" w:type="pct"/>
            <w:vAlign w:val="center"/>
          </w:tcPr>
          <w:p w14:paraId="492950B3">
            <w:pPr>
              <w:snapToGrid w:val="0"/>
              <w:jc w:val="center"/>
              <w:rPr>
                <w:szCs w:val="21"/>
              </w:rPr>
            </w:pPr>
            <w:r>
              <w:rPr>
                <w:szCs w:val="21"/>
              </w:rPr>
              <w:t>0</w:t>
            </w:r>
          </w:p>
        </w:tc>
        <w:tc>
          <w:tcPr>
            <w:tcW w:w="793" w:type="pct"/>
            <w:vAlign w:val="center"/>
          </w:tcPr>
          <w:p w14:paraId="28C9EC33">
            <w:pPr>
              <w:snapToGrid w:val="0"/>
              <w:jc w:val="center"/>
              <w:rPr>
                <w:szCs w:val="21"/>
              </w:rPr>
            </w:pPr>
            <w:r>
              <w:rPr>
                <w:szCs w:val="21"/>
              </w:rPr>
              <w:t>国产</w:t>
            </w:r>
          </w:p>
        </w:tc>
      </w:tr>
      <w:tr w14:paraId="1D2A15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F676BBA">
            <w:pPr>
              <w:snapToGrid w:val="0"/>
              <w:jc w:val="center"/>
              <w:rPr>
                <w:szCs w:val="21"/>
              </w:rPr>
            </w:pPr>
            <w:r>
              <w:rPr>
                <w:szCs w:val="21"/>
              </w:rPr>
              <w:t>17</w:t>
            </w:r>
          </w:p>
        </w:tc>
        <w:tc>
          <w:tcPr>
            <w:tcW w:w="354" w:type="pct"/>
            <w:vMerge w:val="continue"/>
            <w:vAlign w:val="center"/>
          </w:tcPr>
          <w:p w14:paraId="4DF8E321">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4F98984">
            <w:pPr>
              <w:snapToGrid w:val="0"/>
              <w:jc w:val="center"/>
              <w:rPr>
                <w:szCs w:val="21"/>
              </w:rPr>
            </w:pPr>
            <w:r>
              <w:rPr>
                <w:szCs w:val="21"/>
              </w:rPr>
              <w:t>注射加硫机</w:t>
            </w:r>
          </w:p>
        </w:tc>
        <w:tc>
          <w:tcPr>
            <w:tcW w:w="1285" w:type="pct"/>
            <w:vAlign w:val="center"/>
          </w:tcPr>
          <w:p w14:paraId="3C38C8F3">
            <w:pPr>
              <w:snapToGrid w:val="0"/>
              <w:jc w:val="center"/>
              <w:rPr>
                <w:szCs w:val="21"/>
              </w:rPr>
            </w:pPr>
            <w:r>
              <w:rPr>
                <w:szCs w:val="21"/>
              </w:rPr>
              <w:t>RH-100/300/400</w:t>
            </w:r>
          </w:p>
        </w:tc>
        <w:tc>
          <w:tcPr>
            <w:tcW w:w="456" w:type="pct"/>
            <w:vAlign w:val="center"/>
          </w:tcPr>
          <w:p w14:paraId="37D46B96">
            <w:pPr>
              <w:snapToGrid w:val="0"/>
              <w:jc w:val="center"/>
              <w:rPr>
                <w:szCs w:val="21"/>
              </w:rPr>
            </w:pPr>
            <w:r>
              <w:rPr>
                <w:rFonts w:hint="eastAsia"/>
                <w:szCs w:val="21"/>
              </w:rPr>
              <w:t>4</w:t>
            </w:r>
          </w:p>
        </w:tc>
        <w:tc>
          <w:tcPr>
            <w:tcW w:w="557" w:type="pct"/>
            <w:vAlign w:val="center"/>
          </w:tcPr>
          <w:p w14:paraId="0E988B3E">
            <w:pPr>
              <w:snapToGrid w:val="0"/>
              <w:jc w:val="center"/>
              <w:rPr>
                <w:szCs w:val="21"/>
              </w:rPr>
            </w:pPr>
            <w:r>
              <w:rPr>
                <w:rFonts w:hint="eastAsia"/>
                <w:szCs w:val="21"/>
              </w:rPr>
              <w:t>4</w:t>
            </w:r>
          </w:p>
        </w:tc>
        <w:tc>
          <w:tcPr>
            <w:tcW w:w="362" w:type="pct"/>
            <w:vAlign w:val="center"/>
          </w:tcPr>
          <w:p w14:paraId="432DD539">
            <w:pPr>
              <w:snapToGrid w:val="0"/>
              <w:jc w:val="center"/>
              <w:rPr>
                <w:szCs w:val="21"/>
              </w:rPr>
            </w:pPr>
            <w:r>
              <w:rPr>
                <w:szCs w:val="21"/>
              </w:rPr>
              <w:t>0</w:t>
            </w:r>
          </w:p>
        </w:tc>
        <w:tc>
          <w:tcPr>
            <w:tcW w:w="793" w:type="pct"/>
            <w:vAlign w:val="center"/>
          </w:tcPr>
          <w:p w14:paraId="6F28FBBB">
            <w:pPr>
              <w:snapToGrid w:val="0"/>
              <w:jc w:val="center"/>
              <w:rPr>
                <w:szCs w:val="21"/>
              </w:rPr>
            </w:pPr>
            <w:r>
              <w:rPr>
                <w:szCs w:val="21"/>
              </w:rPr>
              <w:t>国产</w:t>
            </w:r>
          </w:p>
        </w:tc>
      </w:tr>
      <w:tr w14:paraId="413696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946136D">
            <w:pPr>
              <w:snapToGrid w:val="0"/>
              <w:jc w:val="center"/>
              <w:rPr>
                <w:szCs w:val="21"/>
              </w:rPr>
            </w:pPr>
            <w:r>
              <w:rPr>
                <w:szCs w:val="21"/>
              </w:rPr>
              <w:t>18</w:t>
            </w:r>
          </w:p>
        </w:tc>
        <w:tc>
          <w:tcPr>
            <w:tcW w:w="354" w:type="pct"/>
            <w:vMerge w:val="continue"/>
            <w:vAlign w:val="center"/>
          </w:tcPr>
          <w:p w14:paraId="42E0D7D7">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48EDBD2">
            <w:pPr>
              <w:snapToGrid w:val="0"/>
              <w:jc w:val="center"/>
              <w:rPr>
                <w:szCs w:val="21"/>
              </w:rPr>
            </w:pPr>
            <w:r>
              <w:rPr>
                <w:szCs w:val="21"/>
              </w:rPr>
              <w:t>立式注射机</w:t>
            </w:r>
          </w:p>
        </w:tc>
        <w:tc>
          <w:tcPr>
            <w:tcW w:w="1285" w:type="pct"/>
            <w:vAlign w:val="center"/>
          </w:tcPr>
          <w:p w14:paraId="5F441CCA">
            <w:pPr>
              <w:snapToGrid w:val="0"/>
              <w:jc w:val="center"/>
              <w:rPr>
                <w:szCs w:val="21"/>
              </w:rPr>
            </w:pPr>
            <w:r>
              <w:rPr>
                <w:szCs w:val="21"/>
              </w:rPr>
              <w:t>180</w:t>
            </w:r>
          </w:p>
        </w:tc>
        <w:tc>
          <w:tcPr>
            <w:tcW w:w="456" w:type="pct"/>
            <w:vAlign w:val="center"/>
          </w:tcPr>
          <w:p w14:paraId="21552614">
            <w:pPr>
              <w:snapToGrid w:val="0"/>
              <w:jc w:val="center"/>
              <w:rPr>
                <w:szCs w:val="21"/>
              </w:rPr>
            </w:pPr>
            <w:r>
              <w:rPr>
                <w:rFonts w:hint="eastAsia"/>
                <w:szCs w:val="21"/>
              </w:rPr>
              <w:t>6</w:t>
            </w:r>
          </w:p>
        </w:tc>
        <w:tc>
          <w:tcPr>
            <w:tcW w:w="557" w:type="pct"/>
            <w:vAlign w:val="center"/>
          </w:tcPr>
          <w:p w14:paraId="4DB7DAB2">
            <w:pPr>
              <w:snapToGrid w:val="0"/>
              <w:jc w:val="center"/>
              <w:rPr>
                <w:szCs w:val="21"/>
              </w:rPr>
            </w:pPr>
            <w:r>
              <w:rPr>
                <w:rFonts w:hint="eastAsia"/>
                <w:szCs w:val="21"/>
              </w:rPr>
              <w:t>11</w:t>
            </w:r>
          </w:p>
        </w:tc>
        <w:tc>
          <w:tcPr>
            <w:tcW w:w="362" w:type="pct"/>
            <w:vAlign w:val="center"/>
          </w:tcPr>
          <w:p w14:paraId="05735064">
            <w:pPr>
              <w:snapToGrid w:val="0"/>
              <w:jc w:val="center"/>
              <w:rPr>
                <w:szCs w:val="21"/>
              </w:rPr>
            </w:pPr>
            <w:r>
              <w:rPr>
                <w:szCs w:val="21"/>
              </w:rPr>
              <w:t>+5</w:t>
            </w:r>
          </w:p>
        </w:tc>
        <w:tc>
          <w:tcPr>
            <w:tcW w:w="793" w:type="pct"/>
            <w:vAlign w:val="center"/>
          </w:tcPr>
          <w:p w14:paraId="05D21B2C">
            <w:pPr>
              <w:snapToGrid w:val="0"/>
              <w:jc w:val="center"/>
              <w:rPr>
                <w:szCs w:val="21"/>
              </w:rPr>
            </w:pPr>
            <w:r>
              <w:rPr>
                <w:szCs w:val="21"/>
              </w:rPr>
              <w:t>国产</w:t>
            </w:r>
          </w:p>
        </w:tc>
      </w:tr>
      <w:tr w14:paraId="645DAC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CDB9EF9">
            <w:pPr>
              <w:snapToGrid w:val="0"/>
              <w:jc w:val="center"/>
              <w:rPr>
                <w:szCs w:val="21"/>
              </w:rPr>
            </w:pPr>
            <w:r>
              <w:rPr>
                <w:szCs w:val="21"/>
              </w:rPr>
              <w:t>19</w:t>
            </w:r>
          </w:p>
        </w:tc>
        <w:tc>
          <w:tcPr>
            <w:tcW w:w="354" w:type="pct"/>
            <w:vMerge w:val="continue"/>
            <w:vAlign w:val="center"/>
          </w:tcPr>
          <w:p w14:paraId="57C11730">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D0CD389">
            <w:pPr>
              <w:snapToGrid w:val="0"/>
              <w:jc w:val="center"/>
              <w:rPr>
                <w:szCs w:val="21"/>
              </w:rPr>
            </w:pPr>
            <w:r>
              <w:rPr>
                <w:szCs w:val="21"/>
              </w:rPr>
              <w:t>卧式注射机</w:t>
            </w:r>
          </w:p>
        </w:tc>
        <w:tc>
          <w:tcPr>
            <w:tcW w:w="1285" w:type="pct"/>
            <w:vAlign w:val="center"/>
          </w:tcPr>
          <w:p w14:paraId="71BEE5FC">
            <w:pPr>
              <w:snapToGrid w:val="0"/>
              <w:jc w:val="center"/>
              <w:rPr>
                <w:szCs w:val="21"/>
              </w:rPr>
            </w:pPr>
            <w:r>
              <w:rPr>
                <w:szCs w:val="21"/>
              </w:rPr>
              <w:t>200</w:t>
            </w:r>
            <w:r>
              <w:rPr>
                <w:rFonts w:hint="eastAsia"/>
                <w:szCs w:val="21"/>
              </w:rPr>
              <w:t>/300</w:t>
            </w:r>
          </w:p>
        </w:tc>
        <w:tc>
          <w:tcPr>
            <w:tcW w:w="456" w:type="pct"/>
            <w:vAlign w:val="center"/>
          </w:tcPr>
          <w:p w14:paraId="241393BB">
            <w:pPr>
              <w:snapToGrid w:val="0"/>
              <w:jc w:val="center"/>
              <w:rPr>
                <w:szCs w:val="21"/>
              </w:rPr>
            </w:pPr>
            <w:r>
              <w:rPr>
                <w:rFonts w:hint="eastAsia"/>
                <w:szCs w:val="21"/>
              </w:rPr>
              <w:t>27</w:t>
            </w:r>
          </w:p>
        </w:tc>
        <w:tc>
          <w:tcPr>
            <w:tcW w:w="557" w:type="pct"/>
            <w:vAlign w:val="center"/>
          </w:tcPr>
          <w:p w14:paraId="7AB78741">
            <w:pPr>
              <w:snapToGrid w:val="0"/>
              <w:jc w:val="center"/>
              <w:rPr>
                <w:szCs w:val="21"/>
              </w:rPr>
            </w:pPr>
            <w:r>
              <w:rPr>
                <w:rFonts w:hint="eastAsia"/>
                <w:szCs w:val="21"/>
              </w:rPr>
              <w:t>41</w:t>
            </w:r>
          </w:p>
        </w:tc>
        <w:tc>
          <w:tcPr>
            <w:tcW w:w="362" w:type="pct"/>
            <w:vAlign w:val="center"/>
          </w:tcPr>
          <w:p w14:paraId="4F4DE768">
            <w:pPr>
              <w:snapToGrid w:val="0"/>
              <w:jc w:val="center"/>
              <w:rPr>
                <w:szCs w:val="21"/>
              </w:rPr>
            </w:pPr>
            <w:r>
              <w:rPr>
                <w:szCs w:val="21"/>
              </w:rPr>
              <w:t>+</w:t>
            </w:r>
            <w:r>
              <w:rPr>
                <w:rFonts w:hint="eastAsia"/>
                <w:szCs w:val="21"/>
              </w:rPr>
              <w:t>14</w:t>
            </w:r>
          </w:p>
        </w:tc>
        <w:tc>
          <w:tcPr>
            <w:tcW w:w="793" w:type="pct"/>
            <w:vAlign w:val="center"/>
          </w:tcPr>
          <w:p w14:paraId="298FC225">
            <w:pPr>
              <w:snapToGrid w:val="0"/>
              <w:jc w:val="center"/>
              <w:rPr>
                <w:szCs w:val="21"/>
              </w:rPr>
            </w:pPr>
            <w:r>
              <w:rPr>
                <w:szCs w:val="21"/>
              </w:rPr>
              <w:t>国产</w:t>
            </w:r>
          </w:p>
        </w:tc>
      </w:tr>
      <w:tr w14:paraId="563CBC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CC63631">
            <w:pPr>
              <w:snapToGrid w:val="0"/>
              <w:jc w:val="center"/>
              <w:rPr>
                <w:szCs w:val="21"/>
              </w:rPr>
            </w:pPr>
            <w:r>
              <w:rPr>
                <w:szCs w:val="21"/>
              </w:rPr>
              <w:t>20</w:t>
            </w:r>
          </w:p>
        </w:tc>
        <w:tc>
          <w:tcPr>
            <w:tcW w:w="354" w:type="pct"/>
            <w:vMerge w:val="continue"/>
            <w:vAlign w:val="center"/>
          </w:tcPr>
          <w:p w14:paraId="5AFC4302">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4276C5A">
            <w:pPr>
              <w:snapToGrid w:val="0"/>
              <w:jc w:val="center"/>
              <w:rPr>
                <w:szCs w:val="21"/>
              </w:rPr>
            </w:pPr>
            <w:r>
              <w:rPr>
                <w:szCs w:val="21"/>
              </w:rPr>
              <w:t>皮膜冲裁机</w:t>
            </w:r>
          </w:p>
        </w:tc>
        <w:tc>
          <w:tcPr>
            <w:tcW w:w="1285" w:type="pct"/>
            <w:vAlign w:val="center"/>
          </w:tcPr>
          <w:p w14:paraId="4C14FE32">
            <w:pPr>
              <w:snapToGrid w:val="0"/>
              <w:jc w:val="center"/>
              <w:rPr>
                <w:szCs w:val="21"/>
              </w:rPr>
            </w:pPr>
            <w:r>
              <w:rPr>
                <w:szCs w:val="21"/>
              </w:rPr>
              <w:t>/</w:t>
            </w:r>
          </w:p>
        </w:tc>
        <w:tc>
          <w:tcPr>
            <w:tcW w:w="456" w:type="pct"/>
            <w:vAlign w:val="center"/>
          </w:tcPr>
          <w:p w14:paraId="2A6F9E65">
            <w:pPr>
              <w:snapToGrid w:val="0"/>
              <w:jc w:val="center"/>
              <w:rPr>
                <w:szCs w:val="21"/>
              </w:rPr>
            </w:pPr>
            <w:r>
              <w:rPr>
                <w:szCs w:val="21"/>
              </w:rPr>
              <w:t>2</w:t>
            </w:r>
          </w:p>
        </w:tc>
        <w:tc>
          <w:tcPr>
            <w:tcW w:w="557" w:type="pct"/>
            <w:vAlign w:val="center"/>
          </w:tcPr>
          <w:p w14:paraId="1A53A07A">
            <w:pPr>
              <w:snapToGrid w:val="0"/>
              <w:jc w:val="center"/>
              <w:rPr>
                <w:szCs w:val="21"/>
              </w:rPr>
            </w:pPr>
            <w:r>
              <w:rPr>
                <w:szCs w:val="21"/>
              </w:rPr>
              <w:t>2</w:t>
            </w:r>
          </w:p>
        </w:tc>
        <w:tc>
          <w:tcPr>
            <w:tcW w:w="362" w:type="pct"/>
            <w:vAlign w:val="center"/>
          </w:tcPr>
          <w:p w14:paraId="10CDEBE0">
            <w:pPr>
              <w:snapToGrid w:val="0"/>
              <w:jc w:val="center"/>
              <w:rPr>
                <w:szCs w:val="21"/>
              </w:rPr>
            </w:pPr>
            <w:r>
              <w:rPr>
                <w:szCs w:val="21"/>
              </w:rPr>
              <w:t>0</w:t>
            </w:r>
          </w:p>
        </w:tc>
        <w:tc>
          <w:tcPr>
            <w:tcW w:w="793" w:type="pct"/>
            <w:vAlign w:val="center"/>
          </w:tcPr>
          <w:p w14:paraId="16DAD9DC">
            <w:pPr>
              <w:snapToGrid w:val="0"/>
              <w:jc w:val="center"/>
              <w:rPr>
                <w:szCs w:val="21"/>
              </w:rPr>
            </w:pPr>
            <w:r>
              <w:rPr>
                <w:szCs w:val="21"/>
              </w:rPr>
              <w:t>国产</w:t>
            </w:r>
          </w:p>
        </w:tc>
      </w:tr>
      <w:tr w14:paraId="54B2DB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50D8F52">
            <w:pPr>
              <w:snapToGrid w:val="0"/>
              <w:jc w:val="center"/>
              <w:rPr>
                <w:szCs w:val="21"/>
              </w:rPr>
            </w:pPr>
            <w:r>
              <w:rPr>
                <w:szCs w:val="21"/>
              </w:rPr>
              <w:t>21</w:t>
            </w:r>
          </w:p>
        </w:tc>
        <w:tc>
          <w:tcPr>
            <w:tcW w:w="354" w:type="pct"/>
            <w:vMerge w:val="continue"/>
            <w:vAlign w:val="center"/>
          </w:tcPr>
          <w:p w14:paraId="1F4CB0D7">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968D99A">
            <w:pPr>
              <w:snapToGrid w:val="0"/>
              <w:jc w:val="center"/>
              <w:rPr>
                <w:szCs w:val="21"/>
              </w:rPr>
            </w:pPr>
            <w:r>
              <w:rPr>
                <w:szCs w:val="21"/>
              </w:rPr>
              <w:t>矩形圈切割机(数控）</w:t>
            </w:r>
          </w:p>
        </w:tc>
        <w:tc>
          <w:tcPr>
            <w:tcW w:w="1285" w:type="pct"/>
            <w:vAlign w:val="center"/>
          </w:tcPr>
          <w:p w14:paraId="489A0814">
            <w:pPr>
              <w:snapToGrid w:val="0"/>
              <w:jc w:val="center"/>
              <w:rPr>
                <w:szCs w:val="21"/>
              </w:rPr>
            </w:pPr>
            <w:r>
              <w:rPr>
                <w:szCs w:val="21"/>
              </w:rPr>
              <w:t>/</w:t>
            </w:r>
          </w:p>
        </w:tc>
        <w:tc>
          <w:tcPr>
            <w:tcW w:w="456" w:type="pct"/>
            <w:vAlign w:val="center"/>
          </w:tcPr>
          <w:p w14:paraId="4C04017A">
            <w:pPr>
              <w:snapToGrid w:val="0"/>
              <w:jc w:val="center"/>
              <w:rPr>
                <w:szCs w:val="21"/>
              </w:rPr>
            </w:pPr>
            <w:r>
              <w:rPr>
                <w:szCs w:val="21"/>
              </w:rPr>
              <w:t>1</w:t>
            </w:r>
          </w:p>
        </w:tc>
        <w:tc>
          <w:tcPr>
            <w:tcW w:w="557" w:type="pct"/>
            <w:vAlign w:val="center"/>
          </w:tcPr>
          <w:p w14:paraId="31110ADD">
            <w:pPr>
              <w:snapToGrid w:val="0"/>
              <w:jc w:val="center"/>
              <w:rPr>
                <w:szCs w:val="21"/>
              </w:rPr>
            </w:pPr>
            <w:r>
              <w:rPr>
                <w:szCs w:val="21"/>
              </w:rPr>
              <w:t>1</w:t>
            </w:r>
          </w:p>
        </w:tc>
        <w:tc>
          <w:tcPr>
            <w:tcW w:w="362" w:type="pct"/>
            <w:vAlign w:val="center"/>
          </w:tcPr>
          <w:p w14:paraId="2708A072">
            <w:pPr>
              <w:snapToGrid w:val="0"/>
              <w:jc w:val="center"/>
              <w:rPr>
                <w:szCs w:val="21"/>
              </w:rPr>
            </w:pPr>
            <w:r>
              <w:rPr>
                <w:szCs w:val="21"/>
              </w:rPr>
              <w:t>0</w:t>
            </w:r>
          </w:p>
        </w:tc>
        <w:tc>
          <w:tcPr>
            <w:tcW w:w="793" w:type="pct"/>
            <w:vAlign w:val="center"/>
          </w:tcPr>
          <w:p w14:paraId="3F07F391">
            <w:pPr>
              <w:snapToGrid w:val="0"/>
              <w:jc w:val="center"/>
              <w:rPr>
                <w:szCs w:val="21"/>
              </w:rPr>
            </w:pPr>
            <w:r>
              <w:rPr>
                <w:szCs w:val="21"/>
              </w:rPr>
              <w:t>国产</w:t>
            </w:r>
          </w:p>
        </w:tc>
      </w:tr>
      <w:tr w14:paraId="4AE1DC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7273D05">
            <w:pPr>
              <w:snapToGrid w:val="0"/>
              <w:jc w:val="center"/>
              <w:rPr>
                <w:szCs w:val="21"/>
              </w:rPr>
            </w:pPr>
            <w:r>
              <w:rPr>
                <w:szCs w:val="21"/>
              </w:rPr>
              <w:t>22</w:t>
            </w:r>
          </w:p>
        </w:tc>
        <w:tc>
          <w:tcPr>
            <w:tcW w:w="354" w:type="pct"/>
            <w:vMerge w:val="continue"/>
            <w:vAlign w:val="center"/>
          </w:tcPr>
          <w:p w14:paraId="45865DC0">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20ECCB9">
            <w:pPr>
              <w:snapToGrid w:val="0"/>
              <w:jc w:val="center"/>
              <w:rPr>
                <w:szCs w:val="21"/>
              </w:rPr>
            </w:pPr>
            <w:r>
              <w:rPr>
                <w:szCs w:val="21"/>
              </w:rPr>
              <w:t>冷冻去边机</w:t>
            </w:r>
          </w:p>
        </w:tc>
        <w:tc>
          <w:tcPr>
            <w:tcW w:w="1285" w:type="pct"/>
            <w:vAlign w:val="center"/>
          </w:tcPr>
          <w:p w14:paraId="26DC0CF8">
            <w:pPr>
              <w:snapToGrid w:val="0"/>
              <w:jc w:val="center"/>
              <w:rPr>
                <w:szCs w:val="21"/>
              </w:rPr>
            </w:pPr>
            <w:r>
              <w:rPr>
                <w:szCs w:val="21"/>
              </w:rPr>
              <w:t>SCS-CB-40P/500Z/150L</w:t>
            </w:r>
          </w:p>
        </w:tc>
        <w:tc>
          <w:tcPr>
            <w:tcW w:w="456" w:type="pct"/>
            <w:vAlign w:val="center"/>
          </w:tcPr>
          <w:p w14:paraId="1ABDB5AB">
            <w:pPr>
              <w:snapToGrid w:val="0"/>
              <w:jc w:val="center"/>
              <w:rPr>
                <w:szCs w:val="21"/>
              </w:rPr>
            </w:pPr>
            <w:r>
              <w:rPr>
                <w:szCs w:val="21"/>
              </w:rPr>
              <w:t>6</w:t>
            </w:r>
          </w:p>
        </w:tc>
        <w:tc>
          <w:tcPr>
            <w:tcW w:w="557" w:type="pct"/>
            <w:vAlign w:val="center"/>
          </w:tcPr>
          <w:p w14:paraId="5D655105">
            <w:pPr>
              <w:snapToGrid w:val="0"/>
              <w:jc w:val="center"/>
              <w:rPr>
                <w:szCs w:val="21"/>
              </w:rPr>
            </w:pPr>
            <w:r>
              <w:rPr>
                <w:szCs w:val="21"/>
              </w:rPr>
              <w:t>9</w:t>
            </w:r>
          </w:p>
        </w:tc>
        <w:tc>
          <w:tcPr>
            <w:tcW w:w="362" w:type="pct"/>
            <w:vAlign w:val="center"/>
          </w:tcPr>
          <w:p w14:paraId="102874C4">
            <w:pPr>
              <w:snapToGrid w:val="0"/>
              <w:jc w:val="center"/>
              <w:rPr>
                <w:szCs w:val="21"/>
              </w:rPr>
            </w:pPr>
            <w:r>
              <w:rPr>
                <w:szCs w:val="21"/>
              </w:rPr>
              <w:t>+3</w:t>
            </w:r>
          </w:p>
        </w:tc>
        <w:tc>
          <w:tcPr>
            <w:tcW w:w="793" w:type="pct"/>
            <w:vAlign w:val="center"/>
          </w:tcPr>
          <w:p w14:paraId="1A45BB95">
            <w:pPr>
              <w:snapToGrid w:val="0"/>
              <w:jc w:val="center"/>
              <w:rPr>
                <w:szCs w:val="21"/>
              </w:rPr>
            </w:pPr>
            <w:r>
              <w:rPr>
                <w:szCs w:val="21"/>
              </w:rPr>
              <w:t>国产</w:t>
            </w:r>
          </w:p>
        </w:tc>
      </w:tr>
      <w:tr w14:paraId="65E890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4BAC443">
            <w:pPr>
              <w:snapToGrid w:val="0"/>
              <w:jc w:val="center"/>
              <w:rPr>
                <w:szCs w:val="21"/>
              </w:rPr>
            </w:pPr>
            <w:r>
              <w:rPr>
                <w:szCs w:val="21"/>
              </w:rPr>
              <w:t>23</w:t>
            </w:r>
          </w:p>
        </w:tc>
        <w:tc>
          <w:tcPr>
            <w:tcW w:w="354" w:type="pct"/>
            <w:vMerge w:val="continue"/>
            <w:vAlign w:val="center"/>
          </w:tcPr>
          <w:p w14:paraId="2AFA03B1">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ADF680E">
            <w:pPr>
              <w:snapToGrid w:val="0"/>
              <w:jc w:val="center"/>
              <w:rPr>
                <w:szCs w:val="21"/>
              </w:rPr>
            </w:pPr>
            <w:r>
              <w:rPr>
                <w:szCs w:val="21"/>
              </w:rPr>
              <w:t>二次加硫机</w:t>
            </w:r>
          </w:p>
        </w:tc>
        <w:tc>
          <w:tcPr>
            <w:tcW w:w="1285" w:type="pct"/>
            <w:vAlign w:val="center"/>
          </w:tcPr>
          <w:p w14:paraId="72F95A65">
            <w:pPr>
              <w:snapToGrid w:val="0"/>
              <w:jc w:val="center"/>
              <w:rPr>
                <w:szCs w:val="21"/>
              </w:rPr>
            </w:pPr>
            <w:r>
              <w:rPr>
                <w:szCs w:val="21"/>
              </w:rPr>
              <w:t>/</w:t>
            </w:r>
          </w:p>
        </w:tc>
        <w:tc>
          <w:tcPr>
            <w:tcW w:w="456" w:type="pct"/>
            <w:vAlign w:val="center"/>
          </w:tcPr>
          <w:p w14:paraId="7D6E0B9E">
            <w:pPr>
              <w:snapToGrid w:val="0"/>
              <w:jc w:val="center"/>
              <w:rPr>
                <w:szCs w:val="21"/>
              </w:rPr>
            </w:pPr>
            <w:r>
              <w:rPr>
                <w:szCs w:val="21"/>
              </w:rPr>
              <w:t>14</w:t>
            </w:r>
          </w:p>
        </w:tc>
        <w:tc>
          <w:tcPr>
            <w:tcW w:w="557" w:type="pct"/>
            <w:vAlign w:val="center"/>
          </w:tcPr>
          <w:p w14:paraId="776552AA">
            <w:pPr>
              <w:snapToGrid w:val="0"/>
              <w:jc w:val="center"/>
              <w:rPr>
                <w:szCs w:val="21"/>
              </w:rPr>
            </w:pPr>
            <w:r>
              <w:rPr>
                <w:szCs w:val="21"/>
              </w:rPr>
              <w:t>14</w:t>
            </w:r>
          </w:p>
        </w:tc>
        <w:tc>
          <w:tcPr>
            <w:tcW w:w="362" w:type="pct"/>
            <w:vAlign w:val="center"/>
          </w:tcPr>
          <w:p w14:paraId="68DD75D6">
            <w:pPr>
              <w:snapToGrid w:val="0"/>
              <w:jc w:val="center"/>
              <w:rPr>
                <w:szCs w:val="21"/>
              </w:rPr>
            </w:pPr>
            <w:r>
              <w:rPr>
                <w:szCs w:val="21"/>
              </w:rPr>
              <w:t>0</w:t>
            </w:r>
          </w:p>
        </w:tc>
        <w:tc>
          <w:tcPr>
            <w:tcW w:w="793" w:type="pct"/>
            <w:vAlign w:val="center"/>
          </w:tcPr>
          <w:p w14:paraId="346C7093">
            <w:pPr>
              <w:snapToGrid w:val="0"/>
              <w:jc w:val="center"/>
              <w:rPr>
                <w:szCs w:val="21"/>
              </w:rPr>
            </w:pPr>
            <w:r>
              <w:rPr>
                <w:szCs w:val="21"/>
              </w:rPr>
              <w:t>国产</w:t>
            </w:r>
          </w:p>
        </w:tc>
      </w:tr>
      <w:tr w14:paraId="653206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1336589">
            <w:pPr>
              <w:snapToGrid w:val="0"/>
              <w:jc w:val="center"/>
              <w:rPr>
                <w:szCs w:val="21"/>
              </w:rPr>
            </w:pPr>
            <w:r>
              <w:rPr>
                <w:szCs w:val="21"/>
              </w:rPr>
              <w:t>24</w:t>
            </w:r>
          </w:p>
        </w:tc>
        <w:tc>
          <w:tcPr>
            <w:tcW w:w="354" w:type="pct"/>
            <w:vMerge w:val="continue"/>
            <w:vAlign w:val="center"/>
          </w:tcPr>
          <w:p w14:paraId="72B030D8">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86EF8E8">
            <w:pPr>
              <w:snapToGrid w:val="0"/>
              <w:jc w:val="center"/>
              <w:rPr>
                <w:szCs w:val="21"/>
              </w:rPr>
            </w:pPr>
            <w:r>
              <w:rPr>
                <w:szCs w:val="21"/>
              </w:rPr>
              <w:t>烘箱</w:t>
            </w:r>
          </w:p>
        </w:tc>
        <w:tc>
          <w:tcPr>
            <w:tcW w:w="1285" w:type="pct"/>
            <w:vAlign w:val="center"/>
          </w:tcPr>
          <w:p w14:paraId="3CE1A2B3">
            <w:pPr>
              <w:snapToGrid w:val="0"/>
              <w:jc w:val="center"/>
              <w:rPr>
                <w:szCs w:val="21"/>
              </w:rPr>
            </w:pPr>
            <w:r>
              <w:rPr>
                <w:szCs w:val="21"/>
              </w:rPr>
              <w:t>/</w:t>
            </w:r>
          </w:p>
        </w:tc>
        <w:tc>
          <w:tcPr>
            <w:tcW w:w="456" w:type="pct"/>
            <w:vAlign w:val="center"/>
          </w:tcPr>
          <w:p w14:paraId="2C14C6F1">
            <w:pPr>
              <w:snapToGrid w:val="0"/>
              <w:jc w:val="center"/>
              <w:rPr>
                <w:szCs w:val="21"/>
              </w:rPr>
            </w:pPr>
            <w:r>
              <w:rPr>
                <w:szCs w:val="21"/>
              </w:rPr>
              <w:t>1</w:t>
            </w:r>
          </w:p>
        </w:tc>
        <w:tc>
          <w:tcPr>
            <w:tcW w:w="557" w:type="pct"/>
            <w:vAlign w:val="center"/>
          </w:tcPr>
          <w:p w14:paraId="5645722C">
            <w:pPr>
              <w:snapToGrid w:val="0"/>
              <w:jc w:val="center"/>
              <w:rPr>
                <w:szCs w:val="21"/>
              </w:rPr>
            </w:pPr>
            <w:r>
              <w:rPr>
                <w:szCs w:val="21"/>
              </w:rPr>
              <w:t>9</w:t>
            </w:r>
          </w:p>
        </w:tc>
        <w:tc>
          <w:tcPr>
            <w:tcW w:w="362" w:type="pct"/>
            <w:vAlign w:val="center"/>
          </w:tcPr>
          <w:p w14:paraId="549D3347">
            <w:pPr>
              <w:snapToGrid w:val="0"/>
              <w:jc w:val="center"/>
              <w:rPr>
                <w:szCs w:val="21"/>
              </w:rPr>
            </w:pPr>
            <w:r>
              <w:rPr>
                <w:szCs w:val="21"/>
              </w:rPr>
              <w:t>+8</w:t>
            </w:r>
          </w:p>
        </w:tc>
        <w:tc>
          <w:tcPr>
            <w:tcW w:w="793" w:type="pct"/>
            <w:vAlign w:val="center"/>
          </w:tcPr>
          <w:p w14:paraId="216F6790">
            <w:pPr>
              <w:snapToGrid w:val="0"/>
              <w:jc w:val="center"/>
              <w:rPr>
                <w:szCs w:val="21"/>
              </w:rPr>
            </w:pPr>
            <w:r>
              <w:rPr>
                <w:szCs w:val="21"/>
              </w:rPr>
              <w:t>国产</w:t>
            </w:r>
          </w:p>
        </w:tc>
      </w:tr>
      <w:tr w14:paraId="3B7068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22F6EE9">
            <w:pPr>
              <w:snapToGrid w:val="0"/>
              <w:jc w:val="center"/>
              <w:rPr>
                <w:szCs w:val="21"/>
              </w:rPr>
            </w:pPr>
            <w:r>
              <w:rPr>
                <w:szCs w:val="21"/>
              </w:rPr>
              <w:t>25</w:t>
            </w:r>
          </w:p>
        </w:tc>
        <w:tc>
          <w:tcPr>
            <w:tcW w:w="354" w:type="pct"/>
            <w:vMerge w:val="continue"/>
            <w:vAlign w:val="center"/>
          </w:tcPr>
          <w:p w14:paraId="26DBFC82">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D9DDC2C">
            <w:pPr>
              <w:snapToGrid w:val="0"/>
              <w:jc w:val="center"/>
              <w:rPr>
                <w:szCs w:val="21"/>
              </w:rPr>
            </w:pPr>
            <w:r>
              <w:rPr>
                <w:szCs w:val="21"/>
              </w:rPr>
              <w:t>旋转烘箱</w:t>
            </w:r>
          </w:p>
        </w:tc>
        <w:tc>
          <w:tcPr>
            <w:tcW w:w="1285" w:type="pct"/>
            <w:vAlign w:val="center"/>
          </w:tcPr>
          <w:p w14:paraId="1C2C0FF5">
            <w:pPr>
              <w:snapToGrid w:val="0"/>
              <w:jc w:val="center"/>
              <w:rPr>
                <w:szCs w:val="21"/>
              </w:rPr>
            </w:pPr>
            <w:r>
              <w:rPr>
                <w:szCs w:val="21"/>
              </w:rPr>
              <w:t>/</w:t>
            </w:r>
          </w:p>
        </w:tc>
        <w:tc>
          <w:tcPr>
            <w:tcW w:w="456" w:type="pct"/>
            <w:vAlign w:val="center"/>
          </w:tcPr>
          <w:p w14:paraId="37A55F58">
            <w:pPr>
              <w:snapToGrid w:val="0"/>
              <w:jc w:val="center"/>
              <w:rPr>
                <w:szCs w:val="21"/>
              </w:rPr>
            </w:pPr>
            <w:r>
              <w:rPr>
                <w:szCs w:val="21"/>
              </w:rPr>
              <w:t>2</w:t>
            </w:r>
          </w:p>
        </w:tc>
        <w:tc>
          <w:tcPr>
            <w:tcW w:w="557" w:type="pct"/>
            <w:vAlign w:val="center"/>
          </w:tcPr>
          <w:p w14:paraId="58D52536">
            <w:pPr>
              <w:snapToGrid w:val="0"/>
              <w:jc w:val="center"/>
              <w:rPr>
                <w:szCs w:val="21"/>
              </w:rPr>
            </w:pPr>
            <w:r>
              <w:rPr>
                <w:szCs w:val="21"/>
              </w:rPr>
              <w:t>2</w:t>
            </w:r>
          </w:p>
        </w:tc>
        <w:tc>
          <w:tcPr>
            <w:tcW w:w="362" w:type="pct"/>
            <w:vAlign w:val="center"/>
          </w:tcPr>
          <w:p w14:paraId="6C66CF5A">
            <w:pPr>
              <w:snapToGrid w:val="0"/>
              <w:jc w:val="center"/>
              <w:rPr>
                <w:szCs w:val="21"/>
              </w:rPr>
            </w:pPr>
            <w:r>
              <w:rPr>
                <w:szCs w:val="21"/>
              </w:rPr>
              <w:t>0</w:t>
            </w:r>
          </w:p>
        </w:tc>
        <w:tc>
          <w:tcPr>
            <w:tcW w:w="793" w:type="pct"/>
            <w:vAlign w:val="center"/>
          </w:tcPr>
          <w:p w14:paraId="3850A15A">
            <w:pPr>
              <w:snapToGrid w:val="0"/>
              <w:jc w:val="center"/>
              <w:rPr>
                <w:szCs w:val="21"/>
              </w:rPr>
            </w:pPr>
            <w:r>
              <w:rPr>
                <w:szCs w:val="21"/>
              </w:rPr>
              <w:t>国产</w:t>
            </w:r>
          </w:p>
        </w:tc>
      </w:tr>
      <w:tr w14:paraId="307D44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43549D6">
            <w:pPr>
              <w:snapToGrid w:val="0"/>
              <w:jc w:val="center"/>
              <w:rPr>
                <w:szCs w:val="21"/>
              </w:rPr>
            </w:pPr>
            <w:r>
              <w:rPr>
                <w:szCs w:val="21"/>
              </w:rPr>
              <w:t>26</w:t>
            </w:r>
          </w:p>
        </w:tc>
        <w:tc>
          <w:tcPr>
            <w:tcW w:w="354" w:type="pct"/>
            <w:vMerge w:val="continue"/>
            <w:vAlign w:val="center"/>
          </w:tcPr>
          <w:p w14:paraId="5F4E5E2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892893F">
            <w:pPr>
              <w:snapToGrid w:val="0"/>
              <w:jc w:val="center"/>
              <w:rPr>
                <w:szCs w:val="21"/>
              </w:rPr>
            </w:pPr>
            <w:r>
              <w:rPr>
                <w:szCs w:val="21"/>
              </w:rPr>
              <w:t>光学智能分选检测机</w:t>
            </w:r>
          </w:p>
        </w:tc>
        <w:tc>
          <w:tcPr>
            <w:tcW w:w="1285" w:type="pct"/>
            <w:vAlign w:val="center"/>
          </w:tcPr>
          <w:p w14:paraId="2E634829">
            <w:pPr>
              <w:snapToGrid w:val="0"/>
              <w:jc w:val="center"/>
              <w:rPr>
                <w:szCs w:val="21"/>
              </w:rPr>
            </w:pPr>
            <w:r>
              <w:rPr>
                <w:szCs w:val="21"/>
              </w:rPr>
              <w:t>360</w:t>
            </w:r>
          </w:p>
        </w:tc>
        <w:tc>
          <w:tcPr>
            <w:tcW w:w="456" w:type="pct"/>
            <w:vAlign w:val="center"/>
          </w:tcPr>
          <w:p w14:paraId="55256534">
            <w:pPr>
              <w:snapToGrid w:val="0"/>
              <w:jc w:val="center"/>
              <w:rPr>
                <w:szCs w:val="21"/>
              </w:rPr>
            </w:pPr>
            <w:r>
              <w:rPr>
                <w:szCs w:val="21"/>
              </w:rPr>
              <w:t>10</w:t>
            </w:r>
          </w:p>
        </w:tc>
        <w:tc>
          <w:tcPr>
            <w:tcW w:w="557" w:type="pct"/>
            <w:vAlign w:val="center"/>
          </w:tcPr>
          <w:p w14:paraId="2C4D9260">
            <w:pPr>
              <w:snapToGrid w:val="0"/>
              <w:jc w:val="center"/>
              <w:rPr>
                <w:szCs w:val="21"/>
              </w:rPr>
            </w:pPr>
            <w:r>
              <w:rPr>
                <w:szCs w:val="21"/>
              </w:rPr>
              <w:t>20</w:t>
            </w:r>
          </w:p>
        </w:tc>
        <w:tc>
          <w:tcPr>
            <w:tcW w:w="362" w:type="pct"/>
            <w:vAlign w:val="center"/>
          </w:tcPr>
          <w:p w14:paraId="6375B301">
            <w:pPr>
              <w:snapToGrid w:val="0"/>
              <w:jc w:val="center"/>
              <w:rPr>
                <w:szCs w:val="21"/>
              </w:rPr>
            </w:pPr>
            <w:r>
              <w:rPr>
                <w:szCs w:val="21"/>
              </w:rPr>
              <w:t>+10</w:t>
            </w:r>
          </w:p>
        </w:tc>
        <w:tc>
          <w:tcPr>
            <w:tcW w:w="793" w:type="pct"/>
            <w:vAlign w:val="center"/>
          </w:tcPr>
          <w:p w14:paraId="5A4A6005">
            <w:pPr>
              <w:snapToGrid w:val="0"/>
              <w:jc w:val="center"/>
              <w:rPr>
                <w:szCs w:val="21"/>
              </w:rPr>
            </w:pPr>
            <w:r>
              <w:rPr>
                <w:szCs w:val="21"/>
              </w:rPr>
              <w:t>国产</w:t>
            </w:r>
          </w:p>
        </w:tc>
      </w:tr>
      <w:tr w14:paraId="04A393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916C279">
            <w:pPr>
              <w:snapToGrid w:val="0"/>
              <w:jc w:val="center"/>
              <w:rPr>
                <w:szCs w:val="21"/>
              </w:rPr>
            </w:pPr>
            <w:r>
              <w:rPr>
                <w:szCs w:val="21"/>
              </w:rPr>
              <w:t>27</w:t>
            </w:r>
          </w:p>
        </w:tc>
        <w:tc>
          <w:tcPr>
            <w:tcW w:w="354" w:type="pct"/>
            <w:vMerge w:val="continue"/>
            <w:vAlign w:val="center"/>
          </w:tcPr>
          <w:p w14:paraId="5F6BC398">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F7D0BCC">
            <w:pPr>
              <w:snapToGrid w:val="0"/>
              <w:jc w:val="center"/>
              <w:rPr>
                <w:szCs w:val="21"/>
              </w:rPr>
            </w:pPr>
            <w:r>
              <w:rPr>
                <w:szCs w:val="21"/>
              </w:rPr>
              <w:t>打包机</w:t>
            </w:r>
          </w:p>
        </w:tc>
        <w:tc>
          <w:tcPr>
            <w:tcW w:w="1285" w:type="pct"/>
            <w:vAlign w:val="center"/>
          </w:tcPr>
          <w:p w14:paraId="617ED228">
            <w:pPr>
              <w:snapToGrid w:val="0"/>
              <w:jc w:val="center"/>
              <w:rPr>
                <w:szCs w:val="21"/>
              </w:rPr>
            </w:pPr>
            <w:r>
              <w:rPr>
                <w:szCs w:val="21"/>
              </w:rPr>
              <w:t>/</w:t>
            </w:r>
          </w:p>
        </w:tc>
        <w:tc>
          <w:tcPr>
            <w:tcW w:w="456" w:type="pct"/>
            <w:vAlign w:val="center"/>
          </w:tcPr>
          <w:p w14:paraId="7F1969AC">
            <w:pPr>
              <w:snapToGrid w:val="0"/>
              <w:jc w:val="center"/>
              <w:rPr>
                <w:szCs w:val="21"/>
              </w:rPr>
            </w:pPr>
            <w:r>
              <w:rPr>
                <w:szCs w:val="21"/>
              </w:rPr>
              <w:t>3</w:t>
            </w:r>
          </w:p>
        </w:tc>
        <w:tc>
          <w:tcPr>
            <w:tcW w:w="557" w:type="pct"/>
            <w:vAlign w:val="center"/>
          </w:tcPr>
          <w:p w14:paraId="761F3477">
            <w:pPr>
              <w:snapToGrid w:val="0"/>
              <w:jc w:val="center"/>
              <w:rPr>
                <w:szCs w:val="21"/>
              </w:rPr>
            </w:pPr>
            <w:r>
              <w:rPr>
                <w:szCs w:val="21"/>
              </w:rPr>
              <w:t>3</w:t>
            </w:r>
          </w:p>
        </w:tc>
        <w:tc>
          <w:tcPr>
            <w:tcW w:w="362" w:type="pct"/>
            <w:vAlign w:val="center"/>
          </w:tcPr>
          <w:p w14:paraId="53CF52F1">
            <w:pPr>
              <w:snapToGrid w:val="0"/>
              <w:jc w:val="center"/>
              <w:rPr>
                <w:szCs w:val="21"/>
              </w:rPr>
            </w:pPr>
            <w:r>
              <w:rPr>
                <w:szCs w:val="21"/>
              </w:rPr>
              <w:t>0</w:t>
            </w:r>
          </w:p>
        </w:tc>
        <w:tc>
          <w:tcPr>
            <w:tcW w:w="793" w:type="pct"/>
            <w:vAlign w:val="center"/>
          </w:tcPr>
          <w:p w14:paraId="5F790264">
            <w:pPr>
              <w:snapToGrid w:val="0"/>
              <w:jc w:val="center"/>
              <w:rPr>
                <w:szCs w:val="21"/>
              </w:rPr>
            </w:pPr>
            <w:r>
              <w:rPr>
                <w:szCs w:val="21"/>
              </w:rPr>
              <w:t>国产</w:t>
            </w:r>
          </w:p>
        </w:tc>
      </w:tr>
      <w:tr w14:paraId="6A1042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4CEA67B">
            <w:pPr>
              <w:snapToGrid w:val="0"/>
              <w:jc w:val="center"/>
              <w:rPr>
                <w:szCs w:val="21"/>
              </w:rPr>
            </w:pPr>
            <w:r>
              <w:rPr>
                <w:szCs w:val="21"/>
              </w:rPr>
              <w:t>28</w:t>
            </w:r>
          </w:p>
        </w:tc>
        <w:tc>
          <w:tcPr>
            <w:tcW w:w="354" w:type="pct"/>
            <w:vMerge w:val="restart"/>
            <w:vAlign w:val="center"/>
          </w:tcPr>
          <w:p w14:paraId="065FCDF1">
            <w:pPr>
              <w:pStyle w:val="86"/>
              <w:spacing w:beforeLines="0" w:line="240" w:lineRule="auto"/>
              <w:ind w:firstLine="0" w:firstLineChars="0"/>
              <w:jc w:val="center"/>
              <w:rPr>
                <w:rFonts w:ascii="Times New Roman" w:hAnsi="Times New Roman"/>
                <w:sz w:val="21"/>
                <w:szCs w:val="21"/>
              </w:rPr>
            </w:pPr>
            <w:r>
              <w:rPr>
                <w:rFonts w:ascii="Times New Roman" w:hAnsi="Times New Roman"/>
                <w:sz w:val="21"/>
                <w:szCs w:val="21"/>
              </w:rPr>
              <w:t>2#车间</w:t>
            </w:r>
          </w:p>
        </w:tc>
        <w:tc>
          <w:tcPr>
            <w:tcW w:w="964" w:type="pct"/>
            <w:vAlign w:val="center"/>
          </w:tcPr>
          <w:p w14:paraId="40D9CE65">
            <w:pPr>
              <w:snapToGrid w:val="0"/>
              <w:jc w:val="center"/>
              <w:rPr>
                <w:szCs w:val="21"/>
              </w:rPr>
            </w:pPr>
            <w:r>
              <w:rPr>
                <w:szCs w:val="21"/>
              </w:rPr>
              <w:t>喷砂机</w:t>
            </w:r>
          </w:p>
        </w:tc>
        <w:tc>
          <w:tcPr>
            <w:tcW w:w="1285" w:type="pct"/>
            <w:vAlign w:val="center"/>
          </w:tcPr>
          <w:p w14:paraId="5A7D19DA">
            <w:pPr>
              <w:snapToGrid w:val="0"/>
              <w:jc w:val="center"/>
              <w:rPr>
                <w:szCs w:val="21"/>
              </w:rPr>
            </w:pPr>
            <w:r>
              <w:rPr>
                <w:szCs w:val="21"/>
              </w:rPr>
              <w:t>ZP1416/GSL-25</w:t>
            </w:r>
          </w:p>
        </w:tc>
        <w:tc>
          <w:tcPr>
            <w:tcW w:w="456" w:type="pct"/>
            <w:vAlign w:val="center"/>
          </w:tcPr>
          <w:p w14:paraId="5C905B75">
            <w:pPr>
              <w:snapToGrid w:val="0"/>
              <w:jc w:val="center"/>
              <w:rPr>
                <w:szCs w:val="21"/>
              </w:rPr>
            </w:pPr>
            <w:r>
              <w:rPr>
                <w:rFonts w:hint="eastAsia"/>
                <w:szCs w:val="21"/>
              </w:rPr>
              <w:t>3</w:t>
            </w:r>
          </w:p>
        </w:tc>
        <w:tc>
          <w:tcPr>
            <w:tcW w:w="557" w:type="pct"/>
            <w:vAlign w:val="center"/>
          </w:tcPr>
          <w:p w14:paraId="4F7EEC7D">
            <w:pPr>
              <w:snapToGrid w:val="0"/>
              <w:jc w:val="center"/>
              <w:rPr>
                <w:szCs w:val="21"/>
              </w:rPr>
            </w:pPr>
            <w:r>
              <w:rPr>
                <w:rFonts w:hint="eastAsia"/>
                <w:szCs w:val="21"/>
              </w:rPr>
              <w:t>3</w:t>
            </w:r>
          </w:p>
        </w:tc>
        <w:tc>
          <w:tcPr>
            <w:tcW w:w="362" w:type="pct"/>
            <w:vAlign w:val="center"/>
          </w:tcPr>
          <w:p w14:paraId="7FBB558F">
            <w:pPr>
              <w:snapToGrid w:val="0"/>
              <w:jc w:val="center"/>
              <w:rPr>
                <w:szCs w:val="21"/>
              </w:rPr>
            </w:pPr>
            <w:r>
              <w:rPr>
                <w:szCs w:val="21"/>
              </w:rPr>
              <w:t>0</w:t>
            </w:r>
          </w:p>
        </w:tc>
        <w:tc>
          <w:tcPr>
            <w:tcW w:w="793" w:type="pct"/>
            <w:vAlign w:val="center"/>
          </w:tcPr>
          <w:p w14:paraId="0B1DA3F2">
            <w:pPr>
              <w:snapToGrid w:val="0"/>
              <w:jc w:val="center"/>
              <w:rPr>
                <w:szCs w:val="21"/>
              </w:rPr>
            </w:pPr>
            <w:r>
              <w:rPr>
                <w:szCs w:val="21"/>
              </w:rPr>
              <w:t>国产</w:t>
            </w:r>
          </w:p>
        </w:tc>
      </w:tr>
      <w:tr w14:paraId="3DE659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76DEB8F">
            <w:pPr>
              <w:snapToGrid w:val="0"/>
              <w:jc w:val="center"/>
              <w:rPr>
                <w:szCs w:val="21"/>
              </w:rPr>
            </w:pPr>
            <w:r>
              <w:rPr>
                <w:szCs w:val="21"/>
              </w:rPr>
              <w:t>29</w:t>
            </w:r>
          </w:p>
        </w:tc>
        <w:tc>
          <w:tcPr>
            <w:tcW w:w="354" w:type="pct"/>
            <w:vMerge w:val="continue"/>
            <w:vAlign w:val="center"/>
          </w:tcPr>
          <w:p w14:paraId="06C1BA2F">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62AFFFE">
            <w:pPr>
              <w:snapToGrid w:val="0"/>
              <w:jc w:val="center"/>
              <w:rPr>
                <w:szCs w:val="21"/>
              </w:rPr>
            </w:pPr>
            <w:r>
              <w:rPr>
                <w:szCs w:val="21"/>
              </w:rPr>
              <w:t>履带式抛丸机</w:t>
            </w:r>
          </w:p>
        </w:tc>
        <w:tc>
          <w:tcPr>
            <w:tcW w:w="1285" w:type="pct"/>
            <w:vAlign w:val="center"/>
          </w:tcPr>
          <w:p w14:paraId="250B7DF3">
            <w:pPr>
              <w:snapToGrid w:val="0"/>
              <w:jc w:val="center"/>
              <w:rPr>
                <w:szCs w:val="21"/>
              </w:rPr>
            </w:pPr>
            <w:r>
              <w:rPr>
                <w:szCs w:val="21"/>
              </w:rPr>
              <w:t>QPL50</w:t>
            </w:r>
          </w:p>
        </w:tc>
        <w:tc>
          <w:tcPr>
            <w:tcW w:w="456" w:type="pct"/>
            <w:vAlign w:val="center"/>
          </w:tcPr>
          <w:p w14:paraId="0AA22B87">
            <w:pPr>
              <w:snapToGrid w:val="0"/>
              <w:jc w:val="center"/>
              <w:rPr>
                <w:szCs w:val="21"/>
              </w:rPr>
            </w:pPr>
            <w:r>
              <w:rPr>
                <w:szCs w:val="21"/>
              </w:rPr>
              <w:t>1</w:t>
            </w:r>
          </w:p>
        </w:tc>
        <w:tc>
          <w:tcPr>
            <w:tcW w:w="557" w:type="pct"/>
            <w:vAlign w:val="center"/>
          </w:tcPr>
          <w:p w14:paraId="1782243E">
            <w:pPr>
              <w:snapToGrid w:val="0"/>
              <w:jc w:val="center"/>
              <w:rPr>
                <w:szCs w:val="21"/>
              </w:rPr>
            </w:pPr>
            <w:r>
              <w:rPr>
                <w:szCs w:val="21"/>
              </w:rPr>
              <w:t>1</w:t>
            </w:r>
          </w:p>
        </w:tc>
        <w:tc>
          <w:tcPr>
            <w:tcW w:w="362" w:type="pct"/>
            <w:vAlign w:val="center"/>
          </w:tcPr>
          <w:p w14:paraId="1D7D85CB">
            <w:pPr>
              <w:snapToGrid w:val="0"/>
              <w:jc w:val="center"/>
              <w:rPr>
                <w:szCs w:val="21"/>
              </w:rPr>
            </w:pPr>
            <w:r>
              <w:rPr>
                <w:szCs w:val="21"/>
              </w:rPr>
              <w:t>0</w:t>
            </w:r>
          </w:p>
        </w:tc>
        <w:tc>
          <w:tcPr>
            <w:tcW w:w="793" w:type="pct"/>
            <w:vAlign w:val="center"/>
          </w:tcPr>
          <w:p w14:paraId="30EA3698">
            <w:pPr>
              <w:snapToGrid w:val="0"/>
              <w:jc w:val="center"/>
              <w:rPr>
                <w:szCs w:val="21"/>
              </w:rPr>
            </w:pPr>
            <w:r>
              <w:rPr>
                <w:szCs w:val="21"/>
              </w:rPr>
              <w:t>国产</w:t>
            </w:r>
          </w:p>
        </w:tc>
      </w:tr>
      <w:tr w14:paraId="03498C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F4A13E5">
            <w:pPr>
              <w:snapToGrid w:val="0"/>
              <w:jc w:val="center"/>
              <w:rPr>
                <w:szCs w:val="21"/>
              </w:rPr>
            </w:pPr>
            <w:r>
              <w:rPr>
                <w:szCs w:val="21"/>
              </w:rPr>
              <w:t>30</w:t>
            </w:r>
          </w:p>
        </w:tc>
        <w:tc>
          <w:tcPr>
            <w:tcW w:w="354" w:type="pct"/>
            <w:vMerge w:val="continue"/>
            <w:vAlign w:val="center"/>
          </w:tcPr>
          <w:p w14:paraId="0B208038">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35C2A72">
            <w:pPr>
              <w:snapToGrid w:val="0"/>
              <w:jc w:val="center"/>
              <w:rPr>
                <w:szCs w:val="21"/>
              </w:rPr>
            </w:pPr>
            <w:r>
              <w:rPr>
                <w:szCs w:val="21"/>
              </w:rPr>
              <w:t>冲床</w:t>
            </w:r>
          </w:p>
        </w:tc>
        <w:tc>
          <w:tcPr>
            <w:tcW w:w="1285" w:type="pct"/>
            <w:vAlign w:val="center"/>
          </w:tcPr>
          <w:p w14:paraId="36E16DB5">
            <w:pPr>
              <w:snapToGrid w:val="0"/>
              <w:jc w:val="center"/>
              <w:rPr>
                <w:szCs w:val="21"/>
              </w:rPr>
            </w:pPr>
            <w:r>
              <w:rPr>
                <w:szCs w:val="21"/>
              </w:rPr>
              <w:t>AKC-200</w:t>
            </w:r>
          </w:p>
        </w:tc>
        <w:tc>
          <w:tcPr>
            <w:tcW w:w="456" w:type="pct"/>
            <w:vAlign w:val="center"/>
          </w:tcPr>
          <w:p w14:paraId="7DD39BA9">
            <w:pPr>
              <w:snapToGrid w:val="0"/>
              <w:jc w:val="center"/>
              <w:rPr>
                <w:szCs w:val="21"/>
              </w:rPr>
            </w:pPr>
            <w:r>
              <w:rPr>
                <w:szCs w:val="21"/>
              </w:rPr>
              <w:t>1</w:t>
            </w:r>
          </w:p>
        </w:tc>
        <w:tc>
          <w:tcPr>
            <w:tcW w:w="557" w:type="pct"/>
            <w:vAlign w:val="center"/>
          </w:tcPr>
          <w:p w14:paraId="679ED7AB">
            <w:pPr>
              <w:snapToGrid w:val="0"/>
              <w:jc w:val="center"/>
              <w:rPr>
                <w:szCs w:val="21"/>
              </w:rPr>
            </w:pPr>
            <w:r>
              <w:rPr>
                <w:szCs w:val="21"/>
              </w:rPr>
              <w:t>1</w:t>
            </w:r>
          </w:p>
        </w:tc>
        <w:tc>
          <w:tcPr>
            <w:tcW w:w="362" w:type="pct"/>
            <w:vAlign w:val="center"/>
          </w:tcPr>
          <w:p w14:paraId="13A9CCAE">
            <w:pPr>
              <w:snapToGrid w:val="0"/>
              <w:jc w:val="center"/>
              <w:rPr>
                <w:szCs w:val="21"/>
              </w:rPr>
            </w:pPr>
            <w:r>
              <w:rPr>
                <w:szCs w:val="21"/>
              </w:rPr>
              <w:t>0</w:t>
            </w:r>
          </w:p>
        </w:tc>
        <w:tc>
          <w:tcPr>
            <w:tcW w:w="793" w:type="pct"/>
            <w:vAlign w:val="center"/>
          </w:tcPr>
          <w:p w14:paraId="398CC711">
            <w:pPr>
              <w:snapToGrid w:val="0"/>
              <w:jc w:val="center"/>
              <w:rPr>
                <w:szCs w:val="21"/>
              </w:rPr>
            </w:pPr>
            <w:r>
              <w:rPr>
                <w:szCs w:val="21"/>
              </w:rPr>
              <w:t>国产</w:t>
            </w:r>
          </w:p>
        </w:tc>
      </w:tr>
      <w:tr w14:paraId="3A8AA4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373FB79">
            <w:pPr>
              <w:snapToGrid w:val="0"/>
              <w:jc w:val="center"/>
              <w:rPr>
                <w:szCs w:val="21"/>
              </w:rPr>
            </w:pPr>
            <w:r>
              <w:rPr>
                <w:szCs w:val="21"/>
              </w:rPr>
              <w:t>31</w:t>
            </w:r>
          </w:p>
        </w:tc>
        <w:tc>
          <w:tcPr>
            <w:tcW w:w="354" w:type="pct"/>
            <w:vMerge w:val="continue"/>
            <w:vAlign w:val="center"/>
          </w:tcPr>
          <w:p w14:paraId="0169FEF3">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33E95F2">
            <w:pPr>
              <w:snapToGrid w:val="0"/>
              <w:jc w:val="center"/>
              <w:rPr>
                <w:szCs w:val="21"/>
              </w:rPr>
            </w:pPr>
            <w:r>
              <w:rPr>
                <w:szCs w:val="21"/>
              </w:rPr>
              <w:t>伺服送料机</w:t>
            </w:r>
          </w:p>
        </w:tc>
        <w:tc>
          <w:tcPr>
            <w:tcW w:w="1285" w:type="pct"/>
            <w:vAlign w:val="center"/>
          </w:tcPr>
          <w:p w14:paraId="3319AF6F">
            <w:pPr>
              <w:snapToGrid w:val="0"/>
              <w:jc w:val="center"/>
              <w:rPr>
                <w:szCs w:val="21"/>
              </w:rPr>
            </w:pPr>
            <w:r>
              <w:rPr>
                <w:szCs w:val="21"/>
              </w:rPr>
              <w:t>NCF-200</w:t>
            </w:r>
          </w:p>
        </w:tc>
        <w:tc>
          <w:tcPr>
            <w:tcW w:w="456" w:type="pct"/>
            <w:vAlign w:val="center"/>
          </w:tcPr>
          <w:p w14:paraId="4F49BC15">
            <w:pPr>
              <w:snapToGrid w:val="0"/>
              <w:jc w:val="center"/>
              <w:rPr>
                <w:szCs w:val="21"/>
              </w:rPr>
            </w:pPr>
            <w:r>
              <w:rPr>
                <w:szCs w:val="21"/>
              </w:rPr>
              <w:t>1</w:t>
            </w:r>
          </w:p>
        </w:tc>
        <w:tc>
          <w:tcPr>
            <w:tcW w:w="557" w:type="pct"/>
            <w:vAlign w:val="center"/>
          </w:tcPr>
          <w:p w14:paraId="310D3F35">
            <w:pPr>
              <w:snapToGrid w:val="0"/>
              <w:jc w:val="center"/>
              <w:rPr>
                <w:szCs w:val="21"/>
              </w:rPr>
            </w:pPr>
            <w:r>
              <w:rPr>
                <w:szCs w:val="21"/>
              </w:rPr>
              <w:t>1</w:t>
            </w:r>
          </w:p>
        </w:tc>
        <w:tc>
          <w:tcPr>
            <w:tcW w:w="362" w:type="pct"/>
            <w:vAlign w:val="center"/>
          </w:tcPr>
          <w:p w14:paraId="77B1BBCA">
            <w:pPr>
              <w:snapToGrid w:val="0"/>
              <w:jc w:val="center"/>
              <w:rPr>
                <w:szCs w:val="21"/>
              </w:rPr>
            </w:pPr>
            <w:r>
              <w:rPr>
                <w:szCs w:val="21"/>
              </w:rPr>
              <w:t>0</w:t>
            </w:r>
          </w:p>
        </w:tc>
        <w:tc>
          <w:tcPr>
            <w:tcW w:w="793" w:type="pct"/>
            <w:vAlign w:val="center"/>
          </w:tcPr>
          <w:p w14:paraId="5AFBA549">
            <w:pPr>
              <w:snapToGrid w:val="0"/>
              <w:jc w:val="center"/>
              <w:rPr>
                <w:szCs w:val="21"/>
              </w:rPr>
            </w:pPr>
            <w:r>
              <w:rPr>
                <w:szCs w:val="21"/>
              </w:rPr>
              <w:t>国产</w:t>
            </w:r>
          </w:p>
        </w:tc>
      </w:tr>
      <w:tr w14:paraId="0F0D8F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AB8D14C">
            <w:pPr>
              <w:snapToGrid w:val="0"/>
              <w:jc w:val="center"/>
              <w:rPr>
                <w:szCs w:val="21"/>
              </w:rPr>
            </w:pPr>
            <w:r>
              <w:rPr>
                <w:szCs w:val="21"/>
              </w:rPr>
              <w:t>32</w:t>
            </w:r>
          </w:p>
        </w:tc>
        <w:tc>
          <w:tcPr>
            <w:tcW w:w="354" w:type="pct"/>
            <w:vMerge w:val="continue"/>
            <w:vAlign w:val="center"/>
          </w:tcPr>
          <w:p w14:paraId="2D2F0A76">
            <w:pPr>
              <w:pStyle w:val="88"/>
              <w:snapToGrid w:val="0"/>
              <w:spacing w:line="240" w:lineRule="auto"/>
              <w:jc w:val="center"/>
              <w:rPr>
                <w:rFonts w:ascii="Times New Roman"/>
                <w:sz w:val="21"/>
                <w:szCs w:val="21"/>
              </w:rPr>
            </w:pPr>
          </w:p>
        </w:tc>
        <w:tc>
          <w:tcPr>
            <w:tcW w:w="964" w:type="pct"/>
            <w:vAlign w:val="center"/>
          </w:tcPr>
          <w:p w14:paraId="56B4F3C0">
            <w:pPr>
              <w:snapToGrid w:val="0"/>
              <w:jc w:val="center"/>
              <w:rPr>
                <w:szCs w:val="21"/>
              </w:rPr>
            </w:pPr>
            <w:r>
              <w:rPr>
                <w:szCs w:val="21"/>
              </w:rPr>
              <w:t>金属表面处理线（电泳线）</w:t>
            </w:r>
          </w:p>
        </w:tc>
        <w:tc>
          <w:tcPr>
            <w:tcW w:w="1285" w:type="pct"/>
            <w:vAlign w:val="center"/>
          </w:tcPr>
          <w:p w14:paraId="650FBB97">
            <w:pPr>
              <w:snapToGrid w:val="0"/>
              <w:jc w:val="center"/>
              <w:rPr>
                <w:szCs w:val="21"/>
              </w:rPr>
            </w:pPr>
            <w:r>
              <w:rPr>
                <w:szCs w:val="21"/>
              </w:rPr>
              <w:t>包括纯水洗槽1、纯水洗槽2、电泳槽、超滤清洗槽、纯水洗槽1、纯水洗槽2、纯水洗槽3、纯水洗槽4、七工位烘干炉，平均每个槽的尺寸为0.8m*2m*1.2m</w:t>
            </w:r>
          </w:p>
        </w:tc>
        <w:tc>
          <w:tcPr>
            <w:tcW w:w="456" w:type="pct"/>
            <w:vAlign w:val="center"/>
          </w:tcPr>
          <w:p w14:paraId="4B347554">
            <w:pPr>
              <w:snapToGrid w:val="0"/>
              <w:jc w:val="center"/>
              <w:rPr>
                <w:szCs w:val="21"/>
              </w:rPr>
            </w:pPr>
            <w:r>
              <w:rPr>
                <w:szCs w:val="21"/>
              </w:rPr>
              <w:t>1</w:t>
            </w:r>
          </w:p>
        </w:tc>
        <w:tc>
          <w:tcPr>
            <w:tcW w:w="557" w:type="pct"/>
            <w:vAlign w:val="center"/>
          </w:tcPr>
          <w:p w14:paraId="010C7C7E">
            <w:pPr>
              <w:snapToGrid w:val="0"/>
              <w:jc w:val="center"/>
              <w:rPr>
                <w:szCs w:val="21"/>
              </w:rPr>
            </w:pPr>
            <w:r>
              <w:rPr>
                <w:szCs w:val="21"/>
              </w:rPr>
              <w:t>1</w:t>
            </w:r>
          </w:p>
        </w:tc>
        <w:tc>
          <w:tcPr>
            <w:tcW w:w="362" w:type="pct"/>
            <w:vAlign w:val="center"/>
          </w:tcPr>
          <w:p w14:paraId="66DCA8EF">
            <w:pPr>
              <w:snapToGrid w:val="0"/>
              <w:jc w:val="center"/>
              <w:rPr>
                <w:szCs w:val="21"/>
              </w:rPr>
            </w:pPr>
            <w:r>
              <w:rPr>
                <w:szCs w:val="21"/>
              </w:rPr>
              <w:t>0</w:t>
            </w:r>
          </w:p>
        </w:tc>
        <w:tc>
          <w:tcPr>
            <w:tcW w:w="793" w:type="pct"/>
            <w:vAlign w:val="center"/>
          </w:tcPr>
          <w:p w14:paraId="19103EB5">
            <w:pPr>
              <w:snapToGrid w:val="0"/>
              <w:jc w:val="center"/>
              <w:rPr>
                <w:szCs w:val="21"/>
              </w:rPr>
            </w:pPr>
            <w:r>
              <w:rPr>
                <w:szCs w:val="21"/>
              </w:rPr>
              <w:t>国产</w:t>
            </w:r>
          </w:p>
        </w:tc>
      </w:tr>
      <w:tr w14:paraId="722565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AB55233">
            <w:pPr>
              <w:snapToGrid w:val="0"/>
              <w:jc w:val="center"/>
              <w:rPr>
                <w:szCs w:val="21"/>
              </w:rPr>
            </w:pPr>
            <w:r>
              <w:rPr>
                <w:szCs w:val="21"/>
              </w:rPr>
              <w:t>33</w:t>
            </w:r>
          </w:p>
        </w:tc>
        <w:tc>
          <w:tcPr>
            <w:tcW w:w="354" w:type="pct"/>
            <w:vMerge w:val="continue"/>
            <w:vAlign w:val="center"/>
          </w:tcPr>
          <w:p w14:paraId="0DB9DF45">
            <w:pPr>
              <w:pStyle w:val="88"/>
              <w:snapToGrid w:val="0"/>
              <w:spacing w:line="240" w:lineRule="auto"/>
              <w:jc w:val="center"/>
              <w:rPr>
                <w:rFonts w:ascii="Times New Roman"/>
                <w:sz w:val="21"/>
                <w:szCs w:val="21"/>
              </w:rPr>
            </w:pPr>
          </w:p>
        </w:tc>
        <w:tc>
          <w:tcPr>
            <w:tcW w:w="964" w:type="pct"/>
            <w:vAlign w:val="center"/>
          </w:tcPr>
          <w:p w14:paraId="0368EB98">
            <w:pPr>
              <w:snapToGrid w:val="0"/>
              <w:jc w:val="center"/>
              <w:rPr>
                <w:szCs w:val="21"/>
              </w:rPr>
            </w:pPr>
            <w:r>
              <w:rPr>
                <w:szCs w:val="21"/>
              </w:rPr>
              <w:t>金属表面处理线</w:t>
            </w:r>
            <w:r>
              <w:rPr>
                <w:rFonts w:hint="eastAsia"/>
                <w:szCs w:val="21"/>
                <w:highlight w:val="black"/>
                <w:lang w:val="en-US" w:eastAsia="zh-CN"/>
              </w:rPr>
              <w:t xml:space="preserve">（      </w:t>
            </w:r>
            <w:r>
              <w:rPr>
                <w:szCs w:val="21"/>
              </w:rPr>
              <w:t>）</w:t>
            </w:r>
          </w:p>
        </w:tc>
        <w:tc>
          <w:tcPr>
            <w:tcW w:w="1285" w:type="pct"/>
            <w:vAlign w:val="center"/>
          </w:tcPr>
          <w:p w14:paraId="686003E2">
            <w:pPr>
              <w:snapToGrid w:val="0"/>
              <w:jc w:val="center"/>
              <w:rPr>
                <w:szCs w:val="21"/>
              </w:rPr>
            </w:pPr>
            <w:r>
              <w:rPr>
                <w:szCs w:val="21"/>
              </w:rPr>
              <w:t>包括预脱脂槽、脱脂槽1、脱脂槽2、水洗槽1、水洗槽2、表调槽、</w:t>
            </w:r>
            <w:r>
              <w:rPr>
                <w:rFonts w:hint="eastAsia"/>
                <w:szCs w:val="21"/>
                <w:highlight w:val="black"/>
                <w:lang w:val="en-US" w:eastAsia="zh-CN"/>
              </w:rPr>
              <w:t xml:space="preserve">     </w:t>
            </w:r>
            <w:r>
              <w:rPr>
                <w:rFonts w:hint="eastAsia"/>
                <w:szCs w:val="21"/>
                <w:lang w:val="en-US" w:eastAsia="zh-CN"/>
              </w:rPr>
              <w:t xml:space="preserve">    </w:t>
            </w:r>
            <w:r>
              <w:rPr>
                <w:szCs w:val="21"/>
              </w:rPr>
              <w:t>纯水洗槽1、纯水洗槽2、两工位烘干炉，平均每个槽的尺寸为0.8m*1.2m*1.2m</w:t>
            </w:r>
          </w:p>
        </w:tc>
        <w:tc>
          <w:tcPr>
            <w:tcW w:w="456" w:type="pct"/>
            <w:vAlign w:val="center"/>
          </w:tcPr>
          <w:p w14:paraId="35E71B55">
            <w:pPr>
              <w:snapToGrid w:val="0"/>
              <w:jc w:val="center"/>
              <w:rPr>
                <w:szCs w:val="21"/>
              </w:rPr>
            </w:pPr>
            <w:r>
              <w:rPr>
                <w:szCs w:val="21"/>
              </w:rPr>
              <w:t>1</w:t>
            </w:r>
          </w:p>
        </w:tc>
        <w:tc>
          <w:tcPr>
            <w:tcW w:w="557" w:type="pct"/>
            <w:vAlign w:val="center"/>
          </w:tcPr>
          <w:p w14:paraId="5E7F6939">
            <w:pPr>
              <w:snapToGrid w:val="0"/>
              <w:jc w:val="center"/>
              <w:rPr>
                <w:szCs w:val="21"/>
              </w:rPr>
            </w:pPr>
            <w:r>
              <w:rPr>
                <w:szCs w:val="21"/>
              </w:rPr>
              <w:t>1</w:t>
            </w:r>
          </w:p>
        </w:tc>
        <w:tc>
          <w:tcPr>
            <w:tcW w:w="362" w:type="pct"/>
            <w:vAlign w:val="center"/>
          </w:tcPr>
          <w:p w14:paraId="734F7DF2">
            <w:pPr>
              <w:snapToGrid w:val="0"/>
              <w:jc w:val="center"/>
              <w:rPr>
                <w:szCs w:val="21"/>
              </w:rPr>
            </w:pPr>
            <w:r>
              <w:rPr>
                <w:szCs w:val="21"/>
              </w:rPr>
              <w:t>0</w:t>
            </w:r>
          </w:p>
        </w:tc>
        <w:tc>
          <w:tcPr>
            <w:tcW w:w="793" w:type="pct"/>
            <w:vAlign w:val="center"/>
          </w:tcPr>
          <w:p w14:paraId="2949238A">
            <w:pPr>
              <w:snapToGrid w:val="0"/>
              <w:jc w:val="center"/>
              <w:rPr>
                <w:szCs w:val="21"/>
              </w:rPr>
            </w:pPr>
            <w:r>
              <w:rPr>
                <w:szCs w:val="21"/>
              </w:rPr>
              <w:t>国产</w:t>
            </w:r>
          </w:p>
        </w:tc>
      </w:tr>
      <w:tr w14:paraId="3199A4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BB57E8F">
            <w:pPr>
              <w:snapToGrid w:val="0"/>
              <w:jc w:val="center"/>
              <w:rPr>
                <w:szCs w:val="21"/>
              </w:rPr>
            </w:pPr>
            <w:r>
              <w:rPr>
                <w:szCs w:val="21"/>
              </w:rPr>
              <w:t>34</w:t>
            </w:r>
          </w:p>
        </w:tc>
        <w:tc>
          <w:tcPr>
            <w:tcW w:w="354" w:type="pct"/>
            <w:vMerge w:val="restart"/>
            <w:vAlign w:val="center"/>
          </w:tcPr>
          <w:p w14:paraId="31476220">
            <w:pPr>
              <w:pStyle w:val="86"/>
              <w:spacing w:beforeLines="0" w:line="240" w:lineRule="auto"/>
              <w:ind w:firstLine="0" w:firstLineChars="0"/>
              <w:jc w:val="center"/>
              <w:rPr>
                <w:rFonts w:ascii="Times New Roman" w:hAnsi="Times New Roman"/>
                <w:sz w:val="21"/>
                <w:szCs w:val="21"/>
              </w:rPr>
            </w:pPr>
            <w:r>
              <w:rPr>
                <w:rFonts w:ascii="Times New Roman" w:hAnsi="Times New Roman"/>
                <w:sz w:val="21"/>
                <w:szCs w:val="21"/>
              </w:rPr>
              <w:t>3#车间</w:t>
            </w:r>
          </w:p>
        </w:tc>
        <w:tc>
          <w:tcPr>
            <w:tcW w:w="964" w:type="pct"/>
            <w:vAlign w:val="center"/>
          </w:tcPr>
          <w:p w14:paraId="0E9A340A">
            <w:pPr>
              <w:snapToGrid w:val="0"/>
              <w:jc w:val="center"/>
              <w:rPr>
                <w:szCs w:val="21"/>
              </w:rPr>
            </w:pPr>
            <w:r>
              <w:rPr>
                <w:szCs w:val="21"/>
              </w:rPr>
              <w:t>切胶机</w:t>
            </w:r>
          </w:p>
        </w:tc>
        <w:tc>
          <w:tcPr>
            <w:tcW w:w="1285" w:type="pct"/>
            <w:vAlign w:val="center"/>
          </w:tcPr>
          <w:p w14:paraId="1B9F4D8F">
            <w:pPr>
              <w:snapToGrid w:val="0"/>
              <w:jc w:val="center"/>
              <w:rPr>
                <w:szCs w:val="21"/>
              </w:rPr>
            </w:pPr>
            <w:r>
              <w:rPr>
                <w:szCs w:val="21"/>
              </w:rPr>
              <w:t>QJ-415/600</w:t>
            </w:r>
          </w:p>
        </w:tc>
        <w:tc>
          <w:tcPr>
            <w:tcW w:w="456" w:type="pct"/>
            <w:vAlign w:val="center"/>
          </w:tcPr>
          <w:p w14:paraId="699EC2C0">
            <w:pPr>
              <w:snapToGrid w:val="0"/>
              <w:jc w:val="center"/>
              <w:rPr>
                <w:szCs w:val="21"/>
              </w:rPr>
            </w:pPr>
            <w:r>
              <w:rPr>
                <w:szCs w:val="21"/>
              </w:rPr>
              <w:t>1</w:t>
            </w:r>
          </w:p>
        </w:tc>
        <w:tc>
          <w:tcPr>
            <w:tcW w:w="557" w:type="pct"/>
            <w:vAlign w:val="center"/>
          </w:tcPr>
          <w:p w14:paraId="1BBF5625">
            <w:pPr>
              <w:snapToGrid w:val="0"/>
              <w:jc w:val="center"/>
              <w:rPr>
                <w:szCs w:val="21"/>
              </w:rPr>
            </w:pPr>
            <w:r>
              <w:rPr>
                <w:szCs w:val="21"/>
              </w:rPr>
              <w:t>2</w:t>
            </w:r>
          </w:p>
        </w:tc>
        <w:tc>
          <w:tcPr>
            <w:tcW w:w="362" w:type="pct"/>
            <w:vAlign w:val="center"/>
          </w:tcPr>
          <w:p w14:paraId="3119A8FD">
            <w:pPr>
              <w:snapToGrid w:val="0"/>
              <w:jc w:val="center"/>
              <w:rPr>
                <w:szCs w:val="21"/>
              </w:rPr>
            </w:pPr>
            <w:r>
              <w:rPr>
                <w:szCs w:val="21"/>
              </w:rPr>
              <w:t>+1</w:t>
            </w:r>
          </w:p>
        </w:tc>
        <w:tc>
          <w:tcPr>
            <w:tcW w:w="793" w:type="pct"/>
            <w:vAlign w:val="center"/>
          </w:tcPr>
          <w:p w14:paraId="2E642D99">
            <w:pPr>
              <w:snapToGrid w:val="0"/>
              <w:jc w:val="center"/>
              <w:rPr>
                <w:szCs w:val="21"/>
              </w:rPr>
            </w:pPr>
            <w:r>
              <w:rPr>
                <w:szCs w:val="21"/>
              </w:rPr>
              <w:t>国产</w:t>
            </w:r>
          </w:p>
        </w:tc>
      </w:tr>
      <w:tr w14:paraId="14562D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DA6D945">
            <w:pPr>
              <w:snapToGrid w:val="0"/>
              <w:jc w:val="center"/>
              <w:rPr>
                <w:szCs w:val="21"/>
              </w:rPr>
            </w:pPr>
            <w:r>
              <w:rPr>
                <w:szCs w:val="21"/>
              </w:rPr>
              <w:t>35</w:t>
            </w:r>
          </w:p>
        </w:tc>
        <w:tc>
          <w:tcPr>
            <w:tcW w:w="354" w:type="pct"/>
            <w:vMerge w:val="continue"/>
            <w:vAlign w:val="center"/>
          </w:tcPr>
          <w:p w14:paraId="208B0BF9">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9F54733">
            <w:pPr>
              <w:snapToGrid w:val="0"/>
              <w:jc w:val="center"/>
              <w:rPr>
                <w:szCs w:val="21"/>
              </w:rPr>
            </w:pPr>
            <w:r>
              <w:rPr>
                <w:szCs w:val="21"/>
              </w:rPr>
              <w:t>配料系统</w:t>
            </w:r>
          </w:p>
        </w:tc>
        <w:tc>
          <w:tcPr>
            <w:tcW w:w="1285" w:type="pct"/>
            <w:vAlign w:val="center"/>
          </w:tcPr>
          <w:p w14:paraId="569A42F9">
            <w:pPr>
              <w:snapToGrid w:val="0"/>
              <w:jc w:val="center"/>
              <w:rPr>
                <w:szCs w:val="21"/>
              </w:rPr>
            </w:pPr>
            <w:r>
              <w:rPr>
                <w:szCs w:val="21"/>
              </w:rPr>
              <w:t>/</w:t>
            </w:r>
          </w:p>
        </w:tc>
        <w:tc>
          <w:tcPr>
            <w:tcW w:w="456" w:type="pct"/>
            <w:vAlign w:val="center"/>
          </w:tcPr>
          <w:p w14:paraId="3AA5B822">
            <w:pPr>
              <w:snapToGrid w:val="0"/>
              <w:jc w:val="center"/>
              <w:rPr>
                <w:szCs w:val="21"/>
              </w:rPr>
            </w:pPr>
            <w:r>
              <w:rPr>
                <w:szCs w:val="21"/>
              </w:rPr>
              <w:t>1</w:t>
            </w:r>
          </w:p>
        </w:tc>
        <w:tc>
          <w:tcPr>
            <w:tcW w:w="557" w:type="pct"/>
            <w:vAlign w:val="center"/>
          </w:tcPr>
          <w:p w14:paraId="37F6D897">
            <w:pPr>
              <w:snapToGrid w:val="0"/>
              <w:jc w:val="center"/>
              <w:rPr>
                <w:szCs w:val="21"/>
              </w:rPr>
            </w:pPr>
            <w:r>
              <w:rPr>
                <w:szCs w:val="21"/>
              </w:rPr>
              <w:t>1</w:t>
            </w:r>
          </w:p>
        </w:tc>
        <w:tc>
          <w:tcPr>
            <w:tcW w:w="362" w:type="pct"/>
            <w:vAlign w:val="center"/>
          </w:tcPr>
          <w:p w14:paraId="675A209B">
            <w:pPr>
              <w:snapToGrid w:val="0"/>
              <w:jc w:val="center"/>
              <w:rPr>
                <w:szCs w:val="21"/>
              </w:rPr>
            </w:pPr>
            <w:r>
              <w:rPr>
                <w:szCs w:val="21"/>
              </w:rPr>
              <w:t>0</w:t>
            </w:r>
          </w:p>
        </w:tc>
        <w:tc>
          <w:tcPr>
            <w:tcW w:w="793" w:type="pct"/>
            <w:vAlign w:val="center"/>
          </w:tcPr>
          <w:p w14:paraId="45A8D9D2">
            <w:pPr>
              <w:snapToGrid w:val="0"/>
              <w:jc w:val="center"/>
              <w:rPr>
                <w:szCs w:val="21"/>
              </w:rPr>
            </w:pPr>
            <w:r>
              <w:rPr>
                <w:szCs w:val="21"/>
              </w:rPr>
              <w:t>国产</w:t>
            </w:r>
          </w:p>
        </w:tc>
      </w:tr>
      <w:tr w14:paraId="2568E6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2922882">
            <w:pPr>
              <w:snapToGrid w:val="0"/>
              <w:jc w:val="center"/>
              <w:rPr>
                <w:szCs w:val="21"/>
              </w:rPr>
            </w:pPr>
            <w:r>
              <w:rPr>
                <w:szCs w:val="21"/>
              </w:rPr>
              <w:t>36</w:t>
            </w:r>
          </w:p>
        </w:tc>
        <w:tc>
          <w:tcPr>
            <w:tcW w:w="354" w:type="pct"/>
            <w:vMerge w:val="continue"/>
            <w:vAlign w:val="center"/>
          </w:tcPr>
          <w:p w14:paraId="46AB5AC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100D52B">
            <w:pPr>
              <w:snapToGrid w:val="0"/>
              <w:jc w:val="center"/>
              <w:rPr>
                <w:szCs w:val="21"/>
              </w:rPr>
            </w:pPr>
            <w:r>
              <w:rPr>
                <w:szCs w:val="21"/>
              </w:rPr>
              <w:t>捏炼机</w:t>
            </w:r>
          </w:p>
        </w:tc>
        <w:tc>
          <w:tcPr>
            <w:tcW w:w="1285" w:type="pct"/>
            <w:vAlign w:val="center"/>
          </w:tcPr>
          <w:p w14:paraId="5DD3F6D2">
            <w:pPr>
              <w:snapToGrid w:val="0"/>
              <w:jc w:val="center"/>
              <w:rPr>
                <w:szCs w:val="21"/>
              </w:rPr>
            </w:pPr>
            <w:r>
              <w:rPr>
                <w:szCs w:val="21"/>
              </w:rPr>
              <w:t>X(S)N-35/35</w:t>
            </w:r>
          </w:p>
        </w:tc>
        <w:tc>
          <w:tcPr>
            <w:tcW w:w="456" w:type="pct"/>
            <w:vAlign w:val="center"/>
          </w:tcPr>
          <w:p w14:paraId="6CCB4862">
            <w:pPr>
              <w:snapToGrid w:val="0"/>
              <w:jc w:val="center"/>
              <w:rPr>
                <w:szCs w:val="21"/>
              </w:rPr>
            </w:pPr>
            <w:r>
              <w:rPr>
                <w:szCs w:val="21"/>
              </w:rPr>
              <w:t>3</w:t>
            </w:r>
          </w:p>
        </w:tc>
        <w:tc>
          <w:tcPr>
            <w:tcW w:w="557" w:type="pct"/>
            <w:vAlign w:val="center"/>
          </w:tcPr>
          <w:p w14:paraId="54C2402F">
            <w:pPr>
              <w:snapToGrid w:val="0"/>
              <w:jc w:val="center"/>
              <w:rPr>
                <w:szCs w:val="21"/>
              </w:rPr>
            </w:pPr>
            <w:r>
              <w:rPr>
                <w:szCs w:val="21"/>
              </w:rPr>
              <w:t>3</w:t>
            </w:r>
          </w:p>
        </w:tc>
        <w:tc>
          <w:tcPr>
            <w:tcW w:w="362" w:type="pct"/>
            <w:vAlign w:val="center"/>
          </w:tcPr>
          <w:p w14:paraId="641A18FB">
            <w:pPr>
              <w:snapToGrid w:val="0"/>
              <w:jc w:val="center"/>
              <w:rPr>
                <w:szCs w:val="21"/>
              </w:rPr>
            </w:pPr>
            <w:r>
              <w:rPr>
                <w:szCs w:val="21"/>
              </w:rPr>
              <w:t>0</w:t>
            </w:r>
          </w:p>
        </w:tc>
        <w:tc>
          <w:tcPr>
            <w:tcW w:w="793" w:type="pct"/>
            <w:vAlign w:val="center"/>
          </w:tcPr>
          <w:p w14:paraId="1D276DF2">
            <w:pPr>
              <w:snapToGrid w:val="0"/>
              <w:jc w:val="center"/>
              <w:rPr>
                <w:szCs w:val="21"/>
              </w:rPr>
            </w:pPr>
            <w:r>
              <w:rPr>
                <w:szCs w:val="21"/>
              </w:rPr>
              <w:t>国产</w:t>
            </w:r>
          </w:p>
        </w:tc>
      </w:tr>
      <w:tr w14:paraId="558CBA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ADF4907">
            <w:pPr>
              <w:snapToGrid w:val="0"/>
              <w:jc w:val="center"/>
              <w:rPr>
                <w:szCs w:val="21"/>
              </w:rPr>
            </w:pPr>
            <w:r>
              <w:rPr>
                <w:szCs w:val="21"/>
              </w:rPr>
              <w:t>37</w:t>
            </w:r>
          </w:p>
        </w:tc>
        <w:tc>
          <w:tcPr>
            <w:tcW w:w="354" w:type="pct"/>
            <w:vMerge w:val="continue"/>
            <w:vAlign w:val="center"/>
          </w:tcPr>
          <w:p w14:paraId="3A29F60A">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9D03DCE">
            <w:pPr>
              <w:snapToGrid w:val="0"/>
              <w:jc w:val="center"/>
              <w:rPr>
                <w:szCs w:val="21"/>
              </w:rPr>
            </w:pPr>
            <w:r>
              <w:rPr>
                <w:szCs w:val="21"/>
              </w:rPr>
              <w:t>Z型提升机</w:t>
            </w:r>
          </w:p>
        </w:tc>
        <w:tc>
          <w:tcPr>
            <w:tcW w:w="1285" w:type="pct"/>
            <w:vAlign w:val="center"/>
          </w:tcPr>
          <w:p w14:paraId="3378598F">
            <w:pPr>
              <w:snapToGrid w:val="0"/>
              <w:jc w:val="center"/>
              <w:rPr>
                <w:szCs w:val="21"/>
              </w:rPr>
            </w:pPr>
            <w:r>
              <w:rPr>
                <w:szCs w:val="21"/>
              </w:rPr>
              <w:t>/</w:t>
            </w:r>
          </w:p>
        </w:tc>
        <w:tc>
          <w:tcPr>
            <w:tcW w:w="456" w:type="pct"/>
            <w:vAlign w:val="center"/>
          </w:tcPr>
          <w:p w14:paraId="0D6578C3">
            <w:pPr>
              <w:snapToGrid w:val="0"/>
              <w:jc w:val="center"/>
              <w:rPr>
                <w:szCs w:val="21"/>
              </w:rPr>
            </w:pPr>
            <w:r>
              <w:rPr>
                <w:szCs w:val="21"/>
              </w:rPr>
              <w:t>2</w:t>
            </w:r>
          </w:p>
        </w:tc>
        <w:tc>
          <w:tcPr>
            <w:tcW w:w="557" w:type="pct"/>
            <w:vAlign w:val="center"/>
          </w:tcPr>
          <w:p w14:paraId="6DEA2B36">
            <w:pPr>
              <w:snapToGrid w:val="0"/>
              <w:jc w:val="center"/>
              <w:rPr>
                <w:szCs w:val="21"/>
              </w:rPr>
            </w:pPr>
            <w:r>
              <w:rPr>
                <w:szCs w:val="21"/>
              </w:rPr>
              <w:t>2</w:t>
            </w:r>
          </w:p>
        </w:tc>
        <w:tc>
          <w:tcPr>
            <w:tcW w:w="362" w:type="pct"/>
            <w:vAlign w:val="center"/>
          </w:tcPr>
          <w:p w14:paraId="779E1875">
            <w:pPr>
              <w:snapToGrid w:val="0"/>
              <w:jc w:val="center"/>
              <w:rPr>
                <w:szCs w:val="21"/>
              </w:rPr>
            </w:pPr>
            <w:r>
              <w:rPr>
                <w:szCs w:val="21"/>
              </w:rPr>
              <w:t>0</w:t>
            </w:r>
          </w:p>
        </w:tc>
        <w:tc>
          <w:tcPr>
            <w:tcW w:w="793" w:type="pct"/>
            <w:vAlign w:val="center"/>
          </w:tcPr>
          <w:p w14:paraId="416D08D5">
            <w:pPr>
              <w:snapToGrid w:val="0"/>
              <w:jc w:val="center"/>
              <w:rPr>
                <w:szCs w:val="21"/>
              </w:rPr>
            </w:pPr>
            <w:r>
              <w:rPr>
                <w:szCs w:val="21"/>
              </w:rPr>
              <w:t>国产</w:t>
            </w:r>
          </w:p>
        </w:tc>
      </w:tr>
      <w:tr w14:paraId="5B78D3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022FD18">
            <w:pPr>
              <w:snapToGrid w:val="0"/>
              <w:jc w:val="center"/>
              <w:rPr>
                <w:szCs w:val="21"/>
              </w:rPr>
            </w:pPr>
            <w:r>
              <w:rPr>
                <w:szCs w:val="21"/>
              </w:rPr>
              <w:t>38</w:t>
            </w:r>
          </w:p>
        </w:tc>
        <w:tc>
          <w:tcPr>
            <w:tcW w:w="354" w:type="pct"/>
            <w:vMerge w:val="continue"/>
            <w:vAlign w:val="center"/>
          </w:tcPr>
          <w:p w14:paraId="7D4A2640">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A6F60DD">
            <w:pPr>
              <w:snapToGrid w:val="0"/>
              <w:jc w:val="center"/>
              <w:rPr>
                <w:szCs w:val="21"/>
              </w:rPr>
            </w:pPr>
            <w:r>
              <w:rPr>
                <w:szCs w:val="21"/>
              </w:rPr>
              <w:t>开炼机</w:t>
            </w:r>
          </w:p>
        </w:tc>
        <w:tc>
          <w:tcPr>
            <w:tcW w:w="1285" w:type="pct"/>
            <w:vAlign w:val="center"/>
          </w:tcPr>
          <w:p w14:paraId="2CD6D219">
            <w:pPr>
              <w:snapToGrid w:val="0"/>
              <w:jc w:val="center"/>
              <w:rPr>
                <w:szCs w:val="21"/>
              </w:rPr>
            </w:pPr>
            <w:r>
              <w:rPr>
                <w:szCs w:val="21"/>
              </w:rPr>
              <w:t>XSK</w:t>
            </w:r>
          </w:p>
        </w:tc>
        <w:tc>
          <w:tcPr>
            <w:tcW w:w="456" w:type="pct"/>
            <w:vAlign w:val="center"/>
          </w:tcPr>
          <w:p w14:paraId="7F8FF497">
            <w:pPr>
              <w:snapToGrid w:val="0"/>
              <w:jc w:val="center"/>
              <w:rPr>
                <w:szCs w:val="21"/>
              </w:rPr>
            </w:pPr>
            <w:r>
              <w:rPr>
                <w:szCs w:val="21"/>
              </w:rPr>
              <w:t>5</w:t>
            </w:r>
          </w:p>
        </w:tc>
        <w:tc>
          <w:tcPr>
            <w:tcW w:w="557" w:type="pct"/>
            <w:vAlign w:val="center"/>
          </w:tcPr>
          <w:p w14:paraId="74DB0816">
            <w:pPr>
              <w:snapToGrid w:val="0"/>
              <w:jc w:val="center"/>
              <w:rPr>
                <w:szCs w:val="21"/>
              </w:rPr>
            </w:pPr>
            <w:r>
              <w:rPr>
                <w:szCs w:val="21"/>
              </w:rPr>
              <w:t>5</w:t>
            </w:r>
          </w:p>
        </w:tc>
        <w:tc>
          <w:tcPr>
            <w:tcW w:w="362" w:type="pct"/>
            <w:vAlign w:val="center"/>
          </w:tcPr>
          <w:p w14:paraId="5AE3A2A3">
            <w:pPr>
              <w:snapToGrid w:val="0"/>
              <w:jc w:val="center"/>
              <w:rPr>
                <w:szCs w:val="21"/>
              </w:rPr>
            </w:pPr>
            <w:r>
              <w:rPr>
                <w:szCs w:val="21"/>
              </w:rPr>
              <w:t>0</w:t>
            </w:r>
          </w:p>
        </w:tc>
        <w:tc>
          <w:tcPr>
            <w:tcW w:w="793" w:type="pct"/>
            <w:vAlign w:val="center"/>
          </w:tcPr>
          <w:p w14:paraId="1AC31F7B">
            <w:pPr>
              <w:snapToGrid w:val="0"/>
              <w:jc w:val="center"/>
              <w:rPr>
                <w:szCs w:val="21"/>
              </w:rPr>
            </w:pPr>
            <w:r>
              <w:rPr>
                <w:szCs w:val="21"/>
              </w:rPr>
              <w:t>国产</w:t>
            </w:r>
          </w:p>
        </w:tc>
      </w:tr>
      <w:tr w14:paraId="3F6366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4647133">
            <w:pPr>
              <w:snapToGrid w:val="0"/>
              <w:jc w:val="center"/>
              <w:rPr>
                <w:szCs w:val="21"/>
              </w:rPr>
            </w:pPr>
            <w:r>
              <w:rPr>
                <w:szCs w:val="21"/>
              </w:rPr>
              <w:t>39</w:t>
            </w:r>
          </w:p>
        </w:tc>
        <w:tc>
          <w:tcPr>
            <w:tcW w:w="354" w:type="pct"/>
            <w:vMerge w:val="continue"/>
            <w:vAlign w:val="center"/>
          </w:tcPr>
          <w:p w14:paraId="6B6B03D1">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3DF31D1">
            <w:pPr>
              <w:snapToGrid w:val="0"/>
              <w:jc w:val="center"/>
              <w:rPr>
                <w:szCs w:val="21"/>
              </w:rPr>
            </w:pPr>
            <w:r>
              <w:rPr>
                <w:szCs w:val="21"/>
              </w:rPr>
              <w:t>开炼机</w:t>
            </w:r>
          </w:p>
        </w:tc>
        <w:tc>
          <w:tcPr>
            <w:tcW w:w="1285" w:type="pct"/>
            <w:vAlign w:val="center"/>
          </w:tcPr>
          <w:p w14:paraId="3A067FCC">
            <w:pPr>
              <w:snapToGrid w:val="0"/>
              <w:jc w:val="center"/>
              <w:rPr>
                <w:szCs w:val="21"/>
              </w:rPr>
            </w:pPr>
            <w:r>
              <w:rPr>
                <w:szCs w:val="21"/>
              </w:rPr>
              <w:t>KL-16"/XSK-400x820</w:t>
            </w:r>
          </w:p>
        </w:tc>
        <w:tc>
          <w:tcPr>
            <w:tcW w:w="456" w:type="pct"/>
            <w:vAlign w:val="center"/>
          </w:tcPr>
          <w:p w14:paraId="6EA6A686">
            <w:pPr>
              <w:snapToGrid w:val="0"/>
              <w:jc w:val="center"/>
              <w:rPr>
                <w:szCs w:val="21"/>
              </w:rPr>
            </w:pPr>
            <w:r>
              <w:rPr>
                <w:szCs w:val="21"/>
              </w:rPr>
              <w:t>3</w:t>
            </w:r>
          </w:p>
        </w:tc>
        <w:tc>
          <w:tcPr>
            <w:tcW w:w="557" w:type="pct"/>
            <w:vAlign w:val="center"/>
          </w:tcPr>
          <w:p w14:paraId="7B5B2B33">
            <w:pPr>
              <w:snapToGrid w:val="0"/>
              <w:jc w:val="center"/>
              <w:rPr>
                <w:szCs w:val="21"/>
              </w:rPr>
            </w:pPr>
            <w:r>
              <w:rPr>
                <w:szCs w:val="21"/>
              </w:rPr>
              <w:t>3</w:t>
            </w:r>
          </w:p>
        </w:tc>
        <w:tc>
          <w:tcPr>
            <w:tcW w:w="362" w:type="pct"/>
            <w:vAlign w:val="center"/>
          </w:tcPr>
          <w:p w14:paraId="4F27F812">
            <w:pPr>
              <w:snapToGrid w:val="0"/>
              <w:jc w:val="center"/>
              <w:rPr>
                <w:szCs w:val="21"/>
              </w:rPr>
            </w:pPr>
            <w:r>
              <w:rPr>
                <w:szCs w:val="21"/>
              </w:rPr>
              <w:t>0</w:t>
            </w:r>
          </w:p>
        </w:tc>
        <w:tc>
          <w:tcPr>
            <w:tcW w:w="793" w:type="pct"/>
            <w:vAlign w:val="center"/>
          </w:tcPr>
          <w:p w14:paraId="1C12B8E0">
            <w:pPr>
              <w:snapToGrid w:val="0"/>
              <w:jc w:val="center"/>
              <w:rPr>
                <w:szCs w:val="21"/>
              </w:rPr>
            </w:pPr>
            <w:r>
              <w:rPr>
                <w:szCs w:val="21"/>
              </w:rPr>
              <w:t>国产</w:t>
            </w:r>
          </w:p>
        </w:tc>
      </w:tr>
      <w:tr w14:paraId="105AA9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289D053">
            <w:pPr>
              <w:snapToGrid w:val="0"/>
              <w:jc w:val="center"/>
              <w:rPr>
                <w:szCs w:val="21"/>
              </w:rPr>
            </w:pPr>
            <w:r>
              <w:rPr>
                <w:szCs w:val="21"/>
              </w:rPr>
              <w:t>40</w:t>
            </w:r>
          </w:p>
        </w:tc>
        <w:tc>
          <w:tcPr>
            <w:tcW w:w="354" w:type="pct"/>
            <w:vMerge w:val="continue"/>
            <w:vAlign w:val="center"/>
          </w:tcPr>
          <w:p w14:paraId="6D77989B">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4C4C8F6">
            <w:pPr>
              <w:snapToGrid w:val="0"/>
              <w:jc w:val="center"/>
              <w:rPr>
                <w:szCs w:val="21"/>
              </w:rPr>
            </w:pPr>
            <w:r>
              <w:rPr>
                <w:szCs w:val="21"/>
              </w:rPr>
              <w:t>密炼线</w:t>
            </w:r>
          </w:p>
        </w:tc>
        <w:tc>
          <w:tcPr>
            <w:tcW w:w="1285" w:type="pct"/>
            <w:vAlign w:val="center"/>
          </w:tcPr>
          <w:p w14:paraId="4E26DA43">
            <w:pPr>
              <w:snapToGrid w:val="0"/>
              <w:jc w:val="center"/>
              <w:rPr>
                <w:szCs w:val="21"/>
              </w:rPr>
            </w:pPr>
            <w:r>
              <w:rPr>
                <w:szCs w:val="21"/>
              </w:rPr>
              <w:t>55L</w:t>
            </w:r>
          </w:p>
        </w:tc>
        <w:tc>
          <w:tcPr>
            <w:tcW w:w="456" w:type="pct"/>
            <w:vAlign w:val="center"/>
          </w:tcPr>
          <w:p w14:paraId="2C6CA80E">
            <w:pPr>
              <w:snapToGrid w:val="0"/>
              <w:jc w:val="center"/>
              <w:rPr>
                <w:szCs w:val="21"/>
              </w:rPr>
            </w:pPr>
            <w:r>
              <w:rPr>
                <w:szCs w:val="21"/>
              </w:rPr>
              <w:t>0</w:t>
            </w:r>
          </w:p>
        </w:tc>
        <w:tc>
          <w:tcPr>
            <w:tcW w:w="557" w:type="pct"/>
            <w:vAlign w:val="center"/>
          </w:tcPr>
          <w:p w14:paraId="61D2A3B0">
            <w:pPr>
              <w:snapToGrid w:val="0"/>
              <w:jc w:val="center"/>
              <w:rPr>
                <w:szCs w:val="21"/>
              </w:rPr>
            </w:pPr>
            <w:r>
              <w:rPr>
                <w:szCs w:val="21"/>
              </w:rPr>
              <w:t>1</w:t>
            </w:r>
          </w:p>
        </w:tc>
        <w:tc>
          <w:tcPr>
            <w:tcW w:w="362" w:type="pct"/>
            <w:vAlign w:val="center"/>
          </w:tcPr>
          <w:p w14:paraId="5EDEA81F">
            <w:pPr>
              <w:snapToGrid w:val="0"/>
              <w:jc w:val="center"/>
              <w:rPr>
                <w:szCs w:val="21"/>
              </w:rPr>
            </w:pPr>
            <w:r>
              <w:rPr>
                <w:szCs w:val="21"/>
              </w:rPr>
              <w:t>+1</w:t>
            </w:r>
          </w:p>
        </w:tc>
        <w:tc>
          <w:tcPr>
            <w:tcW w:w="793" w:type="pct"/>
            <w:vAlign w:val="center"/>
          </w:tcPr>
          <w:p w14:paraId="0B5CA7B5">
            <w:pPr>
              <w:snapToGrid w:val="0"/>
              <w:jc w:val="center"/>
              <w:rPr>
                <w:szCs w:val="21"/>
              </w:rPr>
            </w:pPr>
            <w:r>
              <w:rPr>
                <w:szCs w:val="21"/>
              </w:rPr>
              <w:t>国产</w:t>
            </w:r>
          </w:p>
        </w:tc>
      </w:tr>
      <w:tr w14:paraId="64CD9F0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B28FC84">
            <w:pPr>
              <w:snapToGrid w:val="0"/>
              <w:jc w:val="center"/>
              <w:rPr>
                <w:szCs w:val="21"/>
              </w:rPr>
            </w:pPr>
            <w:r>
              <w:rPr>
                <w:szCs w:val="21"/>
              </w:rPr>
              <w:t>41</w:t>
            </w:r>
          </w:p>
        </w:tc>
        <w:tc>
          <w:tcPr>
            <w:tcW w:w="354" w:type="pct"/>
            <w:vMerge w:val="continue"/>
            <w:vAlign w:val="center"/>
          </w:tcPr>
          <w:p w14:paraId="44E0FF65">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4664695">
            <w:pPr>
              <w:snapToGrid w:val="0"/>
              <w:jc w:val="center"/>
              <w:rPr>
                <w:szCs w:val="21"/>
              </w:rPr>
            </w:pPr>
            <w:r>
              <w:rPr>
                <w:szCs w:val="21"/>
              </w:rPr>
              <w:t>橡胶精密预型机</w:t>
            </w:r>
          </w:p>
        </w:tc>
        <w:tc>
          <w:tcPr>
            <w:tcW w:w="1285" w:type="pct"/>
            <w:vAlign w:val="center"/>
          </w:tcPr>
          <w:p w14:paraId="5ACABFCD">
            <w:pPr>
              <w:snapToGrid w:val="0"/>
              <w:jc w:val="center"/>
              <w:rPr>
                <w:szCs w:val="21"/>
              </w:rPr>
            </w:pPr>
            <w:r>
              <w:rPr>
                <w:szCs w:val="21"/>
              </w:rPr>
              <w:t>JYZ200</w:t>
            </w:r>
          </w:p>
        </w:tc>
        <w:tc>
          <w:tcPr>
            <w:tcW w:w="456" w:type="pct"/>
            <w:vAlign w:val="center"/>
          </w:tcPr>
          <w:p w14:paraId="1C5A9974">
            <w:pPr>
              <w:snapToGrid w:val="0"/>
              <w:jc w:val="center"/>
              <w:rPr>
                <w:szCs w:val="21"/>
              </w:rPr>
            </w:pPr>
            <w:r>
              <w:rPr>
                <w:szCs w:val="21"/>
              </w:rPr>
              <w:t>3</w:t>
            </w:r>
          </w:p>
        </w:tc>
        <w:tc>
          <w:tcPr>
            <w:tcW w:w="557" w:type="pct"/>
            <w:vAlign w:val="center"/>
          </w:tcPr>
          <w:p w14:paraId="30C057FB">
            <w:pPr>
              <w:snapToGrid w:val="0"/>
              <w:jc w:val="center"/>
              <w:rPr>
                <w:szCs w:val="21"/>
              </w:rPr>
            </w:pPr>
            <w:r>
              <w:rPr>
                <w:szCs w:val="21"/>
              </w:rPr>
              <w:t>3</w:t>
            </w:r>
          </w:p>
        </w:tc>
        <w:tc>
          <w:tcPr>
            <w:tcW w:w="362" w:type="pct"/>
            <w:vAlign w:val="center"/>
          </w:tcPr>
          <w:p w14:paraId="4C34E5ED">
            <w:pPr>
              <w:snapToGrid w:val="0"/>
              <w:jc w:val="center"/>
              <w:rPr>
                <w:szCs w:val="21"/>
              </w:rPr>
            </w:pPr>
            <w:r>
              <w:rPr>
                <w:szCs w:val="21"/>
              </w:rPr>
              <w:t>0</w:t>
            </w:r>
          </w:p>
        </w:tc>
        <w:tc>
          <w:tcPr>
            <w:tcW w:w="793" w:type="pct"/>
            <w:vAlign w:val="center"/>
          </w:tcPr>
          <w:p w14:paraId="69B63138">
            <w:pPr>
              <w:snapToGrid w:val="0"/>
              <w:jc w:val="center"/>
              <w:rPr>
                <w:szCs w:val="21"/>
              </w:rPr>
            </w:pPr>
            <w:r>
              <w:rPr>
                <w:szCs w:val="21"/>
              </w:rPr>
              <w:t>国产</w:t>
            </w:r>
          </w:p>
        </w:tc>
      </w:tr>
      <w:tr w14:paraId="44816C2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9DEEF7F">
            <w:pPr>
              <w:snapToGrid w:val="0"/>
              <w:jc w:val="center"/>
              <w:rPr>
                <w:szCs w:val="21"/>
              </w:rPr>
            </w:pPr>
            <w:r>
              <w:rPr>
                <w:szCs w:val="21"/>
              </w:rPr>
              <w:t>42</w:t>
            </w:r>
          </w:p>
        </w:tc>
        <w:tc>
          <w:tcPr>
            <w:tcW w:w="354" w:type="pct"/>
            <w:vMerge w:val="continue"/>
            <w:vAlign w:val="center"/>
          </w:tcPr>
          <w:p w14:paraId="4B1F7CCD">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B6AF5D7">
            <w:pPr>
              <w:snapToGrid w:val="0"/>
              <w:jc w:val="center"/>
              <w:rPr>
                <w:szCs w:val="21"/>
              </w:rPr>
            </w:pPr>
            <w:r>
              <w:rPr>
                <w:szCs w:val="21"/>
              </w:rPr>
              <w:t>200高压滤胶机</w:t>
            </w:r>
          </w:p>
        </w:tc>
        <w:tc>
          <w:tcPr>
            <w:tcW w:w="1285" w:type="pct"/>
            <w:vAlign w:val="center"/>
          </w:tcPr>
          <w:p w14:paraId="0425857D">
            <w:pPr>
              <w:snapToGrid w:val="0"/>
              <w:jc w:val="center"/>
              <w:rPr>
                <w:szCs w:val="21"/>
              </w:rPr>
            </w:pPr>
            <w:r>
              <w:rPr>
                <w:szCs w:val="21"/>
              </w:rPr>
              <w:t>RSH200</w:t>
            </w:r>
          </w:p>
        </w:tc>
        <w:tc>
          <w:tcPr>
            <w:tcW w:w="456" w:type="pct"/>
            <w:vAlign w:val="center"/>
          </w:tcPr>
          <w:p w14:paraId="5938D931">
            <w:pPr>
              <w:snapToGrid w:val="0"/>
              <w:jc w:val="center"/>
              <w:rPr>
                <w:szCs w:val="21"/>
              </w:rPr>
            </w:pPr>
            <w:r>
              <w:rPr>
                <w:szCs w:val="21"/>
              </w:rPr>
              <w:t>0</w:t>
            </w:r>
          </w:p>
        </w:tc>
        <w:tc>
          <w:tcPr>
            <w:tcW w:w="557" w:type="pct"/>
            <w:vAlign w:val="center"/>
          </w:tcPr>
          <w:p w14:paraId="7A7B53D5">
            <w:pPr>
              <w:snapToGrid w:val="0"/>
              <w:jc w:val="center"/>
              <w:rPr>
                <w:szCs w:val="21"/>
              </w:rPr>
            </w:pPr>
            <w:r>
              <w:rPr>
                <w:szCs w:val="21"/>
              </w:rPr>
              <w:t>5</w:t>
            </w:r>
          </w:p>
        </w:tc>
        <w:tc>
          <w:tcPr>
            <w:tcW w:w="362" w:type="pct"/>
            <w:vAlign w:val="center"/>
          </w:tcPr>
          <w:p w14:paraId="3C3AF37D">
            <w:pPr>
              <w:snapToGrid w:val="0"/>
              <w:jc w:val="center"/>
              <w:rPr>
                <w:szCs w:val="21"/>
              </w:rPr>
            </w:pPr>
            <w:r>
              <w:rPr>
                <w:szCs w:val="21"/>
              </w:rPr>
              <w:t>+5</w:t>
            </w:r>
          </w:p>
        </w:tc>
        <w:tc>
          <w:tcPr>
            <w:tcW w:w="793" w:type="pct"/>
            <w:vAlign w:val="center"/>
          </w:tcPr>
          <w:p w14:paraId="574E9EA9">
            <w:pPr>
              <w:snapToGrid w:val="0"/>
              <w:jc w:val="center"/>
              <w:rPr>
                <w:szCs w:val="21"/>
              </w:rPr>
            </w:pPr>
            <w:r>
              <w:rPr>
                <w:szCs w:val="21"/>
              </w:rPr>
              <w:t>国产</w:t>
            </w:r>
          </w:p>
        </w:tc>
      </w:tr>
      <w:tr w14:paraId="137911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A59EBAE">
            <w:pPr>
              <w:snapToGrid w:val="0"/>
              <w:jc w:val="center"/>
              <w:rPr>
                <w:szCs w:val="21"/>
              </w:rPr>
            </w:pPr>
            <w:r>
              <w:rPr>
                <w:szCs w:val="21"/>
              </w:rPr>
              <w:t>43</w:t>
            </w:r>
          </w:p>
        </w:tc>
        <w:tc>
          <w:tcPr>
            <w:tcW w:w="354" w:type="pct"/>
            <w:vMerge w:val="continue"/>
            <w:vAlign w:val="center"/>
          </w:tcPr>
          <w:p w14:paraId="41F9FAFA">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9033999">
            <w:pPr>
              <w:snapToGrid w:val="0"/>
              <w:jc w:val="center"/>
              <w:rPr>
                <w:szCs w:val="21"/>
              </w:rPr>
            </w:pPr>
            <w:r>
              <w:rPr>
                <w:szCs w:val="21"/>
              </w:rPr>
              <w:t>预成型机</w:t>
            </w:r>
          </w:p>
        </w:tc>
        <w:tc>
          <w:tcPr>
            <w:tcW w:w="1285" w:type="pct"/>
            <w:vAlign w:val="center"/>
          </w:tcPr>
          <w:p w14:paraId="76F6138F">
            <w:pPr>
              <w:snapToGrid w:val="0"/>
              <w:jc w:val="center"/>
              <w:rPr>
                <w:szCs w:val="21"/>
              </w:rPr>
            </w:pPr>
            <w:r>
              <w:rPr>
                <w:szCs w:val="21"/>
              </w:rPr>
              <w:t>200</w:t>
            </w:r>
          </w:p>
        </w:tc>
        <w:tc>
          <w:tcPr>
            <w:tcW w:w="456" w:type="pct"/>
            <w:vAlign w:val="center"/>
          </w:tcPr>
          <w:p w14:paraId="782B1BB9">
            <w:pPr>
              <w:snapToGrid w:val="0"/>
              <w:jc w:val="center"/>
              <w:rPr>
                <w:szCs w:val="21"/>
              </w:rPr>
            </w:pPr>
            <w:r>
              <w:rPr>
                <w:szCs w:val="21"/>
              </w:rPr>
              <w:t>0</w:t>
            </w:r>
          </w:p>
        </w:tc>
        <w:tc>
          <w:tcPr>
            <w:tcW w:w="557" w:type="pct"/>
            <w:vAlign w:val="center"/>
          </w:tcPr>
          <w:p w14:paraId="687A1405">
            <w:pPr>
              <w:snapToGrid w:val="0"/>
              <w:jc w:val="center"/>
              <w:rPr>
                <w:szCs w:val="21"/>
              </w:rPr>
            </w:pPr>
            <w:r>
              <w:rPr>
                <w:szCs w:val="21"/>
              </w:rPr>
              <w:t>2</w:t>
            </w:r>
          </w:p>
        </w:tc>
        <w:tc>
          <w:tcPr>
            <w:tcW w:w="362" w:type="pct"/>
            <w:vAlign w:val="center"/>
          </w:tcPr>
          <w:p w14:paraId="3514E711">
            <w:pPr>
              <w:snapToGrid w:val="0"/>
              <w:jc w:val="center"/>
              <w:rPr>
                <w:szCs w:val="21"/>
              </w:rPr>
            </w:pPr>
            <w:r>
              <w:rPr>
                <w:szCs w:val="21"/>
              </w:rPr>
              <w:t>+2</w:t>
            </w:r>
          </w:p>
        </w:tc>
        <w:tc>
          <w:tcPr>
            <w:tcW w:w="793" w:type="pct"/>
            <w:vAlign w:val="center"/>
          </w:tcPr>
          <w:p w14:paraId="39A4E7A0">
            <w:pPr>
              <w:snapToGrid w:val="0"/>
              <w:jc w:val="center"/>
              <w:rPr>
                <w:szCs w:val="21"/>
              </w:rPr>
            </w:pPr>
            <w:r>
              <w:rPr>
                <w:szCs w:val="21"/>
              </w:rPr>
              <w:t>国产</w:t>
            </w:r>
          </w:p>
        </w:tc>
      </w:tr>
      <w:tr w14:paraId="305BFDF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C5863F1">
            <w:pPr>
              <w:snapToGrid w:val="0"/>
              <w:jc w:val="center"/>
              <w:rPr>
                <w:szCs w:val="21"/>
              </w:rPr>
            </w:pPr>
            <w:r>
              <w:rPr>
                <w:szCs w:val="21"/>
              </w:rPr>
              <w:t>44</w:t>
            </w:r>
          </w:p>
        </w:tc>
        <w:tc>
          <w:tcPr>
            <w:tcW w:w="354" w:type="pct"/>
            <w:vMerge w:val="continue"/>
            <w:vAlign w:val="center"/>
          </w:tcPr>
          <w:p w14:paraId="488CDC8A">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4815DB2">
            <w:pPr>
              <w:snapToGrid w:val="0"/>
              <w:jc w:val="center"/>
              <w:rPr>
                <w:szCs w:val="21"/>
              </w:rPr>
            </w:pPr>
            <w:r>
              <w:rPr>
                <w:szCs w:val="21"/>
              </w:rPr>
              <w:t>高精密度橡胶切条机</w:t>
            </w:r>
          </w:p>
        </w:tc>
        <w:tc>
          <w:tcPr>
            <w:tcW w:w="1285" w:type="pct"/>
            <w:vAlign w:val="center"/>
          </w:tcPr>
          <w:p w14:paraId="5A5A8AEE">
            <w:pPr>
              <w:snapToGrid w:val="0"/>
              <w:jc w:val="center"/>
              <w:rPr>
                <w:szCs w:val="21"/>
              </w:rPr>
            </w:pPr>
            <w:r>
              <w:rPr>
                <w:szCs w:val="21"/>
              </w:rPr>
              <w:t>JXQ</w:t>
            </w:r>
          </w:p>
        </w:tc>
        <w:tc>
          <w:tcPr>
            <w:tcW w:w="456" w:type="pct"/>
            <w:vAlign w:val="center"/>
          </w:tcPr>
          <w:p w14:paraId="61D86B70">
            <w:pPr>
              <w:snapToGrid w:val="0"/>
              <w:jc w:val="center"/>
              <w:rPr>
                <w:szCs w:val="21"/>
              </w:rPr>
            </w:pPr>
            <w:r>
              <w:rPr>
                <w:szCs w:val="21"/>
              </w:rPr>
              <w:t>1</w:t>
            </w:r>
          </w:p>
        </w:tc>
        <w:tc>
          <w:tcPr>
            <w:tcW w:w="557" w:type="pct"/>
            <w:vAlign w:val="center"/>
          </w:tcPr>
          <w:p w14:paraId="695755E7">
            <w:pPr>
              <w:snapToGrid w:val="0"/>
              <w:jc w:val="center"/>
              <w:rPr>
                <w:szCs w:val="21"/>
              </w:rPr>
            </w:pPr>
            <w:r>
              <w:rPr>
                <w:szCs w:val="21"/>
              </w:rPr>
              <w:t>1</w:t>
            </w:r>
          </w:p>
        </w:tc>
        <w:tc>
          <w:tcPr>
            <w:tcW w:w="362" w:type="pct"/>
            <w:vAlign w:val="center"/>
          </w:tcPr>
          <w:p w14:paraId="518F4174">
            <w:pPr>
              <w:snapToGrid w:val="0"/>
              <w:jc w:val="center"/>
              <w:rPr>
                <w:szCs w:val="21"/>
              </w:rPr>
            </w:pPr>
            <w:r>
              <w:rPr>
                <w:szCs w:val="21"/>
              </w:rPr>
              <w:t>0</w:t>
            </w:r>
          </w:p>
        </w:tc>
        <w:tc>
          <w:tcPr>
            <w:tcW w:w="793" w:type="pct"/>
            <w:vAlign w:val="center"/>
          </w:tcPr>
          <w:p w14:paraId="355BA798">
            <w:pPr>
              <w:snapToGrid w:val="0"/>
              <w:jc w:val="center"/>
              <w:rPr>
                <w:szCs w:val="21"/>
              </w:rPr>
            </w:pPr>
            <w:r>
              <w:rPr>
                <w:szCs w:val="21"/>
              </w:rPr>
              <w:t>国产</w:t>
            </w:r>
          </w:p>
        </w:tc>
      </w:tr>
      <w:tr w14:paraId="707C9C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DD8860C">
            <w:pPr>
              <w:snapToGrid w:val="0"/>
              <w:jc w:val="center"/>
              <w:rPr>
                <w:szCs w:val="21"/>
              </w:rPr>
            </w:pPr>
            <w:r>
              <w:rPr>
                <w:szCs w:val="21"/>
              </w:rPr>
              <w:t>45</w:t>
            </w:r>
          </w:p>
        </w:tc>
        <w:tc>
          <w:tcPr>
            <w:tcW w:w="354" w:type="pct"/>
            <w:vMerge w:val="continue"/>
            <w:vAlign w:val="center"/>
          </w:tcPr>
          <w:p w14:paraId="24A6B3EA">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A95E116">
            <w:pPr>
              <w:snapToGrid w:val="0"/>
              <w:jc w:val="center"/>
              <w:rPr>
                <w:szCs w:val="21"/>
              </w:rPr>
            </w:pPr>
            <w:r>
              <w:rPr>
                <w:szCs w:val="21"/>
              </w:rPr>
              <w:t>分条机</w:t>
            </w:r>
          </w:p>
        </w:tc>
        <w:tc>
          <w:tcPr>
            <w:tcW w:w="1285" w:type="pct"/>
            <w:vAlign w:val="center"/>
          </w:tcPr>
          <w:p w14:paraId="25206EC9">
            <w:pPr>
              <w:snapToGrid w:val="0"/>
              <w:jc w:val="center"/>
              <w:rPr>
                <w:szCs w:val="21"/>
              </w:rPr>
            </w:pPr>
            <w:r>
              <w:rPr>
                <w:szCs w:val="21"/>
              </w:rPr>
              <w:t>CYKD4800</w:t>
            </w:r>
          </w:p>
        </w:tc>
        <w:tc>
          <w:tcPr>
            <w:tcW w:w="456" w:type="pct"/>
            <w:vAlign w:val="center"/>
          </w:tcPr>
          <w:p w14:paraId="7930DB96">
            <w:pPr>
              <w:snapToGrid w:val="0"/>
              <w:jc w:val="center"/>
              <w:rPr>
                <w:szCs w:val="21"/>
              </w:rPr>
            </w:pPr>
            <w:r>
              <w:rPr>
                <w:szCs w:val="21"/>
              </w:rPr>
              <w:t>1</w:t>
            </w:r>
          </w:p>
        </w:tc>
        <w:tc>
          <w:tcPr>
            <w:tcW w:w="557" w:type="pct"/>
            <w:vAlign w:val="center"/>
          </w:tcPr>
          <w:p w14:paraId="6686E4C0">
            <w:pPr>
              <w:snapToGrid w:val="0"/>
              <w:jc w:val="center"/>
              <w:rPr>
                <w:szCs w:val="21"/>
              </w:rPr>
            </w:pPr>
            <w:r>
              <w:rPr>
                <w:szCs w:val="21"/>
              </w:rPr>
              <w:t>1</w:t>
            </w:r>
          </w:p>
        </w:tc>
        <w:tc>
          <w:tcPr>
            <w:tcW w:w="362" w:type="pct"/>
            <w:vAlign w:val="center"/>
          </w:tcPr>
          <w:p w14:paraId="55085977">
            <w:pPr>
              <w:snapToGrid w:val="0"/>
              <w:jc w:val="center"/>
              <w:rPr>
                <w:szCs w:val="21"/>
              </w:rPr>
            </w:pPr>
            <w:r>
              <w:rPr>
                <w:szCs w:val="21"/>
              </w:rPr>
              <w:t>0</w:t>
            </w:r>
          </w:p>
        </w:tc>
        <w:tc>
          <w:tcPr>
            <w:tcW w:w="793" w:type="pct"/>
            <w:vAlign w:val="center"/>
          </w:tcPr>
          <w:p w14:paraId="7352E131">
            <w:pPr>
              <w:snapToGrid w:val="0"/>
              <w:jc w:val="center"/>
              <w:rPr>
                <w:szCs w:val="21"/>
              </w:rPr>
            </w:pPr>
            <w:r>
              <w:rPr>
                <w:szCs w:val="21"/>
              </w:rPr>
              <w:t>国产</w:t>
            </w:r>
          </w:p>
        </w:tc>
      </w:tr>
      <w:tr w14:paraId="0BA361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1CD779C">
            <w:pPr>
              <w:snapToGrid w:val="0"/>
              <w:jc w:val="center"/>
              <w:rPr>
                <w:szCs w:val="21"/>
              </w:rPr>
            </w:pPr>
            <w:r>
              <w:rPr>
                <w:szCs w:val="21"/>
              </w:rPr>
              <w:t>46</w:t>
            </w:r>
          </w:p>
        </w:tc>
        <w:tc>
          <w:tcPr>
            <w:tcW w:w="354" w:type="pct"/>
            <w:vMerge w:val="continue"/>
            <w:vAlign w:val="center"/>
          </w:tcPr>
          <w:p w14:paraId="464B9FD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0E064BE">
            <w:pPr>
              <w:snapToGrid w:val="0"/>
              <w:jc w:val="center"/>
              <w:rPr>
                <w:szCs w:val="21"/>
              </w:rPr>
            </w:pPr>
            <w:r>
              <w:rPr>
                <w:szCs w:val="21"/>
              </w:rPr>
              <w:t>过滤挤出机</w:t>
            </w:r>
          </w:p>
        </w:tc>
        <w:tc>
          <w:tcPr>
            <w:tcW w:w="1285" w:type="pct"/>
            <w:vAlign w:val="center"/>
          </w:tcPr>
          <w:p w14:paraId="0318C33D">
            <w:pPr>
              <w:snapToGrid w:val="0"/>
              <w:jc w:val="center"/>
              <w:rPr>
                <w:szCs w:val="21"/>
              </w:rPr>
            </w:pPr>
            <w:r>
              <w:rPr>
                <w:szCs w:val="21"/>
              </w:rPr>
              <w:t>XJD-Φ90×12D</w:t>
            </w:r>
          </w:p>
        </w:tc>
        <w:tc>
          <w:tcPr>
            <w:tcW w:w="456" w:type="pct"/>
            <w:vAlign w:val="center"/>
          </w:tcPr>
          <w:p w14:paraId="755BA98D">
            <w:pPr>
              <w:snapToGrid w:val="0"/>
              <w:jc w:val="center"/>
              <w:rPr>
                <w:szCs w:val="21"/>
              </w:rPr>
            </w:pPr>
            <w:r>
              <w:rPr>
                <w:szCs w:val="21"/>
              </w:rPr>
              <w:t>2</w:t>
            </w:r>
          </w:p>
        </w:tc>
        <w:tc>
          <w:tcPr>
            <w:tcW w:w="557" w:type="pct"/>
            <w:vAlign w:val="center"/>
          </w:tcPr>
          <w:p w14:paraId="2552286E">
            <w:pPr>
              <w:snapToGrid w:val="0"/>
              <w:jc w:val="center"/>
              <w:rPr>
                <w:szCs w:val="21"/>
              </w:rPr>
            </w:pPr>
            <w:r>
              <w:rPr>
                <w:szCs w:val="21"/>
              </w:rPr>
              <w:t>2</w:t>
            </w:r>
          </w:p>
        </w:tc>
        <w:tc>
          <w:tcPr>
            <w:tcW w:w="362" w:type="pct"/>
            <w:vAlign w:val="center"/>
          </w:tcPr>
          <w:p w14:paraId="19DFD0CD">
            <w:pPr>
              <w:snapToGrid w:val="0"/>
              <w:jc w:val="center"/>
              <w:rPr>
                <w:szCs w:val="21"/>
              </w:rPr>
            </w:pPr>
            <w:r>
              <w:rPr>
                <w:szCs w:val="21"/>
              </w:rPr>
              <w:t>0</w:t>
            </w:r>
          </w:p>
        </w:tc>
        <w:tc>
          <w:tcPr>
            <w:tcW w:w="793" w:type="pct"/>
            <w:vAlign w:val="center"/>
          </w:tcPr>
          <w:p w14:paraId="7E1B663E">
            <w:pPr>
              <w:snapToGrid w:val="0"/>
              <w:jc w:val="center"/>
              <w:rPr>
                <w:szCs w:val="21"/>
              </w:rPr>
            </w:pPr>
            <w:r>
              <w:rPr>
                <w:szCs w:val="21"/>
              </w:rPr>
              <w:t>国产</w:t>
            </w:r>
          </w:p>
        </w:tc>
      </w:tr>
      <w:tr w14:paraId="0BBCDB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6146AD2">
            <w:pPr>
              <w:snapToGrid w:val="0"/>
              <w:jc w:val="center"/>
              <w:rPr>
                <w:szCs w:val="21"/>
              </w:rPr>
            </w:pPr>
            <w:r>
              <w:rPr>
                <w:szCs w:val="21"/>
              </w:rPr>
              <w:t>47</w:t>
            </w:r>
          </w:p>
        </w:tc>
        <w:tc>
          <w:tcPr>
            <w:tcW w:w="354" w:type="pct"/>
            <w:vMerge w:val="continue"/>
            <w:vAlign w:val="center"/>
          </w:tcPr>
          <w:p w14:paraId="6579603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974AA64">
            <w:pPr>
              <w:snapToGrid w:val="0"/>
              <w:jc w:val="center"/>
              <w:rPr>
                <w:szCs w:val="21"/>
              </w:rPr>
            </w:pPr>
            <w:r>
              <w:rPr>
                <w:szCs w:val="21"/>
              </w:rPr>
              <w:t>冷却输送机</w:t>
            </w:r>
          </w:p>
        </w:tc>
        <w:tc>
          <w:tcPr>
            <w:tcW w:w="1285" w:type="pct"/>
            <w:vAlign w:val="center"/>
          </w:tcPr>
          <w:p w14:paraId="1A77D5CA">
            <w:pPr>
              <w:snapToGrid w:val="0"/>
              <w:jc w:val="center"/>
              <w:rPr>
                <w:szCs w:val="21"/>
              </w:rPr>
            </w:pPr>
          </w:p>
        </w:tc>
        <w:tc>
          <w:tcPr>
            <w:tcW w:w="456" w:type="pct"/>
            <w:vAlign w:val="center"/>
          </w:tcPr>
          <w:p w14:paraId="369AD31C">
            <w:pPr>
              <w:snapToGrid w:val="0"/>
              <w:jc w:val="center"/>
              <w:rPr>
                <w:szCs w:val="21"/>
              </w:rPr>
            </w:pPr>
            <w:r>
              <w:rPr>
                <w:szCs w:val="21"/>
              </w:rPr>
              <w:t>2</w:t>
            </w:r>
          </w:p>
        </w:tc>
        <w:tc>
          <w:tcPr>
            <w:tcW w:w="557" w:type="pct"/>
            <w:vAlign w:val="center"/>
          </w:tcPr>
          <w:p w14:paraId="50760E9C">
            <w:pPr>
              <w:snapToGrid w:val="0"/>
              <w:jc w:val="center"/>
              <w:rPr>
                <w:szCs w:val="21"/>
              </w:rPr>
            </w:pPr>
            <w:r>
              <w:rPr>
                <w:szCs w:val="21"/>
              </w:rPr>
              <w:t>2</w:t>
            </w:r>
          </w:p>
        </w:tc>
        <w:tc>
          <w:tcPr>
            <w:tcW w:w="362" w:type="pct"/>
            <w:vAlign w:val="center"/>
          </w:tcPr>
          <w:p w14:paraId="51E3A117">
            <w:pPr>
              <w:snapToGrid w:val="0"/>
              <w:jc w:val="center"/>
              <w:rPr>
                <w:szCs w:val="21"/>
              </w:rPr>
            </w:pPr>
            <w:r>
              <w:rPr>
                <w:szCs w:val="21"/>
              </w:rPr>
              <w:t>0</w:t>
            </w:r>
          </w:p>
        </w:tc>
        <w:tc>
          <w:tcPr>
            <w:tcW w:w="793" w:type="pct"/>
            <w:vAlign w:val="center"/>
          </w:tcPr>
          <w:p w14:paraId="133CCF7D">
            <w:pPr>
              <w:snapToGrid w:val="0"/>
              <w:jc w:val="center"/>
              <w:rPr>
                <w:szCs w:val="21"/>
              </w:rPr>
            </w:pPr>
            <w:r>
              <w:rPr>
                <w:szCs w:val="21"/>
              </w:rPr>
              <w:t>国产</w:t>
            </w:r>
          </w:p>
        </w:tc>
      </w:tr>
      <w:tr w14:paraId="2130C0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21F545B">
            <w:pPr>
              <w:snapToGrid w:val="0"/>
              <w:jc w:val="center"/>
              <w:rPr>
                <w:szCs w:val="21"/>
              </w:rPr>
            </w:pPr>
            <w:r>
              <w:rPr>
                <w:szCs w:val="21"/>
              </w:rPr>
              <w:t>48</w:t>
            </w:r>
          </w:p>
        </w:tc>
        <w:tc>
          <w:tcPr>
            <w:tcW w:w="354" w:type="pct"/>
            <w:vMerge w:val="restart"/>
            <w:vAlign w:val="center"/>
          </w:tcPr>
          <w:p w14:paraId="37A362FB">
            <w:pPr>
              <w:pStyle w:val="86"/>
              <w:spacing w:beforeLines="0" w:line="240" w:lineRule="auto"/>
              <w:ind w:firstLine="0" w:firstLineChars="0"/>
              <w:jc w:val="center"/>
              <w:rPr>
                <w:rFonts w:ascii="Times New Roman" w:hAnsi="Times New Roman"/>
                <w:sz w:val="21"/>
                <w:szCs w:val="21"/>
              </w:rPr>
            </w:pPr>
            <w:r>
              <w:rPr>
                <w:rFonts w:ascii="Times New Roman" w:hAnsi="Times New Roman"/>
                <w:sz w:val="21"/>
                <w:szCs w:val="21"/>
              </w:rPr>
              <w:t>4#车间</w:t>
            </w:r>
          </w:p>
        </w:tc>
        <w:tc>
          <w:tcPr>
            <w:tcW w:w="964" w:type="pct"/>
            <w:vAlign w:val="center"/>
          </w:tcPr>
          <w:p w14:paraId="21B1AF5C">
            <w:pPr>
              <w:snapToGrid w:val="0"/>
              <w:jc w:val="center"/>
              <w:rPr>
                <w:szCs w:val="21"/>
              </w:rPr>
            </w:pPr>
            <w:r>
              <w:rPr>
                <w:szCs w:val="21"/>
              </w:rPr>
              <w:t>全自动喷涂机</w:t>
            </w:r>
          </w:p>
        </w:tc>
        <w:tc>
          <w:tcPr>
            <w:tcW w:w="1285" w:type="pct"/>
            <w:vAlign w:val="center"/>
          </w:tcPr>
          <w:p w14:paraId="0C107D8A">
            <w:pPr>
              <w:snapToGrid w:val="0"/>
              <w:jc w:val="center"/>
              <w:rPr>
                <w:szCs w:val="21"/>
              </w:rPr>
            </w:pPr>
            <w:r>
              <w:rPr>
                <w:szCs w:val="21"/>
              </w:rPr>
              <w:t>/</w:t>
            </w:r>
          </w:p>
        </w:tc>
        <w:tc>
          <w:tcPr>
            <w:tcW w:w="456" w:type="pct"/>
            <w:vAlign w:val="center"/>
          </w:tcPr>
          <w:p w14:paraId="1FDDDBF6">
            <w:pPr>
              <w:snapToGrid w:val="0"/>
              <w:jc w:val="center"/>
              <w:rPr>
                <w:szCs w:val="21"/>
              </w:rPr>
            </w:pPr>
            <w:r>
              <w:rPr>
                <w:szCs w:val="21"/>
              </w:rPr>
              <w:t>1</w:t>
            </w:r>
          </w:p>
        </w:tc>
        <w:tc>
          <w:tcPr>
            <w:tcW w:w="557" w:type="pct"/>
            <w:vAlign w:val="center"/>
          </w:tcPr>
          <w:p w14:paraId="5A5DB430">
            <w:pPr>
              <w:snapToGrid w:val="0"/>
              <w:jc w:val="center"/>
              <w:rPr>
                <w:szCs w:val="21"/>
              </w:rPr>
            </w:pPr>
            <w:r>
              <w:rPr>
                <w:szCs w:val="21"/>
              </w:rPr>
              <w:t>1</w:t>
            </w:r>
          </w:p>
        </w:tc>
        <w:tc>
          <w:tcPr>
            <w:tcW w:w="362" w:type="pct"/>
            <w:vAlign w:val="center"/>
          </w:tcPr>
          <w:p w14:paraId="43464821">
            <w:pPr>
              <w:snapToGrid w:val="0"/>
              <w:jc w:val="center"/>
              <w:rPr>
                <w:szCs w:val="21"/>
              </w:rPr>
            </w:pPr>
            <w:r>
              <w:rPr>
                <w:szCs w:val="21"/>
              </w:rPr>
              <w:t>0</w:t>
            </w:r>
          </w:p>
        </w:tc>
        <w:tc>
          <w:tcPr>
            <w:tcW w:w="793" w:type="pct"/>
            <w:vAlign w:val="center"/>
          </w:tcPr>
          <w:p w14:paraId="48C2C0F7">
            <w:pPr>
              <w:snapToGrid w:val="0"/>
              <w:jc w:val="center"/>
              <w:rPr>
                <w:szCs w:val="21"/>
              </w:rPr>
            </w:pPr>
            <w:r>
              <w:rPr>
                <w:szCs w:val="21"/>
              </w:rPr>
              <w:t>国产</w:t>
            </w:r>
          </w:p>
        </w:tc>
      </w:tr>
      <w:tr w14:paraId="6B29A1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696FD97">
            <w:pPr>
              <w:snapToGrid w:val="0"/>
              <w:jc w:val="center"/>
              <w:rPr>
                <w:szCs w:val="21"/>
              </w:rPr>
            </w:pPr>
            <w:r>
              <w:rPr>
                <w:szCs w:val="21"/>
              </w:rPr>
              <w:t>49</w:t>
            </w:r>
          </w:p>
        </w:tc>
        <w:tc>
          <w:tcPr>
            <w:tcW w:w="354" w:type="pct"/>
            <w:vMerge w:val="continue"/>
            <w:vAlign w:val="center"/>
          </w:tcPr>
          <w:p w14:paraId="0CE5A324">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536C96A">
            <w:pPr>
              <w:snapToGrid w:val="0"/>
              <w:jc w:val="center"/>
              <w:rPr>
                <w:szCs w:val="21"/>
              </w:rPr>
            </w:pPr>
            <w:r>
              <w:rPr>
                <w:szCs w:val="21"/>
              </w:rPr>
              <w:t>自动涂胶机</w:t>
            </w:r>
          </w:p>
        </w:tc>
        <w:tc>
          <w:tcPr>
            <w:tcW w:w="1285" w:type="pct"/>
            <w:vAlign w:val="center"/>
          </w:tcPr>
          <w:p w14:paraId="7E2716AA">
            <w:pPr>
              <w:snapToGrid w:val="0"/>
              <w:jc w:val="center"/>
              <w:rPr>
                <w:szCs w:val="21"/>
              </w:rPr>
            </w:pPr>
            <w:r>
              <w:rPr>
                <w:szCs w:val="21"/>
              </w:rPr>
              <w:t>/</w:t>
            </w:r>
          </w:p>
        </w:tc>
        <w:tc>
          <w:tcPr>
            <w:tcW w:w="456" w:type="pct"/>
            <w:vAlign w:val="center"/>
          </w:tcPr>
          <w:p w14:paraId="578ABA00">
            <w:pPr>
              <w:snapToGrid w:val="0"/>
              <w:jc w:val="center"/>
              <w:rPr>
                <w:szCs w:val="21"/>
              </w:rPr>
            </w:pPr>
            <w:r>
              <w:rPr>
                <w:szCs w:val="21"/>
              </w:rPr>
              <w:t>0</w:t>
            </w:r>
          </w:p>
        </w:tc>
        <w:tc>
          <w:tcPr>
            <w:tcW w:w="557" w:type="pct"/>
            <w:vAlign w:val="center"/>
          </w:tcPr>
          <w:p w14:paraId="78945153">
            <w:pPr>
              <w:snapToGrid w:val="0"/>
              <w:jc w:val="center"/>
              <w:rPr>
                <w:szCs w:val="21"/>
              </w:rPr>
            </w:pPr>
            <w:r>
              <w:rPr>
                <w:szCs w:val="21"/>
              </w:rPr>
              <w:t>3</w:t>
            </w:r>
          </w:p>
        </w:tc>
        <w:tc>
          <w:tcPr>
            <w:tcW w:w="362" w:type="pct"/>
            <w:vAlign w:val="center"/>
          </w:tcPr>
          <w:p w14:paraId="405F2E6D">
            <w:pPr>
              <w:snapToGrid w:val="0"/>
              <w:jc w:val="center"/>
              <w:rPr>
                <w:szCs w:val="21"/>
              </w:rPr>
            </w:pPr>
            <w:r>
              <w:rPr>
                <w:szCs w:val="21"/>
              </w:rPr>
              <w:t>+3</w:t>
            </w:r>
          </w:p>
        </w:tc>
        <w:tc>
          <w:tcPr>
            <w:tcW w:w="793" w:type="pct"/>
            <w:vAlign w:val="center"/>
          </w:tcPr>
          <w:p w14:paraId="725A2B1C">
            <w:pPr>
              <w:snapToGrid w:val="0"/>
              <w:jc w:val="center"/>
              <w:rPr>
                <w:szCs w:val="21"/>
              </w:rPr>
            </w:pPr>
            <w:r>
              <w:rPr>
                <w:szCs w:val="21"/>
              </w:rPr>
              <w:t>国产</w:t>
            </w:r>
          </w:p>
        </w:tc>
      </w:tr>
      <w:tr w14:paraId="155086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A892A67">
            <w:pPr>
              <w:snapToGrid w:val="0"/>
              <w:jc w:val="center"/>
              <w:rPr>
                <w:szCs w:val="21"/>
              </w:rPr>
            </w:pPr>
            <w:r>
              <w:rPr>
                <w:szCs w:val="21"/>
              </w:rPr>
              <w:t>50</w:t>
            </w:r>
          </w:p>
        </w:tc>
        <w:tc>
          <w:tcPr>
            <w:tcW w:w="354" w:type="pct"/>
            <w:vMerge w:val="continue"/>
            <w:vAlign w:val="center"/>
          </w:tcPr>
          <w:p w14:paraId="5413422A">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DA881D4">
            <w:pPr>
              <w:snapToGrid w:val="0"/>
              <w:jc w:val="center"/>
              <w:rPr>
                <w:szCs w:val="21"/>
              </w:rPr>
            </w:pPr>
            <w:r>
              <w:rPr>
                <w:szCs w:val="21"/>
              </w:rPr>
              <w:t>滚筒式浸渍机</w:t>
            </w:r>
          </w:p>
        </w:tc>
        <w:tc>
          <w:tcPr>
            <w:tcW w:w="1285" w:type="pct"/>
            <w:vAlign w:val="center"/>
          </w:tcPr>
          <w:p w14:paraId="33C76AA5">
            <w:pPr>
              <w:snapToGrid w:val="0"/>
              <w:jc w:val="center"/>
              <w:rPr>
                <w:szCs w:val="21"/>
              </w:rPr>
            </w:pPr>
            <w:r>
              <w:rPr>
                <w:szCs w:val="21"/>
              </w:rPr>
              <w:t>KPX-3A/TMJH400-Ⅲ</w:t>
            </w:r>
          </w:p>
        </w:tc>
        <w:tc>
          <w:tcPr>
            <w:tcW w:w="456" w:type="pct"/>
            <w:vAlign w:val="center"/>
          </w:tcPr>
          <w:p w14:paraId="5FDDBCCF">
            <w:pPr>
              <w:snapToGrid w:val="0"/>
              <w:jc w:val="center"/>
              <w:rPr>
                <w:szCs w:val="21"/>
              </w:rPr>
            </w:pPr>
            <w:r>
              <w:rPr>
                <w:szCs w:val="21"/>
              </w:rPr>
              <w:t>3</w:t>
            </w:r>
          </w:p>
        </w:tc>
        <w:tc>
          <w:tcPr>
            <w:tcW w:w="557" w:type="pct"/>
            <w:vAlign w:val="center"/>
          </w:tcPr>
          <w:p w14:paraId="79D58EA4">
            <w:pPr>
              <w:snapToGrid w:val="0"/>
              <w:jc w:val="center"/>
              <w:rPr>
                <w:szCs w:val="21"/>
              </w:rPr>
            </w:pPr>
            <w:r>
              <w:rPr>
                <w:szCs w:val="21"/>
              </w:rPr>
              <w:t>3</w:t>
            </w:r>
          </w:p>
        </w:tc>
        <w:tc>
          <w:tcPr>
            <w:tcW w:w="362" w:type="pct"/>
            <w:vAlign w:val="center"/>
          </w:tcPr>
          <w:p w14:paraId="3861136C">
            <w:pPr>
              <w:snapToGrid w:val="0"/>
              <w:jc w:val="center"/>
              <w:rPr>
                <w:szCs w:val="21"/>
              </w:rPr>
            </w:pPr>
            <w:r>
              <w:rPr>
                <w:szCs w:val="21"/>
              </w:rPr>
              <w:t>0</w:t>
            </w:r>
          </w:p>
        </w:tc>
        <w:tc>
          <w:tcPr>
            <w:tcW w:w="793" w:type="pct"/>
            <w:vAlign w:val="center"/>
          </w:tcPr>
          <w:p w14:paraId="115D6BA3">
            <w:pPr>
              <w:snapToGrid w:val="0"/>
              <w:jc w:val="center"/>
              <w:rPr>
                <w:szCs w:val="21"/>
              </w:rPr>
            </w:pPr>
            <w:r>
              <w:rPr>
                <w:szCs w:val="21"/>
              </w:rPr>
              <w:t>国产</w:t>
            </w:r>
          </w:p>
        </w:tc>
      </w:tr>
      <w:tr w14:paraId="406C7E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42026B2">
            <w:pPr>
              <w:snapToGrid w:val="0"/>
              <w:jc w:val="center"/>
              <w:rPr>
                <w:szCs w:val="21"/>
              </w:rPr>
            </w:pPr>
            <w:r>
              <w:rPr>
                <w:szCs w:val="21"/>
              </w:rPr>
              <w:t>51</w:t>
            </w:r>
          </w:p>
        </w:tc>
        <w:tc>
          <w:tcPr>
            <w:tcW w:w="354" w:type="pct"/>
            <w:vMerge w:val="continue"/>
            <w:vAlign w:val="center"/>
          </w:tcPr>
          <w:p w14:paraId="61701283">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CFD1AA6">
            <w:pPr>
              <w:snapToGrid w:val="0"/>
              <w:jc w:val="center"/>
              <w:rPr>
                <w:szCs w:val="21"/>
              </w:rPr>
            </w:pPr>
            <w:r>
              <w:rPr>
                <w:szCs w:val="21"/>
              </w:rPr>
              <w:t>涂胶预烘机</w:t>
            </w:r>
          </w:p>
        </w:tc>
        <w:tc>
          <w:tcPr>
            <w:tcW w:w="1285" w:type="pct"/>
            <w:vAlign w:val="center"/>
          </w:tcPr>
          <w:p w14:paraId="3629E76D">
            <w:pPr>
              <w:snapToGrid w:val="0"/>
              <w:jc w:val="center"/>
              <w:rPr>
                <w:szCs w:val="21"/>
              </w:rPr>
            </w:pPr>
            <w:r>
              <w:rPr>
                <w:szCs w:val="21"/>
              </w:rPr>
              <w:t>/</w:t>
            </w:r>
          </w:p>
        </w:tc>
        <w:tc>
          <w:tcPr>
            <w:tcW w:w="456" w:type="pct"/>
            <w:vAlign w:val="center"/>
          </w:tcPr>
          <w:p w14:paraId="333169FB">
            <w:pPr>
              <w:snapToGrid w:val="0"/>
              <w:jc w:val="center"/>
              <w:rPr>
                <w:szCs w:val="21"/>
              </w:rPr>
            </w:pPr>
            <w:r>
              <w:rPr>
                <w:szCs w:val="21"/>
              </w:rPr>
              <w:t>1</w:t>
            </w:r>
          </w:p>
        </w:tc>
        <w:tc>
          <w:tcPr>
            <w:tcW w:w="557" w:type="pct"/>
            <w:vAlign w:val="center"/>
          </w:tcPr>
          <w:p w14:paraId="147320DF">
            <w:pPr>
              <w:snapToGrid w:val="0"/>
              <w:jc w:val="center"/>
              <w:rPr>
                <w:szCs w:val="21"/>
              </w:rPr>
            </w:pPr>
            <w:r>
              <w:rPr>
                <w:szCs w:val="21"/>
              </w:rPr>
              <w:t>1</w:t>
            </w:r>
          </w:p>
        </w:tc>
        <w:tc>
          <w:tcPr>
            <w:tcW w:w="362" w:type="pct"/>
            <w:vAlign w:val="center"/>
          </w:tcPr>
          <w:p w14:paraId="2A3F5CC6">
            <w:pPr>
              <w:snapToGrid w:val="0"/>
              <w:jc w:val="center"/>
              <w:rPr>
                <w:szCs w:val="21"/>
              </w:rPr>
            </w:pPr>
            <w:r>
              <w:rPr>
                <w:szCs w:val="21"/>
              </w:rPr>
              <w:t>0</w:t>
            </w:r>
          </w:p>
        </w:tc>
        <w:tc>
          <w:tcPr>
            <w:tcW w:w="793" w:type="pct"/>
            <w:vAlign w:val="center"/>
          </w:tcPr>
          <w:p w14:paraId="322F9EF9">
            <w:pPr>
              <w:snapToGrid w:val="0"/>
              <w:jc w:val="center"/>
              <w:rPr>
                <w:szCs w:val="21"/>
              </w:rPr>
            </w:pPr>
            <w:r>
              <w:rPr>
                <w:szCs w:val="21"/>
              </w:rPr>
              <w:t>国产</w:t>
            </w:r>
          </w:p>
        </w:tc>
      </w:tr>
      <w:tr w14:paraId="50C2C1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D981ADA">
            <w:pPr>
              <w:snapToGrid w:val="0"/>
              <w:jc w:val="center"/>
              <w:rPr>
                <w:szCs w:val="21"/>
              </w:rPr>
            </w:pPr>
            <w:r>
              <w:rPr>
                <w:szCs w:val="21"/>
              </w:rPr>
              <w:t>52</w:t>
            </w:r>
          </w:p>
        </w:tc>
        <w:tc>
          <w:tcPr>
            <w:tcW w:w="354" w:type="pct"/>
            <w:vMerge w:val="continue"/>
            <w:vAlign w:val="center"/>
          </w:tcPr>
          <w:p w14:paraId="098ABFED">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D7B5DED">
            <w:pPr>
              <w:snapToGrid w:val="0"/>
              <w:jc w:val="center"/>
              <w:rPr>
                <w:szCs w:val="21"/>
              </w:rPr>
            </w:pPr>
            <w:r>
              <w:rPr>
                <w:szCs w:val="21"/>
              </w:rPr>
              <w:t>涂胶烘炉</w:t>
            </w:r>
          </w:p>
        </w:tc>
        <w:tc>
          <w:tcPr>
            <w:tcW w:w="1285" w:type="pct"/>
            <w:vAlign w:val="center"/>
          </w:tcPr>
          <w:p w14:paraId="47092513">
            <w:pPr>
              <w:snapToGrid w:val="0"/>
              <w:jc w:val="center"/>
              <w:rPr>
                <w:szCs w:val="21"/>
              </w:rPr>
            </w:pPr>
            <w:r>
              <w:rPr>
                <w:szCs w:val="21"/>
              </w:rPr>
              <w:t>/</w:t>
            </w:r>
          </w:p>
        </w:tc>
        <w:tc>
          <w:tcPr>
            <w:tcW w:w="456" w:type="pct"/>
            <w:vAlign w:val="center"/>
          </w:tcPr>
          <w:p w14:paraId="7424045F">
            <w:pPr>
              <w:snapToGrid w:val="0"/>
              <w:jc w:val="center"/>
              <w:rPr>
                <w:szCs w:val="21"/>
              </w:rPr>
            </w:pPr>
            <w:r>
              <w:rPr>
                <w:szCs w:val="21"/>
              </w:rPr>
              <w:t>1</w:t>
            </w:r>
          </w:p>
        </w:tc>
        <w:tc>
          <w:tcPr>
            <w:tcW w:w="557" w:type="pct"/>
            <w:vAlign w:val="center"/>
          </w:tcPr>
          <w:p w14:paraId="0C3B815C">
            <w:pPr>
              <w:snapToGrid w:val="0"/>
              <w:jc w:val="center"/>
              <w:rPr>
                <w:szCs w:val="21"/>
              </w:rPr>
            </w:pPr>
            <w:r>
              <w:rPr>
                <w:szCs w:val="21"/>
              </w:rPr>
              <w:t>1</w:t>
            </w:r>
          </w:p>
        </w:tc>
        <w:tc>
          <w:tcPr>
            <w:tcW w:w="362" w:type="pct"/>
            <w:vAlign w:val="center"/>
          </w:tcPr>
          <w:p w14:paraId="5B7EA62D">
            <w:pPr>
              <w:snapToGrid w:val="0"/>
              <w:jc w:val="center"/>
              <w:rPr>
                <w:szCs w:val="21"/>
              </w:rPr>
            </w:pPr>
            <w:r>
              <w:rPr>
                <w:szCs w:val="21"/>
              </w:rPr>
              <w:t>0</w:t>
            </w:r>
          </w:p>
        </w:tc>
        <w:tc>
          <w:tcPr>
            <w:tcW w:w="793" w:type="pct"/>
            <w:vAlign w:val="center"/>
          </w:tcPr>
          <w:p w14:paraId="54BAE8AB">
            <w:pPr>
              <w:snapToGrid w:val="0"/>
              <w:jc w:val="center"/>
              <w:rPr>
                <w:szCs w:val="21"/>
              </w:rPr>
            </w:pPr>
            <w:r>
              <w:rPr>
                <w:szCs w:val="21"/>
              </w:rPr>
              <w:t>国产</w:t>
            </w:r>
          </w:p>
        </w:tc>
      </w:tr>
      <w:tr w14:paraId="121983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93B3E16">
            <w:pPr>
              <w:snapToGrid w:val="0"/>
              <w:jc w:val="center"/>
              <w:rPr>
                <w:szCs w:val="21"/>
              </w:rPr>
            </w:pPr>
            <w:r>
              <w:rPr>
                <w:szCs w:val="21"/>
              </w:rPr>
              <w:t>53</w:t>
            </w:r>
          </w:p>
        </w:tc>
        <w:tc>
          <w:tcPr>
            <w:tcW w:w="354" w:type="pct"/>
            <w:vMerge w:val="continue"/>
            <w:vAlign w:val="center"/>
          </w:tcPr>
          <w:p w14:paraId="1CD44BB9">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272DD33">
            <w:pPr>
              <w:snapToGrid w:val="0"/>
              <w:jc w:val="center"/>
              <w:rPr>
                <w:szCs w:val="21"/>
              </w:rPr>
            </w:pPr>
            <w:r>
              <w:rPr>
                <w:szCs w:val="21"/>
              </w:rPr>
              <w:t>烘干线</w:t>
            </w:r>
          </w:p>
        </w:tc>
        <w:tc>
          <w:tcPr>
            <w:tcW w:w="1285" w:type="pct"/>
            <w:vAlign w:val="center"/>
          </w:tcPr>
          <w:p w14:paraId="692E8248">
            <w:pPr>
              <w:snapToGrid w:val="0"/>
              <w:jc w:val="center"/>
              <w:rPr>
                <w:szCs w:val="21"/>
              </w:rPr>
            </w:pPr>
            <w:r>
              <w:rPr>
                <w:szCs w:val="21"/>
              </w:rPr>
              <w:t>TMJH400-Ⅲ</w:t>
            </w:r>
          </w:p>
        </w:tc>
        <w:tc>
          <w:tcPr>
            <w:tcW w:w="456" w:type="pct"/>
            <w:vAlign w:val="center"/>
          </w:tcPr>
          <w:p w14:paraId="5D431447">
            <w:pPr>
              <w:snapToGrid w:val="0"/>
              <w:jc w:val="center"/>
              <w:rPr>
                <w:szCs w:val="21"/>
              </w:rPr>
            </w:pPr>
            <w:r>
              <w:rPr>
                <w:szCs w:val="21"/>
              </w:rPr>
              <w:t>1</w:t>
            </w:r>
          </w:p>
        </w:tc>
        <w:tc>
          <w:tcPr>
            <w:tcW w:w="557" w:type="pct"/>
            <w:vAlign w:val="center"/>
          </w:tcPr>
          <w:p w14:paraId="1B292633">
            <w:pPr>
              <w:snapToGrid w:val="0"/>
              <w:jc w:val="center"/>
              <w:rPr>
                <w:szCs w:val="21"/>
              </w:rPr>
            </w:pPr>
            <w:r>
              <w:rPr>
                <w:szCs w:val="21"/>
              </w:rPr>
              <w:t>1</w:t>
            </w:r>
          </w:p>
        </w:tc>
        <w:tc>
          <w:tcPr>
            <w:tcW w:w="362" w:type="pct"/>
            <w:vAlign w:val="center"/>
          </w:tcPr>
          <w:p w14:paraId="04185888">
            <w:pPr>
              <w:snapToGrid w:val="0"/>
              <w:jc w:val="center"/>
              <w:rPr>
                <w:szCs w:val="21"/>
              </w:rPr>
            </w:pPr>
            <w:r>
              <w:rPr>
                <w:szCs w:val="21"/>
              </w:rPr>
              <w:t>0</w:t>
            </w:r>
          </w:p>
        </w:tc>
        <w:tc>
          <w:tcPr>
            <w:tcW w:w="793" w:type="pct"/>
            <w:vAlign w:val="center"/>
          </w:tcPr>
          <w:p w14:paraId="691F8765">
            <w:pPr>
              <w:snapToGrid w:val="0"/>
              <w:jc w:val="center"/>
              <w:rPr>
                <w:szCs w:val="21"/>
              </w:rPr>
            </w:pPr>
            <w:r>
              <w:rPr>
                <w:szCs w:val="21"/>
              </w:rPr>
              <w:t>国产</w:t>
            </w:r>
          </w:p>
        </w:tc>
      </w:tr>
      <w:tr w14:paraId="5CF3802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8E15993">
            <w:pPr>
              <w:snapToGrid w:val="0"/>
              <w:jc w:val="center"/>
              <w:rPr>
                <w:szCs w:val="21"/>
              </w:rPr>
            </w:pPr>
            <w:r>
              <w:rPr>
                <w:szCs w:val="21"/>
              </w:rPr>
              <w:t>54</w:t>
            </w:r>
          </w:p>
        </w:tc>
        <w:tc>
          <w:tcPr>
            <w:tcW w:w="354" w:type="pct"/>
            <w:vMerge w:val="continue"/>
            <w:vAlign w:val="center"/>
          </w:tcPr>
          <w:p w14:paraId="477C2077">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9FF91DA">
            <w:pPr>
              <w:snapToGrid w:val="0"/>
              <w:jc w:val="center"/>
              <w:rPr>
                <w:szCs w:val="21"/>
              </w:rPr>
            </w:pPr>
            <w:r>
              <w:rPr>
                <w:szCs w:val="21"/>
              </w:rPr>
              <w:t>手动涂胶机</w:t>
            </w:r>
          </w:p>
        </w:tc>
        <w:tc>
          <w:tcPr>
            <w:tcW w:w="1285" w:type="pct"/>
            <w:vAlign w:val="center"/>
          </w:tcPr>
          <w:p w14:paraId="353AB193">
            <w:pPr>
              <w:snapToGrid w:val="0"/>
              <w:jc w:val="center"/>
              <w:rPr>
                <w:szCs w:val="21"/>
              </w:rPr>
            </w:pPr>
            <w:r>
              <w:rPr>
                <w:szCs w:val="21"/>
              </w:rPr>
              <w:t>/</w:t>
            </w:r>
          </w:p>
        </w:tc>
        <w:tc>
          <w:tcPr>
            <w:tcW w:w="456" w:type="pct"/>
            <w:vAlign w:val="center"/>
          </w:tcPr>
          <w:p w14:paraId="6C677A23">
            <w:pPr>
              <w:snapToGrid w:val="0"/>
              <w:jc w:val="center"/>
              <w:rPr>
                <w:szCs w:val="21"/>
              </w:rPr>
            </w:pPr>
            <w:r>
              <w:rPr>
                <w:szCs w:val="21"/>
              </w:rPr>
              <w:t>2</w:t>
            </w:r>
          </w:p>
        </w:tc>
        <w:tc>
          <w:tcPr>
            <w:tcW w:w="557" w:type="pct"/>
            <w:vAlign w:val="center"/>
          </w:tcPr>
          <w:p w14:paraId="576C5295">
            <w:pPr>
              <w:snapToGrid w:val="0"/>
              <w:jc w:val="center"/>
              <w:rPr>
                <w:szCs w:val="21"/>
              </w:rPr>
            </w:pPr>
            <w:r>
              <w:rPr>
                <w:szCs w:val="21"/>
              </w:rPr>
              <w:t>2</w:t>
            </w:r>
          </w:p>
        </w:tc>
        <w:tc>
          <w:tcPr>
            <w:tcW w:w="362" w:type="pct"/>
            <w:vAlign w:val="center"/>
          </w:tcPr>
          <w:p w14:paraId="49EF42FB">
            <w:pPr>
              <w:snapToGrid w:val="0"/>
              <w:jc w:val="center"/>
              <w:rPr>
                <w:szCs w:val="21"/>
              </w:rPr>
            </w:pPr>
            <w:r>
              <w:rPr>
                <w:szCs w:val="21"/>
              </w:rPr>
              <w:t>0</w:t>
            </w:r>
          </w:p>
        </w:tc>
        <w:tc>
          <w:tcPr>
            <w:tcW w:w="793" w:type="pct"/>
            <w:vAlign w:val="center"/>
          </w:tcPr>
          <w:p w14:paraId="2846E637">
            <w:pPr>
              <w:snapToGrid w:val="0"/>
              <w:jc w:val="center"/>
              <w:rPr>
                <w:szCs w:val="21"/>
              </w:rPr>
            </w:pPr>
            <w:r>
              <w:rPr>
                <w:szCs w:val="21"/>
              </w:rPr>
              <w:t>国产</w:t>
            </w:r>
          </w:p>
        </w:tc>
      </w:tr>
      <w:tr w14:paraId="786F68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936FE9E">
            <w:pPr>
              <w:snapToGrid w:val="0"/>
              <w:jc w:val="center"/>
              <w:rPr>
                <w:szCs w:val="21"/>
              </w:rPr>
            </w:pPr>
            <w:r>
              <w:rPr>
                <w:szCs w:val="21"/>
              </w:rPr>
              <w:t>55</w:t>
            </w:r>
          </w:p>
        </w:tc>
        <w:tc>
          <w:tcPr>
            <w:tcW w:w="354" w:type="pct"/>
            <w:vMerge w:val="continue"/>
            <w:vAlign w:val="center"/>
          </w:tcPr>
          <w:p w14:paraId="4748351D">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426AF1B">
            <w:pPr>
              <w:snapToGrid w:val="0"/>
              <w:jc w:val="center"/>
              <w:rPr>
                <w:szCs w:val="21"/>
              </w:rPr>
            </w:pPr>
            <w:r>
              <w:rPr>
                <w:szCs w:val="21"/>
              </w:rPr>
              <w:t>烧付机</w:t>
            </w:r>
          </w:p>
        </w:tc>
        <w:tc>
          <w:tcPr>
            <w:tcW w:w="1285" w:type="pct"/>
            <w:vAlign w:val="center"/>
          </w:tcPr>
          <w:p w14:paraId="681295D5">
            <w:pPr>
              <w:snapToGrid w:val="0"/>
              <w:jc w:val="center"/>
              <w:rPr>
                <w:szCs w:val="21"/>
              </w:rPr>
            </w:pPr>
            <w:r>
              <w:rPr>
                <w:szCs w:val="21"/>
              </w:rPr>
              <w:t>/</w:t>
            </w:r>
          </w:p>
        </w:tc>
        <w:tc>
          <w:tcPr>
            <w:tcW w:w="456" w:type="pct"/>
            <w:vAlign w:val="center"/>
          </w:tcPr>
          <w:p w14:paraId="47A97EF6">
            <w:pPr>
              <w:snapToGrid w:val="0"/>
              <w:jc w:val="center"/>
              <w:rPr>
                <w:szCs w:val="21"/>
              </w:rPr>
            </w:pPr>
            <w:r>
              <w:rPr>
                <w:szCs w:val="21"/>
              </w:rPr>
              <w:t>1</w:t>
            </w:r>
          </w:p>
        </w:tc>
        <w:tc>
          <w:tcPr>
            <w:tcW w:w="557" w:type="pct"/>
            <w:vAlign w:val="center"/>
          </w:tcPr>
          <w:p w14:paraId="3F80D315">
            <w:pPr>
              <w:snapToGrid w:val="0"/>
              <w:jc w:val="center"/>
              <w:rPr>
                <w:szCs w:val="21"/>
              </w:rPr>
            </w:pPr>
            <w:r>
              <w:rPr>
                <w:szCs w:val="21"/>
              </w:rPr>
              <w:t>1</w:t>
            </w:r>
          </w:p>
        </w:tc>
        <w:tc>
          <w:tcPr>
            <w:tcW w:w="362" w:type="pct"/>
            <w:vAlign w:val="center"/>
          </w:tcPr>
          <w:p w14:paraId="39EF7AE2">
            <w:pPr>
              <w:snapToGrid w:val="0"/>
              <w:jc w:val="center"/>
              <w:rPr>
                <w:szCs w:val="21"/>
              </w:rPr>
            </w:pPr>
            <w:r>
              <w:rPr>
                <w:szCs w:val="21"/>
              </w:rPr>
              <w:t>0</w:t>
            </w:r>
          </w:p>
        </w:tc>
        <w:tc>
          <w:tcPr>
            <w:tcW w:w="793" w:type="pct"/>
            <w:vAlign w:val="center"/>
          </w:tcPr>
          <w:p w14:paraId="5146A641">
            <w:pPr>
              <w:snapToGrid w:val="0"/>
              <w:jc w:val="center"/>
              <w:rPr>
                <w:szCs w:val="21"/>
              </w:rPr>
            </w:pPr>
            <w:r>
              <w:rPr>
                <w:szCs w:val="21"/>
              </w:rPr>
              <w:t>国产</w:t>
            </w:r>
          </w:p>
        </w:tc>
      </w:tr>
      <w:tr w14:paraId="7F217B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465DED3">
            <w:pPr>
              <w:snapToGrid w:val="0"/>
              <w:jc w:val="center"/>
              <w:rPr>
                <w:szCs w:val="21"/>
              </w:rPr>
            </w:pPr>
            <w:r>
              <w:rPr>
                <w:szCs w:val="21"/>
              </w:rPr>
              <w:t>56</w:t>
            </w:r>
          </w:p>
        </w:tc>
        <w:tc>
          <w:tcPr>
            <w:tcW w:w="354" w:type="pct"/>
            <w:vMerge w:val="continue"/>
            <w:vAlign w:val="center"/>
          </w:tcPr>
          <w:p w14:paraId="7B579770">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92F13B2">
            <w:pPr>
              <w:snapToGrid w:val="0"/>
              <w:jc w:val="center"/>
              <w:rPr>
                <w:szCs w:val="21"/>
              </w:rPr>
            </w:pPr>
            <w:r>
              <w:rPr>
                <w:szCs w:val="21"/>
              </w:rPr>
              <w:t>旁板型加硫机</w:t>
            </w:r>
          </w:p>
        </w:tc>
        <w:tc>
          <w:tcPr>
            <w:tcW w:w="1285" w:type="pct"/>
            <w:vAlign w:val="center"/>
          </w:tcPr>
          <w:p w14:paraId="01EC3942">
            <w:pPr>
              <w:snapToGrid w:val="0"/>
              <w:jc w:val="center"/>
              <w:rPr>
                <w:szCs w:val="21"/>
              </w:rPr>
            </w:pPr>
            <w:r>
              <w:rPr>
                <w:szCs w:val="21"/>
              </w:rPr>
              <w:t>S-V-100-2RT/S-V-80-2RT</w:t>
            </w:r>
          </w:p>
        </w:tc>
        <w:tc>
          <w:tcPr>
            <w:tcW w:w="456" w:type="pct"/>
            <w:vAlign w:val="center"/>
          </w:tcPr>
          <w:p w14:paraId="56C04A84">
            <w:pPr>
              <w:snapToGrid w:val="0"/>
              <w:jc w:val="center"/>
              <w:rPr>
                <w:szCs w:val="21"/>
              </w:rPr>
            </w:pPr>
            <w:r>
              <w:rPr>
                <w:rFonts w:hint="eastAsia"/>
                <w:szCs w:val="21"/>
              </w:rPr>
              <w:t>32</w:t>
            </w:r>
          </w:p>
        </w:tc>
        <w:tc>
          <w:tcPr>
            <w:tcW w:w="557" w:type="pct"/>
            <w:vAlign w:val="center"/>
          </w:tcPr>
          <w:p w14:paraId="1E07525B">
            <w:pPr>
              <w:snapToGrid w:val="0"/>
              <w:jc w:val="center"/>
              <w:rPr>
                <w:szCs w:val="21"/>
              </w:rPr>
            </w:pPr>
            <w:r>
              <w:rPr>
                <w:rFonts w:hint="eastAsia"/>
                <w:szCs w:val="21"/>
              </w:rPr>
              <w:t>32</w:t>
            </w:r>
          </w:p>
        </w:tc>
        <w:tc>
          <w:tcPr>
            <w:tcW w:w="362" w:type="pct"/>
            <w:vAlign w:val="center"/>
          </w:tcPr>
          <w:p w14:paraId="6C1D3EA6">
            <w:pPr>
              <w:snapToGrid w:val="0"/>
              <w:jc w:val="center"/>
              <w:rPr>
                <w:szCs w:val="21"/>
              </w:rPr>
            </w:pPr>
            <w:r>
              <w:rPr>
                <w:szCs w:val="21"/>
              </w:rPr>
              <w:t>0</w:t>
            </w:r>
          </w:p>
        </w:tc>
        <w:tc>
          <w:tcPr>
            <w:tcW w:w="793" w:type="pct"/>
            <w:vAlign w:val="center"/>
          </w:tcPr>
          <w:p w14:paraId="0CA2ED3B">
            <w:pPr>
              <w:snapToGrid w:val="0"/>
              <w:jc w:val="center"/>
              <w:rPr>
                <w:szCs w:val="21"/>
              </w:rPr>
            </w:pPr>
            <w:r>
              <w:rPr>
                <w:szCs w:val="21"/>
              </w:rPr>
              <w:t>国产</w:t>
            </w:r>
          </w:p>
        </w:tc>
      </w:tr>
      <w:tr w14:paraId="3AE0A8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6C237F7">
            <w:pPr>
              <w:snapToGrid w:val="0"/>
              <w:jc w:val="center"/>
              <w:rPr>
                <w:szCs w:val="21"/>
              </w:rPr>
            </w:pPr>
            <w:r>
              <w:rPr>
                <w:szCs w:val="21"/>
              </w:rPr>
              <w:t>57</w:t>
            </w:r>
          </w:p>
        </w:tc>
        <w:tc>
          <w:tcPr>
            <w:tcW w:w="354" w:type="pct"/>
            <w:vMerge w:val="continue"/>
            <w:vAlign w:val="center"/>
          </w:tcPr>
          <w:p w14:paraId="614F633B">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7E0EBDA">
            <w:pPr>
              <w:snapToGrid w:val="0"/>
              <w:jc w:val="center"/>
              <w:rPr>
                <w:szCs w:val="21"/>
              </w:rPr>
            </w:pPr>
            <w:r>
              <w:rPr>
                <w:szCs w:val="21"/>
              </w:rPr>
              <w:t>注射加硫机</w:t>
            </w:r>
          </w:p>
        </w:tc>
        <w:tc>
          <w:tcPr>
            <w:tcW w:w="1285" w:type="pct"/>
            <w:vAlign w:val="center"/>
          </w:tcPr>
          <w:p w14:paraId="6591B444">
            <w:pPr>
              <w:snapToGrid w:val="0"/>
              <w:jc w:val="center"/>
              <w:rPr>
                <w:szCs w:val="21"/>
              </w:rPr>
            </w:pPr>
            <w:r>
              <w:rPr>
                <w:szCs w:val="21"/>
              </w:rPr>
              <w:t>RH-200/INJ-V-200-300</w:t>
            </w:r>
          </w:p>
        </w:tc>
        <w:tc>
          <w:tcPr>
            <w:tcW w:w="456" w:type="pct"/>
            <w:vAlign w:val="center"/>
          </w:tcPr>
          <w:p w14:paraId="174777BC">
            <w:pPr>
              <w:snapToGrid w:val="0"/>
              <w:jc w:val="center"/>
              <w:rPr>
                <w:szCs w:val="21"/>
              </w:rPr>
            </w:pPr>
            <w:r>
              <w:rPr>
                <w:rFonts w:hint="eastAsia"/>
                <w:szCs w:val="21"/>
              </w:rPr>
              <w:t>40</w:t>
            </w:r>
          </w:p>
        </w:tc>
        <w:tc>
          <w:tcPr>
            <w:tcW w:w="557" w:type="pct"/>
            <w:vAlign w:val="center"/>
          </w:tcPr>
          <w:p w14:paraId="63538341">
            <w:pPr>
              <w:snapToGrid w:val="0"/>
              <w:jc w:val="center"/>
              <w:rPr>
                <w:szCs w:val="21"/>
              </w:rPr>
            </w:pPr>
            <w:r>
              <w:rPr>
                <w:rFonts w:hint="eastAsia"/>
                <w:szCs w:val="21"/>
              </w:rPr>
              <w:t>40</w:t>
            </w:r>
          </w:p>
        </w:tc>
        <w:tc>
          <w:tcPr>
            <w:tcW w:w="362" w:type="pct"/>
            <w:vAlign w:val="center"/>
          </w:tcPr>
          <w:p w14:paraId="3A8468E7">
            <w:pPr>
              <w:snapToGrid w:val="0"/>
              <w:jc w:val="center"/>
              <w:rPr>
                <w:szCs w:val="21"/>
              </w:rPr>
            </w:pPr>
            <w:r>
              <w:rPr>
                <w:szCs w:val="21"/>
              </w:rPr>
              <w:t>0</w:t>
            </w:r>
          </w:p>
        </w:tc>
        <w:tc>
          <w:tcPr>
            <w:tcW w:w="793" w:type="pct"/>
            <w:vAlign w:val="center"/>
          </w:tcPr>
          <w:p w14:paraId="0EC7F813">
            <w:pPr>
              <w:snapToGrid w:val="0"/>
              <w:jc w:val="center"/>
              <w:rPr>
                <w:szCs w:val="21"/>
              </w:rPr>
            </w:pPr>
            <w:r>
              <w:rPr>
                <w:szCs w:val="21"/>
              </w:rPr>
              <w:t>国产</w:t>
            </w:r>
          </w:p>
        </w:tc>
      </w:tr>
      <w:tr w14:paraId="1F6CC0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A5E6BF3">
            <w:pPr>
              <w:snapToGrid w:val="0"/>
              <w:jc w:val="center"/>
              <w:rPr>
                <w:szCs w:val="21"/>
              </w:rPr>
            </w:pPr>
            <w:r>
              <w:rPr>
                <w:szCs w:val="21"/>
              </w:rPr>
              <w:t>58</w:t>
            </w:r>
          </w:p>
        </w:tc>
        <w:tc>
          <w:tcPr>
            <w:tcW w:w="354" w:type="pct"/>
            <w:vMerge w:val="continue"/>
            <w:vAlign w:val="center"/>
          </w:tcPr>
          <w:p w14:paraId="4A0C555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B057BDC">
            <w:pPr>
              <w:snapToGrid w:val="0"/>
              <w:jc w:val="center"/>
              <w:rPr>
                <w:szCs w:val="21"/>
              </w:rPr>
            </w:pPr>
            <w:r>
              <w:rPr>
                <w:szCs w:val="21"/>
              </w:rPr>
              <w:t>加硫机</w:t>
            </w:r>
          </w:p>
        </w:tc>
        <w:tc>
          <w:tcPr>
            <w:tcW w:w="1285" w:type="pct"/>
            <w:vAlign w:val="center"/>
          </w:tcPr>
          <w:p w14:paraId="2EF233B4">
            <w:pPr>
              <w:snapToGrid w:val="0"/>
              <w:jc w:val="center"/>
              <w:rPr>
                <w:szCs w:val="21"/>
              </w:rPr>
            </w:pPr>
            <w:r>
              <w:rPr>
                <w:szCs w:val="21"/>
              </w:rPr>
              <w:t>S-V-100-3RT</w:t>
            </w:r>
          </w:p>
        </w:tc>
        <w:tc>
          <w:tcPr>
            <w:tcW w:w="456" w:type="pct"/>
            <w:vAlign w:val="center"/>
          </w:tcPr>
          <w:p w14:paraId="08682AEA">
            <w:pPr>
              <w:snapToGrid w:val="0"/>
              <w:jc w:val="center"/>
              <w:rPr>
                <w:szCs w:val="21"/>
              </w:rPr>
            </w:pPr>
            <w:r>
              <w:rPr>
                <w:rFonts w:hint="eastAsia"/>
                <w:szCs w:val="21"/>
              </w:rPr>
              <w:t>12</w:t>
            </w:r>
          </w:p>
        </w:tc>
        <w:tc>
          <w:tcPr>
            <w:tcW w:w="557" w:type="pct"/>
            <w:vAlign w:val="center"/>
          </w:tcPr>
          <w:p w14:paraId="2D184A3E">
            <w:pPr>
              <w:snapToGrid w:val="0"/>
              <w:jc w:val="center"/>
              <w:rPr>
                <w:szCs w:val="21"/>
              </w:rPr>
            </w:pPr>
            <w:r>
              <w:rPr>
                <w:rFonts w:hint="eastAsia"/>
                <w:szCs w:val="21"/>
              </w:rPr>
              <w:t>12</w:t>
            </w:r>
          </w:p>
        </w:tc>
        <w:tc>
          <w:tcPr>
            <w:tcW w:w="362" w:type="pct"/>
            <w:vAlign w:val="center"/>
          </w:tcPr>
          <w:p w14:paraId="2A90690B">
            <w:pPr>
              <w:snapToGrid w:val="0"/>
              <w:jc w:val="center"/>
              <w:rPr>
                <w:szCs w:val="21"/>
              </w:rPr>
            </w:pPr>
            <w:r>
              <w:rPr>
                <w:szCs w:val="21"/>
              </w:rPr>
              <w:t>0</w:t>
            </w:r>
          </w:p>
        </w:tc>
        <w:tc>
          <w:tcPr>
            <w:tcW w:w="793" w:type="pct"/>
            <w:vAlign w:val="center"/>
          </w:tcPr>
          <w:p w14:paraId="7CDDCE62">
            <w:pPr>
              <w:snapToGrid w:val="0"/>
              <w:jc w:val="center"/>
              <w:rPr>
                <w:szCs w:val="21"/>
              </w:rPr>
            </w:pPr>
            <w:r>
              <w:rPr>
                <w:szCs w:val="21"/>
              </w:rPr>
              <w:t>国产</w:t>
            </w:r>
          </w:p>
        </w:tc>
      </w:tr>
      <w:tr w14:paraId="13996F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9531F07">
            <w:pPr>
              <w:snapToGrid w:val="0"/>
              <w:jc w:val="center"/>
              <w:rPr>
                <w:szCs w:val="21"/>
              </w:rPr>
            </w:pPr>
            <w:r>
              <w:rPr>
                <w:szCs w:val="21"/>
              </w:rPr>
              <w:t>59</w:t>
            </w:r>
          </w:p>
        </w:tc>
        <w:tc>
          <w:tcPr>
            <w:tcW w:w="354" w:type="pct"/>
            <w:vMerge w:val="continue"/>
            <w:vAlign w:val="center"/>
          </w:tcPr>
          <w:p w14:paraId="582F646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41EB636C">
            <w:pPr>
              <w:snapToGrid w:val="0"/>
              <w:jc w:val="center"/>
              <w:rPr>
                <w:szCs w:val="21"/>
              </w:rPr>
            </w:pPr>
            <w:r>
              <w:rPr>
                <w:szCs w:val="21"/>
              </w:rPr>
              <w:t>注射机</w:t>
            </w:r>
          </w:p>
        </w:tc>
        <w:tc>
          <w:tcPr>
            <w:tcW w:w="1285" w:type="pct"/>
            <w:vAlign w:val="center"/>
          </w:tcPr>
          <w:p w14:paraId="4B48E2E6">
            <w:pPr>
              <w:snapToGrid w:val="0"/>
              <w:jc w:val="center"/>
              <w:rPr>
                <w:szCs w:val="21"/>
              </w:rPr>
            </w:pPr>
            <w:r>
              <w:rPr>
                <w:szCs w:val="21"/>
              </w:rPr>
              <w:t>100</w:t>
            </w:r>
          </w:p>
        </w:tc>
        <w:tc>
          <w:tcPr>
            <w:tcW w:w="456" w:type="pct"/>
            <w:vAlign w:val="center"/>
          </w:tcPr>
          <w:p w14:paraId="62692F68">
            <w:pPr>
              <w:snapToGrid w:val="0"/>
              <w:jc w:val="center"/>
              <w:rPr>
                <w:szCs w:val="21"/>
              </w:rPr>
            </w:pPr>
            <w:r>
              <w:rPr>
                <w:szCs w:val="21"/>
              </w:rPr>
              <w:t>0</w:t>
            </w:r>
          </w:p>
        </w:tc>
        <w:tc>
          <w:tcPr>
            <w:tcW w:w="557" w:type="pct"/>
            <w:vAlign w:val="center"/>
          </w:tcPr>
          <w:p w14:paraId="519D1C56">
            <w:pPr>
              <w:snapToGrid w:val="0"/>
              <w:jc w:val="center"/>
              <w:rPr>
                <w:szCs w:val="21"/>
              </w:rPr>
            </w:pPr>
            <w:r>
              <w:rPr>
                <w:szCs w:val="21"/>
              </w:rPr>
              <w:t>6</w:t>
            </w:r>
          </w:p>
        </w:tc>
        <w:tc>
          <w:tcPr>
            <w:tcW w:w="362" w:type="pct"/>
            <w:vAlign w:val="center"/>
          </w:tcPr>
          <w:p w14:paraId="31C149A8">
            <w:pPr>
              <w:snapToGrid w:val="0"/>
              <w:jc w:val="center"/>
              <w:rPr>
                <w:szCs w:val="21"/>
              </w:rPr>
            </w:pPr>
            <w:r>
              <w:rPr>
                <w:szCs w:val="21"/>
              </w:rPr>
              <w:t>+6</w:t>
            </w:r>
          </w:p>
        </w:tc>
        <w:tc>
          <w:tcPr>
            <w:tcW w:w="793" w:type="pct"/>
            <w:vAlign w:val="center"/>
          </w:tcPr>
          <w:p w14:paraId="250BD4A1">
            <w:pPr>
              <w:snapToGrid w:val="0"/>
              <w:jc w:val="center"/>
              <w:rPr>
                <w:szCs w:val="21"/>
              </w:rPr>
            </w:pPr>
            <w:r>
              <w:rPr>
                <w:szCs w:val="21"/>
              </w:rPr>
              <w:t>国产</w:t>
            </w:r>
          </w:p>
        </w:tc>
      </w:tr>
      <w:tr w14:paraId="2F4B71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019C084">
            <w:pPr>
              <w:snapToGrid w:val="0"/>
              <w:jc w:val="center"/>
              <w:rPr>
                <w:szCs w:val="21"/>
              </w:rPr>
            </w:pPr>
            <w:r>
              <w:rPr>
                <w:szCs w:val="21"/>
              </w:rPr>
              <w:t>6</w:t>
            </w:r>
            <w:r>
              <w:rPr>
                <w:rFonts w:hint="eastAsia"/>
                <w:szCs w:val="21"/>
              </w:rPr>
              <w:t>0</w:t>
            </w:r>
          </w:p>
        </w:tc>
        <w:tc>
          <w:tcPr>
            <w:tcW w:w="354" w:type="pct"/>
            <w:vMerge w:val="continue"/>
            <w:vAlign w:val="center"/>
          </w:tcPr>
          <w:p w14:paraId="17ED669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F0ED293">
            <w:pPr>
              <w:snapToGrid w:val="0"/>
              <w:jc w:val="center"/>
              <w:rPr>
                <w:szCs w:val="21"/>
              </w:rPr>
            </w:pPr>
            <w:r>
              <w:rPr>
                <w:szCs w:val="21"/>
              </w:rPr>
              <w:t>橡胶注射成型机</w:t>
            </w:r>
          </w:p>
        </w:tc>
        <w:tc>
          <w:tcPr>
            <w:tcW w:w="1285" w:type="pct"/>
            <w:vAlign w:val="center"/>
          </w:tcPr>
          <w:p w14:paraId="5D3269FC">
            <w:pPr>
              <w:snapToGrid w:val="0"/>
              <w:jc w:val="center"/>
              <w:rPr>
                <w:szCs w:val="21"/>
              </w:rPr>
            </w:pPr>
            <w:r>
              <w:rPr>
                <w:szCs w:val="21"/>
              </w:rPr>
              <w:t>ALPHA100</w:t>
            </w:r>
          </w:p>
        </w:tc>
        <w:tc>
          <w:tcPr>
            <w:tcW w:w="456" w:type="pct"/>
            <w:vAlign w:val="center"/>
          </w:tcPr>
          <w:p w14:paraId="7EFB1E5E">
            <w:pPr>
              <w:snapToGrid w:val="0"/>
              <w:jc w:val="center"/>
              <w:rPr>
                <w:szCs w:val="21"/>
              </w:rPr>
            </w:pPr>
            <w:r>
              <w:rPr>
                <w:szCs w:val="21"/>
              </w:rPr>
              <w:t>1</w:t>
            </w:r>
          </w:p>
        </w:tc>
        <w:tc>
          <w:tcPr>
            <w:tcW w:w="557" w:type="pct"/>
            <w:vAlign w:val="center"/>
          </w:tcPr>
          <w:p w14:paraId="5DF6A7BC">
            <w:pPr>
              <w:snapToGrid w:val="0"/>
              <w:jc w:val="center"/>
              <w:rPr>
                <w:szCs w:val="21"/>
              </w:rPr>
            </w:pPr>
            <w:r>
              <w:rPr>
                <w:szCs w:val="21"/>
              </w:rPr>
              <w:t>1</w:t>
            </w:r>
          </w:p>
        </w:tc>
        <w:tc>
          <w:tcPr>
            <w:tcW w:w="362" w:type="pct"/>
            <w:vAlign w:val="center"/>
          </w:tcPr>
          <w:p w14:paraId="1FB8F50C">
            <w:pPr>
              <w:snapToGrid w:val="0"/>
              <w:jc w:val="center"/>
              <w:rPr>
                <w:szCs w:val="21"/>
              </w:rPr>
            </w:pPr>
            <w:r>
              <w:rPr>
                <w:szCs w:val="21"/>
              </w:rPr>
              <w:t>0</w:t>
            </w:r>
          </w:p>
        </w:tc>
        <w:tc>
          <w:tcPr>
            <w:tcW w:w="793" w:type="pct"/>
            <w:vAlign w:val="center"/>
          </w:tcPr>
          <w:p w14:paraId="650D116D">
            <w:pPr>
              <w:snapToGrid w:val="0"/>
              <w:jc w:val="center"/>
              <w:rPr>
                <w:szCs w:val="21"/>
              </w:rPr>
            </w:pPr>
            <w:r>
              <w:rPr>
                <w:szCs w:val="21"/>
              </w:rPr>
              <w:t>国产</w:t>
            </w:r>
          </w:p>
        </w:tc>
      </w:tr>
      <w:tr w14:paraId="09CC6B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14640EE">
            <w:pPr>
              <w:snapToGrid w:val="0"/>
              <w:jc w:val="center"/>
              <w:rPr>
                <w:szCs w:val="21"/>
              </w:rPr>
            </w:pPr>
            <w:r>
              <w:rPr>
                <w:szCs w:val="21"/>
              </w:rPr>
              <w:t>6</w:t>
            </w:r>
            <w:r>
              <w:rPr>
                <w:rFonts w:hint="eastAsia"/>
                <w:szCs w:val="21"/>
              </w:rPr>
              <w:t>1</w:t>
            </w:r>
          </w:p>
        </w:tc>
        <w:tc>
          <w:tcPr>
            <w:tcW w:w="354" w:type="pct"/>
            <w:vMerge w:val="continue"/>
            <w:vAlign w:val="center"/>
          </w:tcPr>
          <w:p w14:paraId="37E99C6D">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BC69F44">
            <w:pPr>
              <w:snapToGrid w:val="0"/>
              <w:jc w:val="center"/>
              <w:rPr>
                <w:szCs w:val="21"/>
              </w:rPr>
            </w:pPr>
            <w:r>
              <w:rPr>
                <w:szCs w:val="21"/>
              </w:rPr>
              <w:t>真空成型机</w:t>
            </w:r>
          </w:p>
        </w:tc>
        <w:tc>
          <w:tcPr>
            <w:tcW w:w="1285" w:type="pct"/>
            <w:vAlign w:val="center"/>
          </w:tcPr>
          <w:p w14:paraId="73480397">
            <w:pPr>
              <w:snapToGrid w:val="0"/>
              <w:jc w:val="center"/>
              <w:rPr>
                <w:szCs w:val="21"/>
              </w:rPr>
            </w:pPr>
            <w:r>
              <w:rPr>
                <w:szCs w:val="21"/>
              </w:rPr>
              <w:t>S-V-PCD-100</w:t>
            </w:r>
          </w:p>
        </w:tc>
        <w:tc>
          <w:tcPr>
            <w:tcW w:w="456" w:type="pct"/>
            <w:vAlign w:val="center"/>
          </w:tcPr>
          <w:p w14:paraId="03E8BA95">
            <w:pPr>
              <w:snapToGrid w:val="0"/>
              <w:jc w:val="center"/>
              <w:rPr>
                <w:szCs w:val="21"/>
              </w:rPr>
            </w:pPr>
            <w:r>
              <w:rPr>
                <w:szCs w:val="21"/>
              </w:rPr>
              <w:t>0</w:t>
            </w:r>
          </w:p>
        </w:tc>
        <w:tc>
          <w:tcPr>
            <w:tcW w:w="557" w:type="pct"/>
            <w:vAlign w:val="center"/>
          </w:tcPr>
          <w:p w14:paraId="2903AE97">
            <w:pPr>
              <w:snapToGrid w:val="0"/>
              <w:jc w:val="center"/>
              <w:rPr>
                <w:szCs w:val="21"/>
              </w:rPr>
            </w:pPr>
            <w:r>
              <w:rPr>
                <w:szCs w:val="21"/>
              </w:rPr>
              <w:t>6</w:t>
            </w:r>
          </w:p>
        </w:tc>
        <w:tc>
          <w:tcPr>
            <w:tcW w:w="362" w:type="pct"/>
            <w:vAlign w:val="center"/>
          </w:tcPr>
          <w:p w14:paraId="2A125AA0">
            <w:pPr>
              <w:snapToGrid w:val="0"/>
              <w:jc w:val="center"/>
              <w:rPr>
                <w:szCs w:val="21"/>
              </w:rPr>
            </w:pPr>
            <w:r>
              <w:rPr>
                <w:szCs w:val="21"/>
              </w:rPr>
              <w:t>+6</w:t>
            </w:r>
          </w:p>
        </w:tc>
        <w:tc>
          <w:tcPr>
            <w:tcW w:w="793" w:type="pct"/>
            <w:vAlign w:val="center"/>
          </w:tcPr>
          <w:p w14:paraId="5CEB9F8D">
            <w:pPr>
              <w:snapToGrid w:val="0"/>
              <w:jc w:val="center"/>
              <w:rPr>
                <w:szCs w:val="21"/>
              </w:rPr>
            </w:pPr>
            <w:r>
              <w:rPr>
                <w:rFonts w:hint="eastAsia"/>
                <w:szCs w:val="21"/>
              </w:rPr>
              <w:t>国产</w:t>
            </w:r>
          </w:p>
        </w:tc>
      </w:tr>
      <w:tr w14:paraId="0053D4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71449CE">
            <w:pPr>
              <w:snapToGrid w:val="0"/>
              <w:jc w:val="center"/>
              <w:rPr>
                <w:szCs w:val="21"/>
              </w:rPr>
            </w:pPr>
            <w:r>
              <w:rPr>
                <w:szCs w:val="21"/>
              </w:rPr>
              <w:t>6</w:t>
            </w:r>
            <w:r>
              <w:rPr>
                <w:rFonts w:hint="eastAsia"/>
                <w:szCs w:val="21"/>
              </w:rPr>
              <w:t>2</w:t>
            </w:r>
          </w:p>
        </w:tc>
        <w:tc>
          <w:tcPr>
            <w:tcW w:w="354" w:type="pct"/>
            <w:vMerge w:val="continue"/>
            <w:vAlign w:val="center"/>
          </w:tcPr>
          <w:p w14:paraId="7292D0E1">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1434F89">
            <w:pPr>
              <w:snapToGrid w:val="0"/>
              <w:jc w:val="center"/>
              <w:rPr>
                <w:szCs w:val="21"/>
              </w:rPr>
            </w:pPr>
            <w:r>
              <w:rPr>
                <w:szCs w:val="21"/>
              </w:rPr>
              <w:t>修剪机</w:t>
            </w:r>
          </w:p>
        </w:tc>
        <w:tc>
          <w:tcPr>
            <w:tcW w:w="1285" w:type="pct"/>
            <w:vAlign w:val="center"/>
          </w:tcPr>
          <w:p w14:paraId="456F7508">
            <w:pPr>
              <w:snapToGrid w:val="0"/>
              <w:jc w:val="center"/>
              <w:rPr>
                <w:szCs w:val="21"/>
              </w:rPr>
            </w:pPr>
            <w:r>
              <w:rPr>
                <w:szCs w:val="21"/>
              </w:rPr>
              <w:t>SY-XJJ120</w:t>
            </w:r>
          </w:p>
        </w:tc>
        <w:tc>
          <w:tcPr>
            <w:tcW w:w="456" w:type="pct"/>
            <w:vAlign w:val="center"/>
          </w:tcPr>
          <w:p w14:paraId="0326B50B">
            <w:pPr>
              <w:snapToGrid w:val="0"/>
              <w:jc w:val="center"/>
              <w:rPr>
                <w:szCs w:val="21"/>
              </w:rPr>
            </w:pPr>
            <w:r>
              <w:rPr>
                <w:szCs w:val="21"/>
              </w:rPr>
              <w:t>1</w:t>
            </w:r>
            <w:r>
              <w:rPr>
                <w:rFonts w:hint="eastAsia"/>
                <w:szCs w:val="21"/>
              </w:rPr>
              <w:t>3</w:t>
            </w:r>
          </w:p>
        </w:tc>
        <w:tc>
          <w:tcPr>
            <w:tcW w:w="557" w:type="pct"/>
            <w:vAlign w:val="center"/>
          </w:tcPr>
          <w:p w14:paraId="39D0F9C3">
            <w:pPr>
              <w:snapToGrid w:val="0"/>
              <w:jc w:val="center"/>
              <w:rPr>
                <w:szCs w:val="21"/>
              </w:rPr>
            </w:pPr>
            <w:r>
              <w:rPr>
                <w:szCs w:val="21"/>
              </w:rPr>
              <w:t>1</w:t>
            </w:r>
            <w:r>
              <w:rPr>
                <w:rFonts w:hint="eastAsia"/>
                <w:szCs w:val="21"/>
              </w:rPr>
              <w:t>3</w:t>
            </w:r>
          </w:p>
        </w:tc>
        <w:tc>
          <w:tcPr>
            <w:tcW w:w="362" w:type="pct"/>
            <w:vAlign w:val="center"/>
          </w:tcPr>
          <w:p w14:paraId="1E719E09">
            <w:pPr>
              <w:snapToGrid w:val="0"/>
              <w:jc w:val="center"/>
              <w:rPr>
                <w:szCs w:val="21"/>
              </w:rPr>
            </w:pPr>
            <w:r>
              <w:rPr>
                <w:szCs w:val="21"/>
              </w:rPr>
              <w:t>0</w:t>
            </w:r>
          </w:p>
        </w:tc>
        <w:tc>
          <w:tcPr>
            <w:tcW w:w="793" w:type="pct"/>
            <w:vAlign w:val="center"/>
          </w:tcPr>
          <w:p w14:paraId="79C256CD">
            <w:pPr>
              <w:snapToGrid w:val="0"/>
              <w:jc w:val="center"/>
              <w:rPr>
                <w:szCs w:val="21"/>
              </w:rPr>
            </w:pPr>
            <w:r>
              <w:rPr>
                <w:szCs w:val="21"/>
              </w:rPr>
              <w:t>国产</w:t>
            </w:r>
          </w:p>
        </w:tc>
      </w:tr>
      <w:tr w14:paraId="6B925F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32586A1">
            <w:pPr>
              <w:snapToGrid w:val="0"/>
              <w:jc w:val="center"/>
              <w:rPr>
                <w:szCs w:val="21"/>
              </w:rPr>
            </w:pPr>
            <w:r>
              <w:rPr>
                <w:szCs w:val="21"/>
              </w:rPr>
              <w:t>6</w:t>
            </w:r>
            <w:r>
              <w:rPr>
                <w:rFonts w:hint="eastAsia"/>
                <w:szCs w:val="21"/>
              </w:rPr>
              <w:t>3</w:t>
            </w:r>
          </w:p>
        </w:tc>
        <w:tc>
          <w:tcPr>
            <w:tcW w:w="354" w:type="pct"/>
            <w:vMerge w:val="continue"/>
            <w:vAlign w:val="center"/>
          </w:tcPr>
          <w:p w14:paraId="626B0368">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A0E9A41">
            <w:pPr>
              <w:snapToGrid w:val="0"/>
              <w:jc w:val="center"/>
              <w:rPr>
                <w:szCs w:val="21"/>
              </w:rPr>
            </w:pPr>
            <w:r>
              <w:rPr>
                <w:szCs w:val="21"/>
              </w:rPr>
              <w:t>自动修剪机</w:t>
            </w:r>
          </w:p>
        </w:tc>
        <w:tc>
          <w:tcPr>
            <w:tcW w:w="1285" w:type="pct"/>
            <w:vAlign w:val="center"/>
          </w:tcPr>
          <w:p w14:paraId="1203A73B">
            <w:pPr>
              <w:snapToGrid w:val="0"/>
              <w:jc w:val="center"/>
              <w:rPr>
                <w:szCs w:val="21"/>
              </w:rPr>
            </w:pPr>
            <w:r>
              <w:rPr>
                <w:szCs w:val="21"/>
              </w:rPr>
              <w:t>FC-40/120</w:t>
            </w:r>
          </w:p>
        </w:tc>
        <w:tc>
          <w:tcPr>
            <w:tcW w:w="456" w:type="pct"/>
            <w:vAlign w:val="center"/>
          </w:tcPr>
          <w:p w14:paraId="31222022">
            <w:pPr>
              <w:snapToGrid w:val="0"/>
              <w:jc w:val="center"/>
              <w:rPr>
                <w:szCs w:val="21"/>
              </w:rPr>
            </w:pPr>
            <w:r>
              <w:rPr>
                <w:rFonts w:hint="eastAsia"/>
                <w:szCs w:val="21"/>
              </w:rPr>
              <w:t>17</w:t>
            </w:r>
          </w:p>
        </w:tc>
        <w:tc>
          <w:tcPr>
            <w:tcW w:w="557" w:type="pct"/>
            <w:vAlign w:val="center"/>
          </w:tcPr>
          <w:p w14:paraId="2BC2ED8A">
            <w:pPr>
              <w:snapToGrid w:val="0"/>
              <w:jc w:val="center"/>
              <w:rPr>
                <w:szCs w:val="21"/>
              </w:rPr>
            </w:pPr>
            <w:r>
              <w:rPr>
                <w:rFonts w:hint="eastAsia"/>
                <w:szCs w:val="21"/>
              </w:rPr>
              <w:t>22</w:t>
            </w:r>
          </w:p>
        </w:tc>
        <w:tc>
          <w:tcPr>
            <w:tcW w:w="362" w:type="pct"/>
            <w:vAlign w:val="center"/>
          </w:tcPr>
          <w:p w14:paraId="19CAD0F4">
            <w:pPr>
              <w:snapToGrid w:val="0"/>
              <w:jc w:val="center"/>
              <w:rPr>
                <w:szCs w:val="21"/>
              </w:rPr>
            </w:pPr>
            <w:r>
              <w:rPr>
                <w:szCs w:val="21"/>
              </w:rPr>
              <w:t>+5</w:t>
            </w:r>
          </w:p>
        </w:tc>
        <w:tc>
          <w:tcPr>
            <w:tcW w:w="793" w:type="pct"/>
            <w:vAlign w:val="center"/>
          </w:tcPr>
          <w:p w14:paraId="05B05891">
            <w:pPr>
              <w:snapToGrid w:val="0"/>
              <w:jc w:val="center"/>
              <w:rPr>
                <w:szCs w:val="21"/>
              </w:rPr>
            </w:pPr>
            <w:r>
              <w:rPr>
                <w:szCs w:val="21"/>
              </w:rPr>
              <w:t>国产</w:t>
            </w:r>
          </w:p>
        </w:tc>
      </w:tr>
      <w:tr w14:paraId="7ED167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9505C16">
            <w:pPr>
              <w:snapToGrid w:val="0"/>
              <w:jc w:val="center"/>
              <w:rPr>
                <w:szCs w:val="21"/>
              </w:rPr>
            </w:pPr>
            <w:r>
              <w:rPr>
                <w:szCs w:val="21"/>
              </w:rPr>
              <w:t>6</w:t>
            </w:r>
            <w:r>
              <w:rPr>
                <w:rFonts w:hint="eastAsia"/>
                <w:szCs w:val="21"/>
              </w:rPr>
              <w:t>4</w:t>
            </w:r>
          </w:p>
        </w:tc>
        <w:tc>
          <w:tcPr>
            <w:tcW w:w="354" w:type="pct"/>
            <w:vMerge w:val="continue"/>
            <w:vAlign w:val="center"/>
          </w:tcPr>
          <w:p w14:paraId="1C3D0230">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83AD16E">
            <w:pPr>
              <w:snapToGrid w:val="0"/>
              <w:jc w:val="center"/>
              <w:rPr>
                <w:szCs w:val="21"/>
              </w:rPr>
            </w:pPr>
            <w:r>
              <w:rPr>
                <w:szCs w:val="21"/>
              </w:rPr>
              <w:t>自动修剪套簧机</w:t>
            </w:r>
          </w:p>
        </w:tc>
        <w:tc>
          <w:tcPr>
            <w:tcW w:w="1285" w:type="pct"/>
            <w:vAlign w:val="center"/>
          </w:tcPr>
          <w:p w14:paraId="201E66DC">
            <w:pPr>
              <w:snapToGrid w:val="0"/>
              <w:jc w:val="center"/>
              <w:rPr>
                <w:szCs w:val="21"/>
              </w:rPr>
            </w:pPr>
            <w:r>
              <w:rPr>
                <w:szCs w:val="21"/>
              </w:rPr>
              <w:t>/</w:t>
            </w:r>
          </w:p>
        </w:tc>
        <w:tc>
          <w:tcPr>
            <w:tcW w:w="456" w:type="pct"/>
            <w:vAlign w:val="center"/>
          </w:tcPr>
          <w:p w14:paraId="295629EB">
            <w:pPr>
              <w:snapToGrid w:val="0"/>
              <w:jc w:val="center"/>
              <w:rPr>
                <w:szCs w:val="21"/>
              </w:rPr>
            </w:pPr>
            <w:r>
              <w:rPr>
                <w:szCs w:val="21"/>
              </w:rPr>
              <w:t>2</w:t>
            </w:r>
          </w:p>
        </w:tc>
        <w:tc>
          <w:tcPr>
            <w:tcW w:w="557" w:type="pct"/>
            <w:vAlign w:val="center"/>
          </w:tcPr>
          <w:p w14:paraId="0D4F1208">
            <w:pPr>
              <w:snapToGrid w:val="0"/>
              <w:jc w:val="center"/>
              <w:rPr>
                <w:szCs w:val="21"/>
              </w:rPr>
            </w:pPr>
            <w:r>
              <w:rPr>
                <w:szCs w:val="21"/>
              </w:rPr>
              <w:t>2</w:t>
            </w:r>
          </w:p>
        </w:tc>
        <w:tc>
          <w:tcPr>
            <w:tcW w:w="362" w:type="pct"/>
            <w:vAlign w:val="center"/>
          </w:tcPr>
          <w:p w14:paraId="7125C86B">
            <w:pPr>
              <w:snapToGrid w:val="0"/>
              <w:jc w:val="center"/>
              <w:rPr>
                <w:szCs w:val="21"/>
              </w:rPr>
            </w:pPr>
            <w:r>
              <w:rPr>
                <w:szCs w:val="21"/>
              </w:rPr>
              <w:t>0</w:t>
            </w:r>
          </w:p>
        </w:tc>
        <w:tc>
          <w:tcPr>
            <w:tcW w:w="793" w:type="pct"/>
            <w:vAlign w:val="center"/>
          </w:tcPr>
          <w:p w14:paraId="6B1306EB">
            <w:pPr>
              <w:snapToGrid w:val="0"/>
              <w:jc w:val="center"/>
              <w:rPr>
                <w:szCs w:val="21"/>
              </w:rPr>
            </w:pPr>
            <w:r>
              <w:rPr>
                <w:szCs w:val="21"/>
              </w:rPr>
              <w:t>国产</w:t>
            </w:r>
          </w:p>
        </w:tc>
      </w:tr>
      <w:tr w14:paraId="67D81F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BFAE9E6">
            <w:pPr>
              <w:snapToGrid w:val="0"/>
              <w:jc w:val="center"/>
              <w:rPr>
                <w:szCs w:val="21"/>
              </w:rPr>
            </w:pPr>
            <w:r>
              <w:rPr>
                <w:szCs w:val="21"/>
              </w:rPr>
              <w:t>6</w:t>
            </w:r>
            <w:r>
              <w:rPr>
                <w:rFonts w:hint="eastAsia"/>
                <w:szCs w:val="21"/>
              </w:rPr>
              <w:t>5</w:t>
            </w:r>
          </w:p>
        </w:tc>
        <w:tc>
          <w:tcPr>
            <w:tcW w:w="354" w:type="pct"/>
            <w:vMerge w:val="continue"/>
            <w:vAlign w:val="center"/>
          </w:tcPr>
          <w:p w14:paraId="52AD330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8DB03F0">
            <w:pPr>
              <w:snapToGrid w:val="0"/>
              <w:jc w:val="center"/>
              <w:rPr>
                <w:szCs w:val="21"/>
              </w:rPr>
            </w:pPr>
            <w:r>
              <w:rPr>
                <w:szCs w:val="21"/>
              </w:rPr>
              <w:t>弹簧一体机</w:t>
            </w:r>
          </w:p>
        </w:tc>
        <w:tc>
          <w:tcPr>
            <w:tcW w:w="1285" w:type="pct"/>
            <w:vAlign w:val="center"/>
          </w:tcPr>
          <w:p w14:paraId="43D859F4">
            <w:pPr>
              <w:snapToGrid w:val="0"/>
              <w:jc w:val="center"/>
              <w:rPr>
                <w:szCs w:val="21"/>
              </w:rPr>
            </w:pPr>
            <w:r>
              <w:rPr>
                <w:szCs w:val="21"/>
              </w:rPr>
              <w:t>/</w:t>
            </w:r>
          </w:p>
        </w:tc>
        <w:tc>
          <w:tcPr>
            <w:tcW w:w="456" w:type="pct"/>
            <w:vAlign w:val="center"/>
          </w:tcPr>
          <w:p w14:paraId="4177803D">
            <w:pPr>
              <w:snapToGrid w:val="0"/>
              <w:jc w:val="center"/>
              <w:rPr>
                <w:szCs w:val="21"/>
              </w:rPr>
            </w:pPr>
            <w:r>
              <w:rPr>
                <w:szCs w:val="21"/>
              </w:rPr>
              <w:t>1</w:t>
            </w:r>
          </w:p>
        </w:tc>
        <w:tc>
          <w:tcPr>
            <w:tcW w:w="557" w:type="pct"/>
            <w:vAlign w:val="center"/>
          </w:tcPr>
          <w:p w14:paraId="048CA64F">
            <w:pPr>
              <w:snapToGrid w:val="0"/>
              <w:jc w:val="center"/>
              <w:rPr>
                <w:szCs w:val="21"/>
              </w:rPr>
            </w:pPr>
            <w:r>
              <w:rPr>
                <w:szCs w:val="21"/>
              </w:rPr>
              <w:t>1</w:t>
            </w:r>
          </w:p>
        </w:tc>
        <w:tc>
          <w:tcPr>
            <w:tcW w:w="362" w:type="pct"/>
            <w:vAlign w:val="center"/>
          </w:tcPr>
          <w:p w14:paraId="7E0C7B70">
            <w:pPr>
              <w:snapToGrid w:val="0"/>
              <w:jc w:val="center"/>
              <w:rPr>
                <w:szCs w:val="21"/>
              </w:rPr>
            </w:pPr>
            <w:r>
              <w:rPr>
                <w:szCs w:val="21"/>
              </w:rPr>
              <w:t>0</w:t>
            </w:r>
          </w:p>
        </w:tc>
        <w:tc>
          <w:tcPr>
            <w:tcW w:w="793" w:type="pct"/>
            <w:vAlign w:val="center"/>
          </w:tcPr>
          <w:p w14:paraId="4F0A1CBE">
            <w:pPr>
              <w:snapToGrid w:val="0"/>
              <w:jc w:val="center"/>
              <w:rPr>
                <w:szCs w:val="21"/>
              </w:rPr>
            </w:pPr>
            <w:r>
              <w:rPr>
                <w:szCs w:val="21"/>
              </w:rPr>
              <w:t>国产</w:t>
            </w:r>
          </w:p>
        </w:tc>
      </w:tr>
      <w:tr w14:paraId="0686F5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60E82D7">
            <w:pPr>
              <w:snapToGrid w:val="0"/>
              <w:jc w:val="center"/>
              <w:rPr>
                <w:szCs w:val="21"/>
              </w:rPr>
            </w:pPr>
            <w:r>
              <w:rPr>
                <w:rFonts w:hint="eastAsia"/>
                <w:szCs w:val="21"/>
              </w:rPr>
              <w:t>66</w:t>
            </w:r>
          </w:p>
        </w:tc>
        <w:tc>
          <w:tcPr>
            <w:tcW w:w="354" w:type="pct"/>
            <w:vMerge w:val="continue"/>
            <w:vAlign w:val="center"/>
          </w:tcPr>
          <w:p w14:paraId="69B99E8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920B9A5">
            <w:pPr>
              <w:snapToGrid w:val="0"/>
              <w:jc w:val="center"/>
              <w:rPr>
                <w:szCs w:val="21"/>
              </w:rPr>
            </w:pPr>
            <w:r>
              <w:rPr>
                <w:szCs w:val="21"/>
              </w:rPr>
              <w:t>弹簧检测机</w:t>
            </w:r>
          </w:p>
        </w:tc>
        <w:tc>
          <w:tcPr>
            <w:tcW w:w="1285" w:type="pct"/>
            <w:vAlign w:val="center"/>
          </w:tcPr>
          <w:p w14:paraId="2FB73671">
            <w:pPr>
              <w:snapToGrid w:val="0"/>
              <w:jc w:val="center"/>
              <w:rPr>
                <w:szCs w:val="21"/>
              </w:rPr>
            </w:pPr>
            <w:r>
              <w:rPr>
                <w:szCs w:val="21"/>
              </w:rPr>
              <w:t>/</w:t>
            </w:r>
          </w:p>
        </w:tc>
        <w:tc>
          <w:tcPr>
            <w:tcW w:w="456" w:type="pct"/>
            <w:vAlign w:val="center"/>
          </w:tcPr>
          <w:p w14:paraId="58968854">
            <w:pPr>
              <w:snapToGrid w:val="0"/>
              <w:jc w:val="center"/>
              <w:rPr>
                <w:szCs w:val="21"/>
              </w:rPr>
            </w:pPr>
            <w:r>
              <w:rPr>
                <w:szCs w:val="21"/>
              </w:rPr>
              <w:t>4</w:t>
            </w:r>
          </w:p>
        </w:tc>
        <w:tc>
          <w:tcPr>
            <w:tcW w:w="557" w:type="pct"/>
            <w:vAlign w:val="center"/>
          </w:tcPr>
          <w:p w14:paraId="4D51F9A6">
            <w:pPr>
              <w:snapToGrid w:val="0"/>
              <w:jc w:val="center"/>
              <w:rPr>
                <w:szCs w:val="21"/>
              </w:rPr>
            </w:pPr>
            <w:r>
              <w:rPr>
                <w:szCs w:val="21"/>
              </w:rPr>
              <w:t>4</w:t>
            </w:r>
          </w:p>
        </w:tc>
        <w:tc>
          <w:tcPr>
            <w:tcW w:w="362" w:type="pct"/>
            <w:vAlign w:val="center"/>
          </w:tcPr>
          <w:p w14:paraId="7F2CAD3C">
            <w:pPr>
              <w:snapToGrid w:val="0"/>
              <w:jc w:val="center"/>
              <w:rPr>
                <w:szCs w:val="21"/>
              </w:rPr>
            </w:pPr>
            <w:r>
              <w:rPr>
                <w:szCs w:val="21"/>
              </w:rPr>
              <w:t>0</w:t>
            </w:r>
          </w:p>
        </w:tc>
        <w:tc>
          <w:tcPr>
            <w:tcW w:w="793" w:type="pct"/>
            <w:vAlign w:val="center"/>
          </w:tcPr>
          <w:p w14:paraId="0955B5CA">
            <w:pPr>
              <w:snapToGrid w:val="0"/>
              <w:jc w:val="center"/>
              <w:rPr>
                <w:szCs w:val="21"/>
              </w:rPr>
            </w:pPr>
            <w:r>
              <w:rPr>
                <w:szCs w:val="21"/>
              </w:rPr>
              <w:t>国产</w:t>
            </w:r>
          </w:p>
        </w:tc>
      </w:tr>
      <w:tr w14:paraId="443BA5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4A99AB1">
            <w:pPr>
              <w:snapToGrid w:val="0"/>
              <w:jc w:val="center"/>
              <w:rPr>
                <w:szCs w:val="21"/>
              </w:rPr>
            </w:pPr>
            <w:r>
              <w:rPr>
                <w:rFonts w:hint="eastAsia"/>
                <w:szCs w:val="21"/>
              </w:rPr>
              <w:t>67</w:t>
            </w:r>
          </w:p>
        </w:tc>
        <w:tc>
          <w:tcPr>
            <w:tcW w:w="354" w:type="pct"/>
            <w:vMerge w:val="continue"/>
            <w:vAlign w:val="center"/>
          </w:tcPr>
          <w:p w14:paraId="01354424">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40965DEE">
            <w:pPr>
              <w:snapToGrid w:val="0"/>
              <w:jc w:val="center"/>
              <w:rPr>
                <w:szCs w:val="21"/>
              </w:rPr>
            </w:pPr>
            <w:r>
              <w:rPr>
                <w:szCs w:val="21"/>
              </w:rPr>
              <w:t>包装机</w:t>
            </w:r>
          </w:p>
        </w:tc>
        <w:tc>
          <w:tcPr>
            <w:tcW w:w="1285" w:type="pct"/>
            <w:vAlign w:val="center"/>
          </w:tcPr>
          <w:p w14:paraId="159FA0A7">
            <w:pPr>
              <w:snapToGrid w:val="0"/>
              <w:jc w:val="center"/>
              <w:rPr>
                <w:szCs w:val="21"/>
              </w:rPr>
            </w:pPr>
            <w:r>
              <w:rPr>
                <w:szCs w:val="21"/>
              </w:rPr>
              <w:t>/</w:t>
            </w:r>
          </w:p>
        </w:tc>
        <w:tc>
          <w:tcPr>
            <w:tcW w:w="456" w:type="pct"/>
            <w:vAlign w:val="center"/>
          </w:tcPr>
          <w:p w14:paraId="39812833">
            <w:pPr>
              <w:snapToGrid w:val="0"/>
              <w:jc w:val="center"/>
              <w:rPr>
                <w:szCs w:val="21"/>
              </w:rPr>
            </w:pPr>
            <w:r>
              <w:rPr>
                <w:szCs w:val="21"/>
              </w:rPr>
              <w:t>1</w:t>
            </w:r>
          </w:p>
        </w:tc>
        <w:tc>
          <w:tcPr>
            <w:tcW w:w="557" w:type="pct"/>
            <w:vAlign w:val="center"/>
          </w:tcPr>
          <w:p w14:paraId="0D001F49">
            <w:pPr>
              <w:snapToGrid w:val="0"/>
              <w:jc w:val="center"/>
              <w:rPr>
                <w:szCs w:val="21"/>
              </w:rPr>
            </w:pPr>
            <w:r>
              <w:rPr>
                <w:szCs w:val="21"/>
              </w:rPr>
              <w:t>1</w:t>
            </w:r>
          </w:p>
        </w:tc>
        <w:tc>
          <w:tcPr>
            <w:tcW w:w="362" w:type="pct"/>
            <w:vAlign w:val="center"/>
          </w:tcPr>
          <w:p w14:paraId="02C5D4CB">
            <w:pPr>
              <w:snapToGrid w:val="0"/>
              <w:jc w:val="center"/>
              <w:rPr>
                <w:szCs w:val="21"/>
              </w:rPr>
            </w:pPr>
            <w:r>
              <w:rPr>
                <w:szCs w:val="21"/>
              </w:rPr>
              <w:t>0</w:t>
            </w:r>
          </w:p>
        </w:tc>
        <w:tc>
          <w:tcPr>
            <w:tcW w:w="793" w:type="pct"/>
            <w:vAlign w:val="center"/>
          </w:tcPr>
          <w:p w14:paraId="4CE5AD19">
            <w:pPr>
              <w:snapToGrid w:val="0"/>
              <w:jc w:val="center"/>
              <w:rPr>
                <w:szCs w:val="21"/>
              </w:rPr>
            </w:pPr>
            <w:r>
              <w:rPr>
                <w:szCs w:val="21"/>
              </w:rPr>
              <w:t>国产</w:t>
            </w:r>
          </w:p>
        </w:tc>
      </w:tr>
      <w:tr w14:paraId="3A08BC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A21A99E">
            <w:pPr>
              <w:snapToGrid w:val="0"/>
              <w:jc w:val="center"/>
              <w:rPr>
                <w:szCs w:val="21"/>
              </w:rPr>
            </w:pPr>
            <w:r>
              <w:rPr>
                <w:rFonts w:hint="eastAsia"/>
                <w:szCs w:val="21"/>
              </w:rPr>
              <w:t>68</w:t>
            </w:r>
          </w:p>
        </w:tc>
        <w:tc>
          <w:tcPr>
            <w:tcW w:w="354" w:type="pct"/>
            <w:vMerge w:val="continue"/>
            <w:vAlign w:val="center"/>
          </w:tcPr>
          <w:p w14:paraId="464A3CA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46870832">
            <w:pPr>
              <w:snapToGrid w:val="0"/>
              <w:jc w:val="center"/>
              <w:rPr>
                <w:szCs w:val="21"/>
              </w:rPr>
            </w:pPr>
            <w:r>
              <w:rPr>
                <w:szCs w:val="21"/>
              </w:rPr>
              <w:t>四氟成型机</w:t>
            </w:r>
          </w:p>
        </w:tc>
        <w:tc>
          <w:tcPr>
            <w:tcW w:w="1285" w:type="pct"/>
            <w:vAlign w:val="center"/>
          </w:tcPr>
          <w:p w14:paraId="2759DEBB">
            <w:pPr>
              <w:snapToGrid w:val="0"/>
              <w:jc w:val="center"/>
              <w:rPr>
                <w:szCs w:val="21"/>
              </w:rPr>
            </w:pPr>
            <w:r>
              <w:rPr>
                <w:szCs w:val="21"/>
              </w:rPr>
              <w:t>/</w:t>
            </w:r>
          </w:p>
        </w:tc>
        <w:tc>
          <w:tcPr>
            <w:tcW w:w="456" w:type="pct"/>
            <w:vAlign w:val="center"/>
          </w:tcPr>
          <w:p w14:paraId="5FFFCA45">
            <w:pPr>
              <w:snapToGrid w:val="0"/>
              <w:jc w:val="center"/>
              <w:rPr>
                <w:szCs w:val="21"/>
              </w:rPr>
            </w:pPr>
            <w:r>
              <w:rPr>
                <w:szCs w:val="21"/>
              </w:rPr>
              <w:t>6</w:t>
            </w:r>
          </w:p>
        </w:tc>
        <w:tc>
          <w:tcPr>
            <w:tcW w:w="557" w:type="pct"/>
            <w:vAlign w:val="center"/>
          </w:tcPr>
          <w:p w14:paraId="61728D30">
            <w:pPr>
              <w:snapToGrid w:val="0"/>
              <w:jc w:val="center"/>
              <w:rPr>
                <w:szCs w:val="21"/>
              </w:rPr>
            </w:pPr>
            <w:r>
              <w:rPr>
                <w:szCs w:val="21"/>
              </w:rPr>
              <w:t>6</w:t>
            </w:r>
          </w:p>
        </w:tc>
        <w:tc>
          <w:tcPr>
            <w:tcW w:w="362" w:type="pct"/>
            <w:vAlign w:val="center"/>
          </w:tcPr>
          <w:p w14:paraId="2F56CA7D">
            <w:pPr>
              <w:snapToGrid w:val="0"/>
              <w:jc w:val="center"/>
              <w:rPr>
                <w:szCs w:val="21"/>
              </w:rPr>
            </w:pPr>
            <w:r>
              <w:rPr>
                <w:szCs w:val="21"/>
              </w:rPr>
              <w:t>0</w:t>
            </w:r>
          </w:p>
        </w:tc>
        <w:tc>
          <w:tcPr>
            <w:tcW w:w="793" w:type="pct"/>
            <w:vAlign w:val="center"/>
          </w:tcPr>
          <w:p w14:paraId="43812B99">
            <w:pPr>
              <w:snapToGrid w:val="0"/>
              <w:jc w:val="center"/>
              <w:rPr>
                <w:szCs w:val="21"/>
              </w:rPr>
            </w:pPr>
            <w:r>
              <w:rPr>
                <w:szCs w:val="21"/>
              </w:rPr>
              <w:t>国产</w:t>
            </w:r>
          </w:p>
        </w:tc>
      </w:tr>
      <w:tr w14:paraId="18079D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425A34E">
            <w:pPr>
              <w:snapToGrid w:val="0"/>
              <w:jc w:val="center"/>
              <w:rPr>
                <w:szCs w:val="21"/>
              </w:rPr>
            </w:pPr>
            <w:r>
              <w:rPr>
                <w:rFonts w:hint="eastAsia"/>
                <w:szCs w:val="21"/>
              </w:rPr>
              <w:t>69</w:t>
            </w:r>
          </w:p>
        </w:tc>
        <w:tc>
          <w:tcPr>
            <w:tcW w:w="354" w:type="pct"/>
            <w:vMerge w:val="continue"/>
            <w:vAlign w:val="center"/>
          </w:tcPr>
          <w:p w14:paraId="4CAE836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4779A6FE">
            <w:pPr>
              <w:snapToGrid w:val="0"/>
              <w:jc w:val="center"/>
              <w:rPr>
                <w:szCs w:val="21"/>
              </w:rPr>
            </w:pPr>
            <w:r>
              <w:rPr>
                <w:szCs w:val="21"/>
              </w:rPr>
              <w:t>滚边机</w:t>
            </w:r>
          </w:p>
        </w:tc>
        <w:tc>
          <w:tcPr>
            <w:tcW w:w="1285" w:type="pct"/>
            <w:vAlign w:val="center"/>
          </w:tcPr>
          <w:p w14:paraId="409B97BC">
            <w:pPr>
              <w:snapToGrid w:val="0"/>
              <w:jc w:val="center"/>
              <w:rPr>
                <w:szCs w:val="21"/>
              </w:rPr>
            </w:pPr>
            <w:r>
              <w:rPr>
                <w:szCs w:val="21"/>
              </w:rPr>
              <w:t>SY-GBJ002</w:t>
            </w:r>
          </w:p>
        </w:tc>
        <w:tc>
          <w:tcPr>
            <w:tcW w:w="456" w:type="pct"/>
            <w:vAlign w:val="center"/>
          </w:tcPr>
          <w:p w14:paraId="5BE06329">
            <w:pPr>
              <w:snapToGrid w:val="0"/>
              <w:jc w:val="center"/>
              <w:rPr>
                <w:szCs w:val="21"/>
              </w:rPr>
            </w:pPr>
            <w:r>
              <w:rPr>
                <w:szCs w:val="21"/>
              </w:rPr>
              <w:t>7</w:t>
            </w:r>
          </w:p>
        </w:tc>
        <w:tc>
          <w:tcPr>
            <w:tcW w:w="557" w:type="pct"/>
            <w:vAlign w:val="center"/>
          </w:tcPr>
          <w:p w14:paraId="72F580CB">
            <w:pPr>
              <w:snapToGrid w:val="0"/>
              <w:jc w:val="center"/>
              <w:rPr>
                <w:szCs w:val="21"/>
              </w:rPr>
            </w:pPr>
            <w:r>
              <w:rPr>
                <w:szCs w:val="21"/>
              </w:rPr>
              <w:t>7</w:t>
            </w:r>
          </w:p>
        </w:tc>
        <w:tc>
          <w:tcPr>
            <w:tcW w:w="362" w:type="pct"/>
            <w:vAlign w:val="center"/>
          </w:tcPr>
          <w:p w14:paraId="49C0D0E3">
            <w:pPr>
              <w:snapToGrid w:val="0"/>
              <w:jc w:val="center"/>
              <w:rPr>
                <w:szCs w:val="21"/>
              </w:rPr>
            </w:pPr>
            <w:r>
              <w:rPr>
                <w:szCs w:val="21"/>
              </w:rPr>
              <w:t>0</w:t>
            </w:r>
          </w:p>
        </w:tc>
        <w:tc>
          <w:tcPr>
            <w:tcW w:w="793" w:type="pct"/>
            <w:vAlign w:val="center"/>
          </w:tcPr>
          <w:p w14:paraId="27722FDE">
            <w:pPr>
              <w:snapToGrid w:val="0"/>
              <w:jc w:val="center"/>
              <w:rPr>
                <w:szCs w:val="21"/>
              </w:rPr>
            </w:pPr>
            <w:r>
              <w:rPr>
                <w:szCs w:val="21"/>
              </w:rPr>
              <w:t>国产</w:t>
            </w:r>
          </w:p>
        </w:tc>
      </w:tr>
      <w:tr w14:paraId="72D1F4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A335BEA">
            <w:pPr>
              <w:snapToGrid w:val="0"/>
              <w:jc w:val="center"/>
              <w:rPr>
                <w:szCs w:val="21"/>
              </w:rPr>
            </w:pPr>
            <w:r>
              <w:rPr>
                <w:rFonts w:hint="eastAsia"/>
                <w:szCs w:val="21"/>
              </w:rPr>
              <w:t>70</w:t>
            </w:r>
          </w:p>
        </w:tc>
        <w:tc>
          <w:tcPr>
            <w:tcW w:w="354" w:type="pct"/>
            <w:vMerge w:val="continue"/>
            <w:vAlign w:val="center"/>
          </w:tcPr>
          <w:p w14:paraId="504D5B04">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51D58FB">
            <w:pPr>
              <w:snapToGrid w:val="0"/>
              <w:jc w:val="center"/>
              <w:rPr>
                <w:szCs w:val="21"/>
              </w:rPr>
            </w:pPr>
            <w:r>
              <w:rPr>
                <w:szCs w:val="21"/>
              </w:rPr>
              <w:t>自动组合滚边线</w:t>
            </w:r>
          </w:p>
        </w:tc>
        <w:tc>
          <w:tcPr>
            <w:tcW w:w="1285" w:type="pct"/>
            <w:vAlign w:val="center"/>
          </w:tcPr>
          <w:p w14:paraId="1C3D24FE">
            <w:pPr>
              <w:snapToGrid w:val="0"/>
              <w:jc w:val="center"/>
              <w:rPr>
                <w:szCs w:val="21"/>
              </w:rPr>
            </w:pPr>
            <w:r>
              <w:rPr>
                <w:szCs w:val="21"/>
              </w:rPr>
              <w:t>/</w:t>
            </w:r>
          </w:p>
        </w:tc>
        <w:tc>
          <w:tcPr>
            <w:tcW w:w="456" w:type="pct"/>
            <w:vAlign w:val="center"/>
          </w:tcPr>
          <w:p w14:paraId="4C930AE7">
            <w:pPr>
              <w:snapToGrid w:val="0"/>
              <w:jc w:val="center"/>
              <w:rPr>
                <w:szCs w:val="21"/>
              </w:rPr>
            </w:pPr>
            <w:r>
              <w:rPr>
                <w:szCs w:val="21"/>
              </w:rPr>
              <w:t>0</w:t>
            </w:r>
          </w:p>
        </w:tc>
        <w:tc>
          <w:tcPr>
            <w:tcW w:w="557" w:type="pct"/>
            <w:vAlign w:val="center"/>
          </w:tcPr>
          <w:p w14:paraId="56E5F685">
            <w:pPr>
              <w:snapToGrid w:val="0"/>
              <w:jc w:val="center"/>
              <w:rPr>
                <w:szCs w:val="21"/>
              </w:rPr>
            </w:pPr>
            <w:r>
              <w:rPr>
                <w:szCs w:val="21"/>
              </w:rPr>
              <w:t>6</w:t>
            </w:r>
          </w:p>
        </w:tc>
        <w:tc>
          <w:tcPr>
            <w:tcW w:w="362" w:type="pct"/>
            <w:vAlign w:val="center"/>
          </w:tcPr>
          <w:p w14:paraId="23618082">
            <w:pPr>
              <w:snapToGrid w:val="0"/>
              <w:jc w:val="center"/>
              <w:rPr>
                <w:szCs w:val="21"/>
              </w:rPr>
            </w:pPr>
            <w:r>
              <w:rPr>
                <w:szCs w:val="21"/>
              </w:rPr>
              <w:t>+6</w:t>
            </w:r>
          </w:p>
        </w:tc>
        <w:tc>
          <w:tcPr>
            <w:tcW w:w="793" w:type="pct"/>
            <w:vAlign w:val="center"/>
          </w:tcPr>
          <w:p w14:paraId="54448223">
            <w:pPr>
              <w:snapToGrid w:val="0"/>
              <w:jc w:val="center"/>
              <w:rPr>
                <w:szCs w:val="21"/>
              </w:rPr>
            </w:pPr>
            <w:r>
              <w:rPr>
                <w:szCs w:val="21"/>
              </w:rPr>
              <w:t>国产</w:t>
            </w:r>
          </w:p>
        </w:tc>
      </w:tr>
      <w:tr w14:paraId="663EA22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6BDA0B5">
            <w:pPr>
              <w:snapToGrid w:val="0"/>
              <w:jc w:val="center"/>
              <w:rPr>
                <w:szCs w:val="21"/>
              </w:rPr>
            </w:pPr>
            <w:r>
              <w:rPr>
                <w:szCs w:val="21"/>
              </w:rPr>
              <w:t>71</w:t>
            </w:r>
          </w:p>
        </w:tc>
        <w:tc>
          <w:tcPr>
            <w:tcW w:w="354" w:type="pct"/>
            <w:vMerge w:val="continue"/>
            <w:vAlign w:val="center"/>
          </w:tcPr>
          <w:p w14:paraId="6A19348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4D7B6C5">
            <w:pPr>
              <w:snapToGrid w:val="0"/>
              <w:jc w:val="center"/>
              <w:rPr>
                <w:szCs w:val="21"/>
              </w:rPr>
            </w:pPr>
            <w:r>
              <w:rPr>
                <w:szCs w:val="21"/>
              </w:rPr>
              <w:t>二次加硫机</w:t>
            </w:r>
          </w:p>
        </w:tc>
        <w:tc>
          <w:tcPr>
            <w:tcW w:w="1285" w:type="pct"/>
            <w:vAlign w:val="center"/>
          </w:tcPr>
          <w:p w14:paraId="406067EE">
            <w:pPr>
              <w:snapToGrid w:val="0"/>
              <w:jc w:val="center"/>
              <w:rPr>
                <w:szCs w:val="21"/>
              </w:rPr>
            </w:pPr>
            <w:r>
              <w:rPr>
                <w:szCs w:val="21"/>
              </w:rPr>
              <w:t>/</w:t>
            </w:r>
          </w:p>
        </w:tc>
        <w:tc>
          <w:tcPr>
            <w:tcW w:w="456" w:type="pct"/>
            <w:vAlign w:val="center"/>
          </w:tcPr>
          <w:p w14:paraId="2A0B021E">
            <w:pPr>
              <w:snapToGrid w:val="0"/>
              <w:jc w:val="center"/>
              <w:rPr>
                <w:szCs w:val="21"/>
              </w:rPr>
            </w:pPr>
            <w:r>
              <w:rPr>
                <w:szCs w:val="21"/>
              </w:rPr>
              <w:t>6</w:t>
            </w:r>
          </w:p>
        </w:tc>
        <w:tc>
          <w:tcPr>
            <w:tcW w:w="557" w:type="pct"/>
            <w:vAlign w:val="center"/>
          </w:tcPr>
          <w:p w14:paraId="2E2D6D93">
            <w:pPr>
              <w:snapToGrid w:val="0"/>
              <w:jc w:val="center"/>
              <w:rPr>
                <w:szCs w:val="21"/>
              </w:rPr>
            </w:pPr>
            <w:r>
              <w:rPr>
                <w:szCs w:val="21"/>
              </w:rPr>
              <w:t>6</w:t>
            </w:r>
          </w:p>
        </w:tc>
        <w:tc>
          <w:tcPr>
            <w:tcW w:w="362" w:type="pct"/>
            <w:vAlign w:val="center"/>
          </w:tcPr>
          <w:p w14:paraId="6C117461">
            <w:pPr>
              <w:snapToGrid w:val="0"/>
              <w:jc w:val="center"/>
              <w:rPr>
                <w:szCs w:val="21"/>
              </w:rPr>
            </w:pPr>
            <w:r>
              <w:rPr>
                <w:szCs w:val="21"/>
              </w:rPr>
              <w:t>0</w:t>
            </w:r>
          </w:p>
        </w:tc>
        <w:tc>
          <w:tcPr>
            <w:tcW w:w="793" w:type="pct"/>
            <w:vAlign w:val="center"/>
          </w:tcPr>
          <w:p w14:paraId="184C7486">
            <w:pPr>
              <w:snapToGrid w:val="0"/>
              <w:jc w:val="center"/>
              <w:rPr>
                <w:szCs w:val="21"/>
              </w:rPr>
            </w:pPr>
            <w:r>
              <w:rPr>
                <w:szCs w:val="21"/>
              </w:rPr>
              <w:t>国产</w:t>
            </w:r>
          </w:p>
        </w:tc>
      </w:tr>
      <w:tr w14:paraId="38F68D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D9E9157">
            <w:pPr>
              <w:snapToGrid w:val="0"/>
              <w:jc w:val="center"/>
              <w:rPr>
                <w:szCs w:val="21"/>
              </w:rPr>
            </w:pPr>
            <w:r>
              <w:rPr>
                <w:szCs w:val="21"/>
              </w:rPr>
              <w:t>72</w:t>
            </w:r>
          </w:p>
        </w:tc>
        <w:tc>
          <w:tcPr>
            <w:tcW w:w="354" w:type="pct"/>
            <w:vMerge w:val="continue"/>
            <w:vAlign w:val="center"/>
          </w:tcPr>
          <w:p w14:paraId="0775DFAD">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3DE475B">
            <w:pPr>
              <w:snapToGrid w:val="0"/>
              <w:jc w:val="center"/>
              <w:rPr>
                <w:szCs w:val="21"/>
              </w:rPr>
            </w:pPr>
            <w:r>
              <w:rPr>
                <w:szCs w:val="21"/>
              </w:rPr>
              <w:t>烘箱</w:t>
            </w:r>
          </w:p>
        </w:tc>
        <w:tc>
          <w:tcPr>
            <w:tcW w:w="1285" w:type="pct"/>
            <w:vAlign w:val="center"/>
          </w:tcPr>
          <w:p w14:paraId="2AC3FD71">
            <w:pPr>
              <w:snapToGrid w:val="0"/>
              <w:jc w:val="center"/>
              <w:rPr>
                <w:szCs w:val="21"/>
              </w:rPr>
            </w:pPr>
            <w:r>
              <w:rPr>
                <w:szCs w:val="21"/>
              </w:rPr>
              <w:t>/</w:t>
            </w:r>
          </w:p>
        </w:tc>
        <w:tc>
          <w:tcPr>
            <w:tcW w:w="456" w:type="pct"/>
            <w:vAlign w:val="center"/>
          </w:tcPr>
          <w:p w14:paraId="05519037">
            <w:pPr>
              <w:snapToGrid w:val="0"/>
              <w:jc w:val="center"/>
              <w:rPr>
                <w:szCs w:val="21"/>
              </w:rPr>
            </w:pPr>
            <w:r>
              <w:rPr>
                <w:szCs w:val="21"/>
              </w:rPr>
              <w:t>0</w:t>
            </w:r>
          </w:p>
        </w:tc>
        <w:tc>
          <w:tcPr>
            <w:tcW w:w="557" w:type="pct"/>
            <w:vAlign w:val="center"/>
          </w:tcPr>
          <w:p w14:paraId="0DE4E22C">
            <w:pPr>
              <w:snapToGrid w:val="0"/>
              <w:jc w:val="center"/>
              <w:rPr>
                <w:szCs w:val="21"/>
              </w:rPr>
            </w:pPr>
            <w:r>
              <w:rPr>
                <w:szCs w:val="21"/>
              </w:rPr>
              <w:t>2</w:t>
            </w:r>
          </w:p>
        </w:tc>
        <w:tc>
          <w:tcPr>
            <w:tcW w:w="362" w:type="pct"/>
            <w:vAlign w:val="center"/>
          </w:tcPr>
          <w:p w14:paraId="05EB0224">
            <w:pPr>
              <w:snapToGrid w:val="0"/>
              <w:jc w:val="center"/>
              <w:rPr>
                <w:szCs w:val="21"/>
              </w:rPr>
            </w:pPr>
            <w:r>
              <w:rPr>
                <w:szCs w:val="21"/>
              </w:rPr>
              <w:t>+2</w:t>
            </w:r>
          </w:p>
        </w:tc>
        <w:tc>
          <w:tcPr>
            <w:tcW w:w="793" w:type="pct"/>
            <w:vAlign w:val="center"/>
          </w:tcPr>
          <w:p w14:paraId="07E5C953">
            <w:pPr>
              <w:snapToGrid w:val="0"/>
              <w:jc w:val="center"/>
              <w:rPr>
                <w:szCs w:val="21"/>
              </w:rPr>
            </w:pPr>
            <w:r>
              <w:rPr>
                <w:szCs w:val="21"/>
              </w:rPr>
              <w:t>国产</w:t>
            </w:r>
          </w:p>
        </w:tc>
      </w:tr>
      <w:tr w14:paraId="760154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739CFF6">
            <w:pPr>
              <w:snapToGrid w:val="0"/>
              <w:jc w:val="center"/>
              <w:rPr>
                <w:szCs w:val="21"/>
              </w:rPr>
            </w:pPr>
            <w:r>
              <w:rPr>
                <w:szCs w:val="21"/>
              </w:rPr>
              <w:t>73</w:t>
            </w:r>
          </w:p>
        </w:tc>
        <w:tc>
          <w:tcPr>
            <w:tcW w:w="354" w:type="pct"/>
            <w:vMerge w:val="continue"/>
            <w:vAlign w:val="center"/>
          </w:tcPr>
          <w:p w14:paraId="5BAEF3F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3322ADB">
            <w:pPr>
              <w:snapToGrid w:val="0"/>
              <w:jc w:val="center"/>
              <w:rPr>
                <w:szCs w:val="21"/>
              </w:rPr>
            </w:pPr>
            <w:r>
              <w:rPr>
                <w:szCs w:val="21"/>
              </w:rPr>
              <w:t>数控车床</w:t>
            </w:r>
          </w:p>
        </w:tc>
        <w:tc>
          <w:tcPr>
            <w:tcW w:w="1285" w:type="pct"/>
            <w:vAlign w:val="center"/>
          </w:tcPr>
          <w:p w14:paraId="47299377">
            <w:pPr>
              <w:snapToGrid w:val="0"/>
              <w:jc w:val="center"/>
              <w:rPr>
                <w:szCs w:val="21"/>
              </w:rPr>
            </w:pPr>
            <w:r>
              <w:rPr>
                <w:szCs w:val="21"/>
              </w:rPr>
              <w:t>CK340A</w:t>
            </w:r>
          </w:p>
        </w:tc>
        <w:tc>
          <w:tcPr>
            <w:tcW w:w="456" w:type="pct"/>
            <w:vAlign w:val="center"/>
          </w:tcPr>
          <w:p w14:paraId="0B949BB5">
            <w:pPr>
              <w:snapToGrid w:val="0"/>
              <w:jc w:val="center"/>
              <w:rPr>
                <w:szCs w:val="21"/>
              </w:rPr>
            </w:pPr>
            <w:r>
              <w:rPr>
                <w:szCs w:val="21"/>
              </w:rPr>
              <w:t>7</w:t>
            </w:r>
          </w:p>
        </w:tc>
        <w:tc>
          <w:tcPr>
            <w:tcW w:w="557" w:type="pct"/>
            <w:vAlign w:val="center"/>
          </w:tcPr>
          <w:p w14:paraId="6CF69077">
            <w:pPr>
              <w:snapToGrid w:val="0"/>
              <w:jc w:val="center"/>
              <w:rPr>
                <w:szCs w:val="21"/>
              </w:rPr>
            </w:pPr>
            <w:r>
              <w:rPr>
                <w:szCs w:val="21"/>
              </w:rPr>
              <w:t>9</w:t>
            </w:r>
          </w:p>
        </w:tc>
        <w:tc>
          <w:tcPr>
            <w:tcW w:w="362" w:type="pct"/>
            <w:vAlign w:val="center"/>
          </w:tcPr>
          <w:p w14:paraId="6D112409">
            <w:pPr>
              <w:snapToGrid w:val="0"/>
              <w:jc w:val="center"/>
              <w:rPr>
                <w:szCs w:val="21"/>
              </w:rPr>
            </w:pPr>
            <w:r>
              <w:rPr>
                <w:szCs w:val="21"/>
              </w:rPr>
              <w:t>+2</w:t>
            </w:r>
          </w:p>
        </w:tc>
        <w:tc>
          <w:tcPr>
            <w:tcW w:w="793" w:type="pct"/>
            <w:vAlign w:val="center"/>
          </w:tcPr>
          <w:p w14:paraId="3D6AD617">
            <w:pPr>
              <w:snapToGrid w:val="0"/>
              <w:jc w:val="center"/>
              <w:rPr>
                <w:szCs w:val="21"/>
              </w:rPr>
            </w:pPr>
            <w:r>
              <w:rPr>
                <w:szCs w:val="21"/>
              </w:rPr>
              <w:t>国产</w:t>
            </w:r>
          </w:p>
        </w:tc>
      </w:tr>
      <w:tr w14:paraId="66AB8C4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0D1CB95">
            <w:pPr>
              <w:snapToGrid w:val="0"/>
              <w:jc w:val="center"/>
              <w:rPr>
                <w:szCs w:val="21"/>
              </w:rPr>
            </w:pPr>
            <w:r>
              <w:rPr>
                <w:szCs w:val="21"/>
              </w:rPr>
              <w:t>74</w:t>
            </w:r>
          </w:p>
        </w:tc>
        <w:tc>
          <w:tcPr>
            <w:tcW w:w="354" w:type="pct"/>
            <w:vMerge w:val="continue"/>
            <w:vAlign w:val="center"/>
          </w:tcPr>
          <w:p w14:paraId="2315498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09D2761">
            <w:pPr>
              <w:snapToGrid w:val="0"/>
              <w:jc w:val="center"/>
              <w:rPr>
                <w:szCs w:val="21"/>
              </w:rPr>
            </w:pPr>
            <w:r>
              <w:rPr>
                <w:szCs w:val="21"/>
              </w:rPr>
              <w:t>磨刀机</w:t>
            </w:r>
          </w:p>
        </w:tc>
        <w:tc>
          <w:tcPr>
            <w:tcW w:w="1285" w:type="pct"/>
            <w:vAlign w:val="center"/>
          </w:tcPr>
          <w:p w14:paraId="3CD9A93C">
            <w:pPr>
              <w:snapToGrid w:val="0"/>
              <w:jc w:val="center"/>
              <w:rPr>
                <w:szCs w:val="21"/>
              </w:rPr>
            </w:pPr>
            <w:r>
              <w:rPr>
                <w:szCs w:val="21"/>
              </w:rPr>
              <w:t>/</w:t>
            </w:r>
          </w:p>
        </w:tc>
        <w:tc>
          <w:tcPr>
            <w:tcW w:w="456" w:type="pct"/>
            <w:vAlign w:val="center"/>
          </w:tcPr>
          <w:p w14:paraId="05874B7C">
            <w:pPr>
              <w:snapToGrid w:val="0"/>
              <w:jc w:val="center"/>
              <w:rPr>
                <w:szCs w:val="21"/>
              </w:rPr>
            </w:pPr>
            <w:r>
              <w:rPr>
                <w:szCs w:val="21"/>
              </w:rPr>
              <w:t>1</w:t>
            </w:r>
          </w:p>
        </w:tc>
        <w:tc>
          <w:tcPr>
            <w:tcW w:w="557" w:type="pct"/>
            <w:vAlign w:val="center"/>
          </w:tcPr>
          <w:p w14:paraId="0CBCCAB7">
            <w:pPr>
              <w:snapToGrid w:val="0"/>
              <w:jc w:val="center"/>
              <w:rPr>
                <w:szCs w:val="21"/>
              </w:rPr>
            </w:pPr>
            <w:r>
              <w:rPr>
                <w:szCs w:val="21"/>
              </w:rPr>
              <w:t>1</w:t>
            </w:r>
          </w:p>
        </w:tc>
        <w:tc>
          <w:tcPr>
            <w:tcW w:w="362" w:type="pct"/>
            <w:vAlign w:val="center"/>
          </w:tcPr>
          <w:p w14:paraId="36E0A0E6">
            <w:pPr>
              <w:snapToGrid w:val="0"/>
              <w:jc w:val="center"/>
              <w:rPr>
                <w:szCs w:val="21"/>
              </w:rPr>
            </w:pPr>
            <w:r>
              <w:rPr>
                <w:szCs w:val="21"/>
              </w:rPr>
              <w:t>0</w:t>
            </w:r>
          </w:p>
        </w:tc>
        <w:tc>
          <w:tcPr>
            <w:tcW w:w="793" w:type="pct"/>
            <w:vAlign w:val="center"/>
          </w:tcPr>
          <w:p w14:paraId="024F804E">
            <w:pPr>
              <w:snapToGrid w:val="0"/>
              <w:jc w:val="center"/>
              <w:rPr>
                <w:szCs w:val="21"/>
              </w:rPr>
            </w:pPr>
            <w:r>
              <w:rPr>
                <w:szCs w:val="21"/>
              </w:rPr>
              <w:t>国产</w:t>
            </w:r>
          </w:p>
        </w:tc>
      </w:tr>
      <w:tr w14:paraId="72D9EB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89EF85F">
            <w:pPr>
              <w:snapToGrid w:val="0"/>
              <w:jc w:val="center"/>
              <w:rPr>
                <w:szCs w:val="21"/>
              </w:rPr>
            </w:pPr>
            <w:r>
              <w:rPr>
                <w:szCs w:val="21"/>
              </w:rPr>
              <w:t>75</w:t>
            </w:r>
          </w:p>
        </w:tc>
        <w:tc>
          <w:tcPr>
            <w:tcW w:w="354" w:type="pct"/>
            <w:vMerge w:val="restart"/>
            <w:vAlign w:val="center"/>
          </w:tcPr>
          <w:p w14:paraId="6E1587AE">
            <w:pPr>
              <w:pStyle w:val="86"/>
              <w:spacing w:beforeLines="0" w:line="240" w:lineRule="auto"/>
              <w:ind w:firstLine="0" w:firstLineChars="0"/>
              <w:jc w:val="center"/>
              <w:rPr>
                <w:rFonts w:ascii="Times New Roman" w:hAnsi="Times New Roman"/>
                <w:sz w:val="21"/>
                <w:szCs w:val="21"/>
              </w:rPr>
            </w:pPr>
            <w:r>
              <w:rPr>
                <w:rFonts w:ascii="Times New Roman" w:hAnsi="Times New Roman"/>
                <w:sz w:val="21"/>
                <w:szCs w:val="21"/>
              </w:rPr>
              <w:t>5#车间</w:t>
            </w:r>
          </w:p>
        </w:tc>
        <w:tc>
          <w:tcPr>
            <w:tcW w:w="964" w:type="pct"/>
            <w:vAlign w:val="center"/>
          </w:tcPr>
          <w:p w14:paraId="0EEC0A8F">
            <w:pPr>
              <w:snapToGrid w:val="0"/>
              <w:jc w:val="center"/>
              <w:rPr>
                <w:szCs w:val="21"/>
              </w:rPr>
            </w:pPr>
            <w:r>
              <w:rPr>
                <w:szCs w:val="21"/>
              </w:rPr>
              <w:t>加工中心</w:t>
            </w:r>
          </w:p>
        </w:tc>
        <w:tc>
          <w:tcPr>
            <w:tcW w:w="1285" w:type="pct"/>
            <w:vAlign w:val="center"/>
          </w:tcPr>
          <w:p w14:paraId="1303F2E7">
            <w:pPr>
              <w:snapToGrid w:val="0"/>
              <w:jc w:val="center"/>
              <w:rPr>
                <w:szCs w:val="21"/>
              </w:rPr>
            </w:pPr>
            <w:r>
              <w:rPr>
                <w:szCs w:val="21"/>
              </w:rPr>
              <w:t>800</w:t>
            </w:r>
          </w:p>
        </w:tc>
        <w:tc>
          <w:tcPr>
            <w:tcW w:w="456" w:type="pct"/>
            <w:vAlign w:val="center"/>
          </w:tcPr>
          <w:p w14:paraId="050F01E0">
            <w:pPr>
              <w:snapToGrid w:val="0"/>
              <w:jc w:val="center"/>
              <w:rPr>
                <w:szCs w:val="21"/>
              </w:rPr>
            </w:pPr>
            <w:r>
              <w:rPr>
                <w:szCs w:val="21"/>
              </w:rPr>
              <w:t>0</w:t>
            </w:r>
          </w:p>
        </w:tc>
        <w:tc>
          <w:tcPr>
            <w:tcW w:w="557" w:type="pct"/>
            <w:vAlign w:val="center"/>
          </w:tcPr>
          <w:p w14:paraId="26DB4B89">
            <w:pPr>
              <w:snapToGrid w:val="0"/>
              <w:jc w:val="center"/>
              <w:rPr>
                <w:szCs w:val="21"/>
              </w:rPr>
            </w:pPr>
            <w:r>
              <w:rPr>
                <w:szCs w:val="21"/>
              </w:rPr>
              <w:t>1</w:t>
            </w:r>
          </w:p>
        </w:tc>
        <w:tc>
          <w:tcPr>
            <w:tcW w:w="362" w:type="pct"/>
            <w:vAlign w:val="center"/>
          </w:tcPr>
          <w:p w14:paraId="61497525">
            <w:pPr>
              <w:snapToGrid w:val="0"/>
              <w:jc w:val="center"/>
              <w:rPr>
                <w:szCs w:val="21"/>
              </w:rPr>
            </w:pPr>
            <w:r>
              <w:rPr>
                <w:szCs w:val="21"/>
              </w:rPr>
              <w:t>+1</w:t>
            </w:r>
          </w:p>
        </w:tc>
        <w:tc>
          <w:tcPr>
            <w:tcW w:w="793" w:type="pct"/>
            <w:vAlign w:val="center"/>
          </w:tcPr>
          <w:p w14:paraId="350E8B9D">
            <w:pPr>
              <w:snapToGrid w:val="0"/>
              <w:jc w:val="center"/>
              <w:rPr>
                <w:szCs w:val="21"/>
              </w:rPr>
            </w:pPr>
            <w:r>
              <w:rPr>
                <w:szCs w:val="21"/>
              </w:rPr>
              <w:t>国产</w:t>
            </w:r>
          </w:p>
        </w:tc>
      </w:tr>
      <w:tr w14:paraId="04A73F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C9AE99A">
            <w:pPr>
              <w:snapToGrid w:val="0"/>
              <w:jc w:val="center"/>
              <w:rPr>
                <w:szCs w:val="21"/>
              </w:rPr>
            </w:pPr>
            <w:r>
              <w:rPr>
                <w:szCs w:val="21"/>
              </w:rPr>
              <w:t>76</w:t>
            </w:r>
          </w:p>
        </w:tc>
        <w:tc>
          <w:tcPr>
            <w:tcW w:w="354" w:type="pct"/>
            <w:vMerge w:val="continue"/>
            <w:vAlign w:val="center"/>
          </w:tcPr>
          <w:p w14:paraId="485232DF">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280E2B6">
            <w:pPr>
              <w:snapToGrid w:val="0"/>
              <w:jc w:val="center"/>
              <w:rPr>
                <w:szCs w:val="21"/>
              </w:rPr>
            </w:pPr>
            <w:r>
              <w:rPr>
                <w:szCs w:val="21"/>
              </w:rPr>
              <w:t>精雕机</w:t>
            </w:r>
          </w:p>
        </w:tc>
        <w:tc>
          <w:tcPr>
            <w:tcW w:w="1285" w:type="pct"/>
            <w:vAlign w:val="center"/>
          </w:tcPr>
          <w:p w14:paraId="5F5BEA55">
            <w:pPr>
              <w:snapToGrid w:val="0"/>
              <w:jc w:val="center"/>
              <w:rPr>
                <w:szCs w:val="21"/>
              </w:rPr>
            </w:pPr>
            <w:r>
              <w:rPr>
                <w:szCs w:val="21"/>
              </w:rPr>
              <w:t>570</w:t>
            </w:r>
          </w:p>
        </w:tc>
        <w:tc>
          <w:tcPr>
            <w:tcW w:w="456" w:type="pct"/>
            <w:vAlign w:val="center"/>
          </w:tcPr>
          <w:p w14:paraId="63ED9CA1">
            <w:pPr>
              <w:snapToGrid w:val="0"/>
              <w:jc w:val="center"/>
              <w:rPr>
                <w:szCs w:val="21"/>
              </w:rPr>
            </w:pPr>
            <w:r>
              <w:rPr>
                <w:szCs w:val="21"/>
              </w:rPr>
              <w:t>0</w:t>
            </w:r>
          </w:p>
        </w:tc>
        <w:tc>
          <w:tcPr>
            <w:tcW w:w="557" w:type="pct"/>
            <w:vAlign w:val="center"/>
          </w:tcPr>
          <w:p w14:paraId="1C384D0F">
            <w:pPr>
              <w:snapToGrid w:val="0"/>
              <w:jc w:val="center"/>
              <w:rPr>
                <w:szCs w:val="21"/>
              </w:rPr>
            </w:pPr>
            <w:r>
              <w:rPr>
                <w:szCs w:val="21"/>
              </w:rPr>
              <w:t>2</w:t>
            </w:r>
          </w:p>
        </w:tc>
        <w:tc>
          <w:tcPr>
            <w:tcW w:w="362" w:type="pct"/>
            <w:vAlign w:val="center"/>
          </w:tcPr>
          <w:p w14:paraId="0EC85282">
            <w:pPr>
              <w:snapToGrid w:val="0"/>
              <w:jc w:val="center"/>
              <w:rPr>
                <w:szCs w:val="21"/>
              </w:rPr>
            </w:pPr>
            <w:r>
              <w:rPr>
                <w:szCs w:val="21"/>
              </w:rPr>
              <w:t>+2</w:t>
            </w:r>
          </w:p>
        </w:tc>
        <w:tc>
          <w:tcPr>
            <w:tcW w:w="793" w:type="pct"/>
            <w:vAlign w:val="center"/>
          </w:tcPr>
          <w:p w14:paraId="0872D323">
            <w:pPr>
              <w:snapToGrid w:val="0"/>
              <w:jc w:val="center"/>
              <w:rPr>
                <w:szCs w:val="21"/>
              </w:rPr>
            </w:pPr>
            <w:r>
              <w:rPr>
                <w:szCs w:val="21"/>
              </w:rPr>
              <w:t>国产</w:t>
            </w:r>
          </w:p>
        </w:tc>
      </w:tr>
      <w:tr w14:paraId="1F92352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F12BD2E">
            <w:pPr>
              <w:snapToGrid w:val="0"/>
              <w:jc w:val="center"/>
              <w:rPr>
                <w:szCs w:val="21"/>
              </w:rPr>
            </w:pPr>
            <w:r>
              <w:rPr>
                <w:szCs w:val="21"/>
              </w:rPr>
              <w:t>77</w:t>
            </w:r>
          </w:p>
        </w:tc>
        <w:tc>
          <w:tcPr>
            <w:tcW w:w="354" w:type="pct"/>
            <w:vMerge w:val="restart"/>
            <w:vAlign w:val="center"/>
          </w:tcPr>
          <w:p w14:paraId="04306FD3">
            <w:pPr>
              <w:pStyle w:val="86"/>
              <w:spacing w:beforeLines="0" w:line="240" w:lineRule="auto"/>
              <w:ind w:firstLine="0" w:firstLineChars="0"/>
              <w:jc w:val="center"/>
              <w:rPr>
                <w:rFonts w:ascii="Times New Roman" w:hAnsi="Times New Roman"/>
                <w:sz w:val="21"/>
                <w:szCs w:val="21"/>
              </w:rPr>
            </w:pPr>
            <w:r>
              <w:rPr>
                <w:rFonts w:ascii="Times New Roman" w:hAnsi="Times New Roman"/>
                <w:sz w:val="21"/>
                <w:szCs w:val="21"/>
              </w:rPr>
              <w:t>公用辅助设备</w:t>
            </w:r>
          </w:p>
        </w:tc>
        <w:tc>
          <w:tcPr>
            <w:tcW w:w="964" w:type="pct"/>
            <w:vAlign w:val="center"/>
          </w:tcPr>
          <w:p w14:paraId="680896C1">
            <w:pPr>
              <w:snapToGrid w:val="0"/>
              <w:jc w:val="center"/>
              <w:rPr>
                <w:szCs w:val="21"/>
              </w:rPr>
            </w:pPr>
            <w:r>
              <w:rPr>
                <w:szCs w:val="21"/>
              </w:rPr>
              <w:t>智能化管理系统</w:t>
            </w:r>
          </w:p>
        </w:tc>
        <w:tc>
          <w:tcPr>
            <w:tcW w:w="1285" w:type="pct"/>
            <w:vAlign w:val="center"/>
          </w:tcPr>
          <w:p w14:paraId="085CF947">
            <w:pPr>
              <w:snapToGrid w:val="0"/>
              <w:jc w:val="center"/>
              <w:rPr>
                <w:szCs w:val="21"/>
              </w:rPr>
            </w:pPr>
            <w:r>
              <w:rPr>
                <w:szCs w:val="21"/>
              </w:rPr>
              <w:t>用友</w:t>
            </w:r>
          </w:p>
        </w:tc>
        <w:tc>
          <w:tcPr>
            <w:tcW w:w="456" w:type="pct"/>
            <w:vAlign w:val="center"/>
          </w:tcPr>
          <w:p w14:paraId="18BD0232">
            <w:pPr>
              <w:snapToGrid w:val="0"/>
              <w:jc w:val="center"/>
              <w:rPr>
                <w:szCs w:val="21"/>
              </w:rPr>
            </w:pPr>
            <w:r>
              <w:rPr>
                <w:szCs w:val="21"/>
              </w:rPr>
              <w:t>1</w:t>
            </w:r>
          </w:p>
        </w:tc>
        <w:tc>
          <w:tcPr>
            <w:tcW w:w="557" w:type="pct"/>
            <w:vAlign w:val="center"/>
          </w:tcPr>
          <w:p w14:paraId="25ECA429">
            <w:pPr>
              <w:snapToGrid w:val="0"/>
              <w:jc w:val="center"/>
              <w:rPr>
                <w:szCs w:val="21"/>
              </w:rPr>
            </w:pPr>
            <w:r>
              <w:rPr>
                <w:szCs w:val="21"/>
              </w:rPr>
              <w:t>1</w:t>
            </w:r>
          </w:p>
        </w:tc>
        <w:tc>
          <w:tcPr>
            <w:tcW w:w="362" w:type="pct"/>
            <w:vAlign w:val="center"/>
          </w:tcPr>
          <w:p w14:paraId="7A2A4F7B">
            <w:pPr>
              <w:snapToGrid w:val="0"/>
              <w:jc w:val="center"/>
              <w:rPr>
                <w:szCs w:val="21"/>
              </w:rPr>
            </w:pPr>
            <w:r>
              <w:rPr>
                <w:szCs w:val="21"/>
              </w:rPr>
              <w:t>0</w:t>
            </w:r>
          </w:p>
        </w:tc>
        <w:tc>
          <w:tcPr>
            <w:tcW w:w="793" w:type="pct"/>
            <w:vAlign w:val="center"/>
          </w:tcPr>
          <w:p w14:paraId="2D422B0B">
            <w:pPr>
              <w:snapToGrid w:val="0"/>
              <w:jc w:val="center"/>
              <w:rPr>
                <w:szCs w:val="21"/>
              </w:rPr>
            </w:pPr>
            <w:r>
              <w:rPr>
                <w:szCs w:val="21"/>
              </w:rPr>
              <w:t>国外</w:t>
            </w:r>
          </w:p>
        </w:tc>
      </w:tr>
      <w:tr w14:paraId="6C4E05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23463CE">
            <w:pPr>
              <w:snapToGrid w:val="0"/>
              <w:jc w:val="center"/>
              <w:rPr>
                <w:szCs w:val="21"/>
              </w:rPr>
            </w:pPr>
            <w:r>
              <w:rPr>
                <w:szCs w:val="21"/>
              </w:rPr>
              <w:t>78</w:t>
            </w:r>
          </w:p>
        </w:tc>
        <w:tc>
          <w:tcPr>
            <w:tcW w:w="354" w:type="pct"/>
            <w:vMerge w:val="continue"/>
            <w:vAlign w:val="center"/>
          </w:tcPr>
          <w:p w14:paraId="01110BE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B891717">
            <w:pPr>
              <w:snapToGrid w:val="0"/>
              <w:jc w:val="center"/>
              <w:rPr>
                <w:szCs w:val="21"/>
              </w:rPr>
            </w:pPr>
            <w:r>
              <w:rPr>
                <w:szCs w:val="21"/>
              </w:rPr>
              <w:t>空调系统</w:t>
            </w:r>
          </w:p>
        </w:tc>
        <w:tc>
          <w:tcPr>
            <w:tcW w:w="1285" w:type="pct"/>
            <w:vAlign w:val="center"/>
          </w:tcPr>
          <w:p w14:paraId="6D678F6A">
            <w:pPr>
              <w:snapToGrid w:val="0"/>
              <w:jc w:val="center"/>
              <w:rPr>
                <w:szCs w:val="21"/>
              </w:rPr>
            </w:pPr>
            <w:r>
              <w:rPr>
                <w:szCs w:val="21"/>
              </w:rPr>
              <w:t>/</w:t>
            </w:r>
          </w:p>
        </w:tc>
        <w:tc>
          <w:tcPr>
            <w:tcW w:w="456" w:type="pct"/>
            <w:vAlign w:val="center"/>
          </w:tcPr>
          <w:p w14:paraId="7251BB67">
            <w:pPr>
              <w:snapToGrid w:val="0"/>
              <w:jc w:val="center"/>
              <w:rPr>
                <w:szCs w:val="21"/>
              </w:rPr>
            </w:pPr>
            <w:r>
              <w:rPr>
                <w:szCs w:val="21"/>
              </w:rPr>
              <w:t>4</w:t>
            </w:r>
          </w:p>
        </w:tc>
        <w:tc>
          <w:tcPr>
            <w:tcW w:w="557" w:type="pct"/>
            <w:vAlign w:val="center"/>
          </w:tcPr>
          <w:p w14:paraId="592A2F1A">
            <w:pPr>
              <w:snapToGrid w:val="0"/>
              <w:jc w:val="center"/>
              <w:rPr>
                <w:szCs w:val="21"/>
              </w:rPr>
            </w:pPr>
            <w:r>
              <w:rPr>
                <w:szCs w:val="21"/>
              </w:rPr>
              <w:t>4</w:t>
            </w:r>
          </w:p>
        </w:tc>
        <w:tc>
          <w:tcPr>
            <w:tcW w:w="362" w:type="pct"/>
            <w:vAlign w:val="center"/>
          </w:tcPr>
          <w:p w14:paraId="6AFB4D9F">
            <w:pPr>
              <w:snapToGrid w:val="0"/>
              <w:jc w:val="center"/>
              <w:rPr>
                <w:szCs w:val="21"/>
              </w:rPr>
            </w:pPr>
            <w:r>
              <w:rPr>
                <w:szCs w:val="21"/>
              </w:rPr>
              <w:t>0</w:t>
            </w:r>
          </w:p>
        </w:tc>
        <w:tc>
          <w:tcPr>
            <w:tcW w:w="793" w:type="pct"/>
            <w:vAlign w:val="center"/>
          </w:tcPr>
          <w:p w14:paraId="36568F78">
            <w:pPr>
              <w:snapToGrid w:val="0"/>
              <w:jc w:val="center"/>
              <w:rPr>
                <w:szCs w:val="21"/>
              </w:rPr>
            </w:pPr>
            <w:r>
              <w:rPr>
                <w:szCs w:val="21"/>
              </w:rPr>
              <w:t>国产</w:t>
            </w:r>
          </w:p>
        </w:tc>
      </w:tr>
      <w:tr w14:paraId="46C315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17A78AC">
            <w:pPr>
              <w:snapToGrid w:val="0"/>
              <w:jc w:val="center"/>
              <w:rPr>
                <w:szCs w:val="21"/>
              </w:rPr>
            </w:pPr>
            <w:r>
              <w:rPr>
                <w:szCs w:val="21"/>
              </w:rPr>
              <w:t>79</w:t>
            </w:r>
          </w:p>
        </w:tc>
        <w:tc>
          <w:tcPr>
            <w:tcW w:w="354" w:type="pct"/>
            <w:vMerge w:val="continue"/>
            <w:vAlign w:val="center"/>
          </w:tcPr>
          <w:p w14:paraId="030CD64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03B58B4">
            <w:pPr>
              <w:snapToGrid w:val="0"/>
              <w:jc w:val="center"/>
              <w:rPr>
                <w:szCs w:val="21"/>
              </w:rPr>
            </w:pPr>
            <w:r>
              <w:rPr>
                <w:szCs w:val="21"/>
              </w:rPr>
              <w:t>空压机</w:t>
            </w:r>
          </w:p>
        </w:tc>
        <w:tc>
          <w:tcPr>
            <w:tcW w:w="1285" w:type="pct"/>
            <w:vAlign w:val="center"/>
          </w:tcPr>
          <w:p w14:paraId="3D9C48AE">
            <w:pPr>
              <w:snapToGrid w:val="0"/>
              <w:jc w:val="center"/>
              <w:rPr>
                <w:szCs w:val="21"/>
              </w:rPr>
            </w:pPr>
            <w:r>
              <w:rPr>
                <w:szCs w:val="21"/>
              </w:rPr>
              <w:t>10m</w:t>
            </w:r>
            <w:r>
              <w:rPr>
                <w:szCs w:val="21"/>
                <w:vertAlign w:val="superscript"/>
              </w:rPr>
              <w:t>3</w:t>
            </w:r>
            <w:r>
              <w:rPr>
                <w:szCs w:val="21"/>
              </w:rPr>
              <w:t>/min或20m</w:t>
            </w:r>
            <w:r>
              <w:rPr>
                <w:szCs w:val="21"/>
                <w:vertAlign w:val="superscript"/>
              </w:rPr>
              <w:t>3</w:t>
            </w:r>
            <w:r>
              <w:rPr>
                <w:szCs w:val="21"/>
              </w:rPr>
              <w:t>/min</w:t>
            </w:r>
          </w:p>
        </w:tc>
        <w:tc>
          <w:tcPr>
            <w:tcW w:w="456" w:type="pct"/>
            <w:vAlign w:val="center"/>
          </w:tcPr>
          <w:p w14:paraId="7CD9F47A">
            <w:pPr>
              <w:snapToGrid w:val="0"/>
              <w:jc w:val="center"/>
              <w:rPr>
                <w:szCs w:val="21"/>
              </w:rPr>
            </w:pPr>
            <w:r>
              <w:rPr>
                <w:szCs w:val="21"/>
              </w:rPr>
              <w:t>5</w:t>
            </w:r>
          </w:p>
        </w:tc>
        <w:tc>
          <w:tcPr>
            <w:tcW w:w="557" w:type="pct"/>
            <w:vAlign w:val="center"/>
          </w:tcPr>
          <w:p w14:paraId="67A83E1B">
            <w:pPr>
              <w:snapToGrid w:val="0"/>
              <w:jc w:val="center"/>
              <w:rPr>
                <w:szCs w:val="21"/>
              </w:rPr>
            </w:pPr>
            <w:r>
              <w:rPr>
                <w:szCs w:val="21"/>
              </w:rPr>
              <w:t>5</w:t>
            </w:r>
          </w:p>
        </w:tc>
        <w:tc>
          <w:tcPr>
            <w:tcW w:w="362" w:type="pct"/>
            <w:vAlign w:val="center"/>
          </w:tcPr>
          <w:p w14:paraId="0588B8CF">
            <w:pPr>
              <w:snapToGrid w:val="0"/>
              <w:jc w:val="center"/>
              <w:rPr>
                <w:szCs w:val="21"/>
              </w:rPr>
            </w:pPr>
            <w:r>
              <w:rPr>
                <w:szCs w:val="21"/>
              </w:rPr>
              <w:t>0</w:t>
            </w:r>
          </w:p>
        </w:tc>
        <w:tc>
          <w:tcPr>
            <w:tcW w:w="793" w:type="pct"/>
            <w:vAlign w:val="center"/>
          </w:tcPr>
          <w:p w14:paraId="02E546BD">
            <w:pPr>
              <w:snapToGrid w:val="0"/>
              <w:jc w:val="center"/>
              <w:rPr>
                <w:szCs w:val="21"/>
              </w:rPr>
            </w:pPr>
            <w:r>
              <w:rPr>
                <w:szCs w:val="21"/>
              </w:rPr>
              <w:t>国产</w:t>
            </w:r>
          </w:p>
        </w:tc>
      </w:tr>
      <w:tr w14:paraId="4F3852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5B2F394">
            <w:pPr>
              <w:snapToGrid w:val="0"/>
              <w:jc w:val="center"/>
              <w:rPr>
                <w:szCs w:val="21"/>
              </w:rPr>
            </w:pPr>
            <w:r>
              <w:rPr>
                <w:szCs w:val="21"/>
              </w:rPr>
              <w:t>80</w:t>
            </w:r>
          </w:p>
        </w:tc>
        <w:tc>
          <w:tcPr>
            <w:tcW w:w="354" w:type="pct"/>
            <w:vMerge w:val="continue"/>
            <w:vAlign w:val="center"/>
          </w:tcPr>
          <w:p w14:paraId="31FF296F">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EE63678">
            <w:pPr>
              <w:snapToGrid w:val="0"/>
              <w:jc w:val="center"/>
              <w:rPr>
                <w:szCs w:val="21"/>
              </w:rPr>
            </w:pPr>
            <w:r>
              <w:rPr>
                <w:szCs w:val="21"/>
              </w:rPr>
              <w:t>冷却水系统</w:t>
            </w:r>
          </w:p>
        </w:tc>
        <w:tc>
          <w:tcPr>
            <w:tcW w:w="1285" w:type="pct"/>
            <w:vAlign w:val="center"/>
          </w:tcPr>
          <w:p w14:paraId="1A194325">
            <w:pPr>
              <w:snapToGrid w:val="0"/>
              <w:jc w:val="center"/>
              <w:rPr>
                <w:szCs w:val="21"/>
              </w:rPr>
            </w:pPr>
            <w:r>
              <w:rPr>
                <w:szCs w:val="21"/>
              </w:rPr>
              <w:t>/</w:t>
            </w:r>
          </w:p>
        </w:tc>
        <w:tc>
          <w:tcPr>
            <w:tcW w:w="456" w:type="pct"/>
            <w:vAlign w:val="center"/>
          </w:tcPr>
          <w:p w14:paraId="7949710B">
            <w:pPr>
              <w:snapToGrid w:val="0"/>
              <w:jc w:val="center"/>
              <w:rPr>
                <w:szCs w:val="21"/>
              </w:rPr>
            </w:pPr>
            <w:r>
              <w:rPr>
                <w:szCs w:val="21"/>
              </w:rPr>
              <w:t>2</w:t>
            </w:r>
          </w:p>
        </w:tc>
        <w:tc>
          <w:tcPr>
            <w:tcW w:w="557" w:type="pct"/>
            <w:vAlign w:val="center"/>
          </w:tcPr>
          <w:p w14:paraId="47E6E0BE">
            <w:pPr>
              <w:snapToGrid w:val="0"/>
              <w:jc w:val="center"/>
              <w:rPr>
                <w:szCs w:val="21"/>
              </w:rPr>
            </w:pPr>
            <w:r>
              <w:rPr>
                <w:szCs w:val="21"/>
              </w:rPr>
              <w:t>2</w:t>
            </w:r>
          </w:p>
        </w:tc>
        <w:tc>
          <w:tcPr>
            <w:tcW w:w="362" w:type="pct"/>
            <w:vAlign w:val="center"/>
          </w:tcPr>
          <w:p w14:paraId="2D2A2981">
            <w:pPr>
              <w:snapToGrid w:val="0"/>
              <w:jc w:val="center"/>
              <w:rPr>
                <w:szCs w:val="21"/>
              </w:rPr>
            </w:pPr>
            <w:r>
              <w:rPr>
                <w:szCs w:val="21"/>
              </w:rPr>
              <w:t>0</w:t>
            </w:r>
          </w:p>
        </w:tc>
        <w:tc>
          <w:tcPr>
            <w:tcW w:w="793" w:type="pct"/>
            <w:vAlign w:val="center"/>
          </w:tcPr>
          <w:p w14:paraId="411E65D1">
            <w:pPr>
              <w:snapToGrid w:val="0"/>
              <w:jc w:val="center"/>
              <w:rPr>
                <w:szCs w:val="21"/>
              </w:rPr>
            </w:pPr>
            <w:r>
              <w:rPr>
                <w:szCs w:val="21"/>
              </w:rPr>
              <w:t>国产</w:t>
            </w:r>
          </w:p>
        </w:tc>
      </w:tr>
      <w:tr w14:paraId="7D744E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601095B">
            <w:pPr>
              <w:snapToGrid w:val="0"/>
              <w:jc w:val="center"/>
              <w:rPr>
                <w:szCs w:val="21"/>
              </w:rPr>
            </w:pPr>
            <w:r>
              <w:rPr>
                <w:szCs w:val="21"/>
              </w:rPr>
              <w:t>81</w:t>
            </w:r>
          </w:p>
        </w:tc>
        <w:tc>
          <w:tcPr>
            <w:tcW w:w="354" w:type="pct"/>
            <w:vMerge w:val="continue"/>
            <w:vAlign w:val="center"/>
          </w:tcPr>
          <w:p w14:paraId="050F8E17">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9E925EA">
            <w:pPr>
              <w:snapToGrid w:val="0"/>
              <w:jc w:val="center"/>
              <w:rPr>
                <w:szCs w:val="21"/>
              </w:rPr>
            </w:pPr>
            <w:r>
              <w:rPr>
                <w:szCs w:val="21"/>
              </w:rPr>
              <w:t>冷冻水系统</w:t>
            </w:r>
          </w:p>
        </w:tc>
        <w:tc>
          <w:tcPr>
            <w:tcW w:w="1285" w:type="pct"/>
            <w:vAlign w:val="center"/>
          </w:tcPr>
          <w:p w14:paraId="173B412B">
            <w:pPr>
              <w:snapToGrid w:val="0"/>
              <w:jc w:val="center"/>
              <w:rPr>
                <w:szCs w:val="21"/>
              </w:rPr>
            </w:pPr>
            <w:r>
              <w:rPr>
                <w:szCs w:val="21"/>
              </w:rPr>
              <w:t>/</w:t>
            </w:r>
          </w:p>
        </w:tc>
        <w:tc>
          <w:tcPr>
            <w:tcW w:w="456" w:type="pct"/>
            <w:vAlign w:val="center"/>
          </w:tcPr>
          <w:p w14:paraId="16B3D2BA">
            <w:pPr>
              <w:snapToGrid w:val="0"/>
              <w:jc w:val="center"/>
              <w:rPr>
                <w:szCs w:val="21"/>
              </w:rPr>
            </w:pPr>
            <w:r>
              <w:rPr>
                <w:szCs w:val="21"/>
              </w:rPr>
              <w:t>2</w:t>
            </w:r>
          </w:p>
        </w:tc>
        <w:tc>
          <w:tcPr>
            <w:tcW w:w="557" w:type="pct"/>
            <w:vAlign w:val="center"/>
          </w:tcPr>
          <w:p w14:paraId="235F8453">
            <w:pPr>
              <w:snapToGrid w:val="0"/>
              <w:jc w:val="center"/>
              <w:rPr>
                <w:szCs w:val="21"/>
              </w:rPr>
            </w:pPr>
            <w:r>
              <w:rPr>
                <w:szCs w:val="21"/>
              </w:rPr>
              <w:t>2</w:t>
            </w:r>
          </w:p>
        </w:tc>
        <w:tc>
          <w:tcPr>
            <w:tcW w:w="362" w:type="pct"/>
            <w:vAlign w:val="center"/>
          </w:tcPr>
          <w:p w14:paraId="30728B90">
            <w:pPr>
              <w:snapToGrid w:val="0"/>
              <w:jc w:val="center"/>
              <w:rPr>
                <w:szCs w:val="21"/>
              </w:rPr>
            </w:pPr>
            <w:r>
              <w:rPr>
                <w:szCs w:val="21"/>
              </w:rPr>
              <w:t>0</w:t>
            </w:r>
          </w:p>
        </w:tc>
        <w:tc>
          <w:tcPr>
            <w:tcW w:w="793" w:type="pct"/>
            <w:vAlign w:val="center"/>
          </w:tcPr>
          <w:p w14:paraId="2348F518">
            <w:pPr>
              <w:snapToGrid w:val="0"/>
              <w:jc w:val="center"/>
              <w:rPr>
                <w:szCs w:val="21"/>
              </w:rPr>
            </w:pPr>
            <w:r>
              <w:rPr>
                <w:szCs w:val="21"/>
              </w:rPr>
              <w:t>国产</w:t>
            </w:r>
          </w:p>
        </w:tc>
      </w:tr>
      <w:tr w14:paraId="115A89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CA07A5C">
            <w:pPr>
              <w:snapToGrid w:val="0"/>
              <w:jc w:val="center"/>
              <w:rPr>
                <w:szCs w:val="21"/>
              </w:rPr>
            </w:pPr>
            <w:r>
              <w:rPr>
                <w:szCs w:val="21"/>
              </w:rPr>
              <w:t>82</w:t>
            </w:r>
          </w:p>
        </w:tc>
        <w:tc>
          <w:tcPr>
            <w:tcW w:w="354" w:type="pct"/>
            <w:vMerge w:val="continue"/>
            <w:vAlign w:val="center"/>
          </w:tcPr>
          <w:p w14:paraId="627381F1">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70C055C">
            <w:pPr>
              <w:snapToGrid w:val="0"/>
              <w:jc w:val="center"/>
              <w:rPr>
                <w:szCs w:val="21"/>
              </w:rPr>
            </w:pPr>
            <w:r>
              <w:rPr>
                <w:szCs w:val="21"/>
              </w:rPr>
              <w:t>变压器及动力柜</w:t>
            </w:r>
          </w:p>
        </w:tc>
        <w:tc>
          <w:tcPr>
            <w:tcW w:w="1285" w:type="pct"/>
            <w:vAlign w:val="center"/>
          </w:tcPr>
          <w:p w14:paraId="432554C0">
            <w:pPr>
              <w:snapToGrid w:val="0"/>
              <w:jc w:val="center"/>
              <w:rPr>
                <w:szCs w:val="21"/>
              </w:rPr>
            </w:pPr>
            <w:r>
              <w:rPr>
                <w:szCs w:val="21"/>
              </w:rPr>
              <w:t>配电系统</w:t>
            </w:r>
          </w:p>
        </w:tc>
        <w:tc>
          <w:tcPr>
            <w:tcW w:w="456" w:type="pct"/>
            <w:vAlign w:val="center"/>
          </w:tcPr>
          <w:p w14:paraId="01B8DB14">
            <w:pPr>
              <w:snapToGrid w:val="0"/>
              <w:jc w:val="center"/>
              <w:rPr>
                <w:szCs w:val="21"/>
              </w:rPr>
            </w:pPr>
            <w:r>
              <w:rPr>
                <w:szCs w:val="21"/>
              </w:rPr>
              <w:t>1</w:t>
            </w:r>
          </w:p>
        </w:tc>
        <w:tc>
          <w:tcPr>
            <w:tcW w:w="557" w:type="pct"/>
            <w:vAlign w:val="center"/>
          </w:tcPr>
          <w:p w14:paraId="2407E6D0">
            <w:pPr>
              <w:snapToGrid w:val="0"/>
              <w:jc w:val="center"/>
              <w:rPr>
                <w:szCs w:val="21"/>
              </w:rPr>
            </w:pPr>
            <w:r>
              <w:rPr>
                <w:szCs w:val="21"/>
              </w:rPr>
              <w:t>1</w:t>
            </w:r>
          </w:p>
        </w:tc>
        <w:tc>
          <w:tcPr>
            <w:tcW w:w="362" w:type="pct"/>
            <w:vAlign w:val="center"/>
          </w:tcPr>
          <w:p w14:paraId="74577EA9">
            <w:pPr>
              <w:snapToGrid w:val="0"/>
              <w:jc w:val="center"/>
              <w:rPr>
                <w:szCs w:val="21"/>
              </w:rPr>
            </w:pPr>
            <w:r>
              <w:rPr>
                <w:szCs w:val="21"/>
              </w:rPr>
              <w:t>0</w:t>
            </w:r>
          </w:p>
        </w:tc>
        <w:tc>
          <w:tcPr>
            <w:tcW w:w="793" w:type="pct"/>
            <w:vAlign w:val="center"/>
          </w:tcPr>
          <w:p w14:paraId="6A398D9D">
            <w:pPr>
              <w:snapToGrid w:val="0"/>
              <w:jc w:val="center"/>
              <w:rPr>
                <w:szCs w:val="21"/>
              </w:rPr>
            </w:pPr>
            <w:r>
              <w:rPr>
                <w:szCs w:val="21"/>
              </w:rPr>
              <w:t>国产</w:t>
            </w:r>
          </w:p>
        </w:tc>
      </w:tr>
      <w:tr w14:paraId="2F0C6F0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603BC70">
            <w:pPr>
              <w:snapToGrid w:val="0"/>
              <w:jc w:val="center"/>
              <w:rPr>
                <w:szCs w:val="21"/>
              </w:rPr>
            </w:pPr>
            <w:r>
              <w:rPr>
                <w:szCs w:val="21"/>
              </w:rPr>
              <w:t>83</w:t>
            </w:r>
          </w:p>
        </w:tc>
        <w:tc>
          <w:tcPr>
            <w:tcW w:w="354" w:type="pct"/>
            <w:vMerge w:val="continue"/>
            <w:vAlign w:val="center"/>
          </w:tcPr>
          <w:p w14:paraId="3F0F18F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30855CD">
            <w:pPr>
              <w:snapToGrid w:val="0"/>
              <w:jc w:val="center"/>
              <w:rPr>
                <w:szCs w:val="21"/>
              </w:rPr>
            </w:pPr>
            <w:r>
              <w:rPr>
                <w:szCs w:val="21"/>
              </w:rPr>
              <w:t>模具清洗线</w:t>
            </w:r>
          </w:p>
        </w:tc>
        <w:tc>
          <w:tcPr>
            <w:tcW w:w="1285" w:type="pct"/>
            <w:vAlign w:val="center"/>
          </w:tcPr>
          <w:p w14:paraId="52D817A9">
            <w:pPr>
              <w:snapToGrid w:val="0"/>
              <w:jc w:val="center"/>
              <w:rPr>
                <w:szCs w:val="21"/>
              </w:rPr>
            </w:pPr>
            <w:r>
              <w:rPr>
                <w:szCs w:val="21"/>
              </w:rPr>
              <w:t>1#车间：模具清洗线：碱水槽1、碱水槽2、清水浸泡槽、高压冲洗，每个槽的尺寸为0.795m*0.795m*0.72m；</w:t>
            </w:r>
          </w:p>
          <w:p w14:paraId="47DE8725">
            <w:pPr>
              <w:snapToGrid w:val="0"/>
              <w:jc w:val="center"/>
              <w:rPr>
                <w:szCs w:val="21"/>
              </w:rPr>
            </w:pPr>
            <w:r>
              <w:rPr>
                <w:szCs w:val="21"/>
              </w:rPr>
              <w:t>4#车间：模具清洗线1：碱水槽、清水槽，每个槽的尺寸为0.8m*0.8m*0.69m；</w:t>
            </w:r>
          </w:p>
          <w:p w14:paraId="73C8C092">
            <w:pPr>
              <w:snapToGrid w:val="0"/>
              <w:jc w:val="center"/>
              <w:rPr>
                <w:szCs w:val="21"/>
              </w:rPr>
            </w:pPr>
            <w:r>
              <w:rPr>
                <w:szCs w:val="21"/>
              </w:rPr>
              <w:t>模具清洗线2：碱水槽、清水槽，每个槽的尺寸为0.75m*0.72m*0.66m；</w:t>
            </w:r>
          </w:p>
          <w:p w14:paraId="1E2F2162">
            <w:pPr>
              <w:snapToGrid w:val="0"/>
              <w:jc w:val="center"/>
              <w:rPr>
                <w:szCs w:val="21"/>
              </w:rPr>
            </w:pPr>
            <w:r>
              <w:rPr>
                <w:szCs w:val="21"/>
              </w:rPr>
              <w:t>高压冲洗</w:t>
            </w:r>
          </w:p>
        </w:tc>
        <w:tc>
          <w:tcPr>
            <w:tcW w:w="456" w:type="pct"/>
            <w:vAlign w:val="center"/>
          </w:tcPr>
          <w:p w14:paraId="1802012D">
            <w:pPr>
              <w:snapToGrid w:val="0"/>
              <w:jc w:val="center"/>
              <w:rPr>
                <w:szCs w:val="21"/>
              </w:rPr>
            </w:pPr>
            <w:r>
              <w:rPr>
                <w:szCs w:val="21"/>
              </w:rPr>
              <w:t>0</w:t>
            </w:r>
          </w:p>
        </w:tc>
        <w:tc>
          <w:tcPr>
            <w:tcW w:w="557" w:type="pct"/>
            <w:vAlign w:val="center"/>
          </w:tcPr>
          <w:p w14:paraId="68B7C1F5">
            <w:pPr>
              <w:snapToGrid w:val="0"/>
              <w:jc w:val="center"/>
              <w:rPr>
                <w:szCs w:val="21"/>
              </w:rPr>
            </w:pPr>
            <w:r>
              <w:rPr>
                <w:rFonts w:hint="eastAsia"/>
                <w:szCs w:val="21"/>
              </w:rPr>
              <w:t>3</w:t>
            </w:r>
          </w:p>
        </w:tc>
        <w:tc>
          <w:tcPr>
            <w:tcW w:w="362" w:type="pct"/>
            <w:vAlign w:val="center"/>
          </w:tcPr>
          <w:p w14:paraId="7775ABF9">
            <w:pPr>
              <w:snapToGrid w:val="0"/>
              <w:jc w:val="center"/>
              <w:rPr>
                <w:szCs w:val="21"/>
              </w:rPr>
            </w:pPr>
            <w:r>
              <w:rPr>
                <w:szCs w:val="21"/>
              </w:rPr>
              <w:t>+</w:t>
            </w:r>
            <w:r>
              <w:rPr>
                <w:rFonts w:hint="eastAsia"/>
                <w:szCs w:val="21"/>
              </w:rPr>
              <w:t>3</w:t>
            </w:r>
          </w:p>
        </w:tc>
        <w:tc>
          <w:tcPr>
            <w:tcW w:w="793" w:type="pct"/>
            <w:vAlign w:val="center"/>
          </w:tcPr>
          <w:p w14:paraId="240A7517">
            <w:pPr>
              <w:snapToGrid w:val="0"/>
              <w:jc w:val="center"/>
              <w:rPr>
                <w:szCs w:val="21"/>
              </w:rPr>
            </w:pPr>
            <w:r>
              <w:rPr>
                <w:szCs w:val="21"/>
              </w:rPr>
              <w:t>国产</w:t>
            </w:r>
          </w:p>
        </w:tc>
      </w:tr>
      <w:tr w14:paraId="0C1F3B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8072090">
            <w:pPr>
              <w:snapToGrid w:val="0"/>
              <w:jc w:val="center"/>
              <w:rPr>
                <w:szCs w:val="21"/>
              </w:rPr>
            </w:pPr>
            <w:r>
              <w:rPr>
                <w:szCs w:val="21"/>
              </w:rPr>
              <w:t>84</w:t>
            </w:r>
          </w:p>
        </w:tc>
        <w:tc>
          <w:tcPr>
            <w:tcW w:w="354" w:type="pct"/>
            <w:vMerge w:val="restart"/>
            <w:vAlign w:val="center"/>
          </w:tcPr>
          <w:p w14:paraId="7111FA9F">
            <w:pPr>
              <w:pStyle w:val="86"/>
              <w:spacing w:beforeLines="0" w:line="240" w:lineRule="auto"/>
              <w:ind w:firstLine="0" w:firstLineChars="0"/>
              <w:jc w:val="center"/>
              <w:rPr>
                <w:rFonts w:ascii="Times New Roman" w:hAnsi="Times New Roman"/>
                <w:sz w:val="21"/>
                <w:szCs w:val="21"/>
              </w:rPr>
            </w:pPr>
            <w:r>
              <w:rPr>
                <w:rFonts w:hint="eastAsia" w:ascii="Times New Roman" w:hAnsi="Times New Roman"/>
                <w:sz w:val="21"/>
                <w:szCs w:val="21"/>
              </w:rPr>
              <w:t>环保设施</w:t>
            </w:r>
          </w:p>
        </w:tc>
        <w:tc>
          <w:tcPr>
            <w:tcW w:w="964" w:type="pct"/>
            <w:vAlign w:val="center"/>
          </w:tcPr>
          <w:p w14:paraId="192BB584">
            <w:pPr>
              <w:snapToGrid w:val="0"/>
              <w:jc w:val="center"/>
              <w:rPr>
                <w:szCs w:val="21"/>
              </w:rPr>
            </w:pPr>
            <w:r>
              <w:t>碱喷淋+活性炭吸附装置</w:t>
            </w:r>
          </w:p>
        </w:tc>
        <w:tc>
          <w:tcPr>
            <w:tcW w:w="1285" w:type="pct"/>
            <w:vMerge w:val="restart"/>
            <w:vAlign w:val="center"/>
          </w:tcPr>
          <w:p w14:paraId="08ECE22C">
            <w:pPr>
              <w:snapToGrid w:val="0"/>
              <w:jc w:val="center"/>
              <w:rPr>
                <w:szCs w:val="21"/>
              </w:rPr>
            </w:pPr>
            <w:r>
              <w:t>45000m</w:t>
            </w:r>
            <w:r>
              <w:rPr>
                <w:vertAlign w:val="superscript"/>
              </w:rPr>
              <w:t>3</w:t>
            </w:r>
            <w:r>
              <w:t>/h</w:t>
            </w:r>
            <w:r>
              <w:rPr>
                <w:rFonts w:hint="eastAsia"/>
              </w:rPr>
              <w:t>，处理</w:t>
            </w:r>
            <w:r>
              <w:t>硫化废气、挤出废气</w:t>
            </w:r>
          </w:p>
        </w:tc>
        <w:tc>
          <w:tcPr>
            <w:tcW w:w="456" w:type="pct"/>
            <w:vAlign w:val="center"/>
          </w:tcPr>
          <w:p w14:paraId="426B5811">
            <w:pPr>
              <w:snapToGrid w:val="0"/>
              <w:jc w:val="center"/>
              <w:rPr>
                <w:szCs w:val="21"/>
              </w:rPr>
            </w:pPr>
            <w:r>
              <w:rPr>
                <w:rFonts w:hint="eastAsia"/>
                <w:szCs w:val="21"/>
              </w:rPr>
              <w:t>1套</w:t>
            </w:r>
          </w:p>
        </w:tc>
        <w:tc>
          <w:tcPr>
            <w:tcW w:w="557" w:type="pct"/>
            <w:vAlign w:val="center"/>
          </w:tcPr>
          <w:p w14:paraId="2EF695E5">
            <w:pPr>
              <w:snapToGrid w:val="0"/>
              <w:jc w:val="center"/>
              <w:rPr>
                <w:szCs w:val="21"/>
              </w:rPr>
            </w:pPr>
            <w:r>
              <w:rPr>
                <w:rFonts w:hint="eastAsia"/>
                <w:szCs w:val="21"/>
              </w:rPr>
              <w:t>0</w:t>
            </w:r>
          </w:p>
        </w:tc>
        <w:tc>
          <w:tcPr>
            <w:tcW w:w="362" w:type="pct"/>
            <w:vAlign w:val="center"/>
          </w:tcPr>
          <w:p w14:paraId="4D1E5FD5">
            <w:pPr>
              <w:snapToGrid w:val="0"/>
              <w:jc w:val="center"/>
              <w:rPr>
                <w:szCs w:val="21"/>
              </w:rPr>
            </w:pPr>
            <w:r>
              <w:rPr>
                <w:rFonts w:hint="eastAsia"/>
                <w:szCs w:val="21"/>
              </w:rPr>
              <w:t>-1套</w:t>
            </w:r>
          </w:p>
        </w:tc>
        <w:tc>
          <w:tcPr>
            <w:tcW w:w="793" w:type="pct"/>
            <w:vMerge w:val="restart"/>
            <w:vAlign w:val="center"/>
          </w:tcPr>
          <w:p w14:paraId="218CF734">
            <w:pPr>
              <w:snapToGrid w:val="0"/>
              <w:jc w:val="center"/>
              <w:rPr>
                <w:szCs w:val="21"/>
              </w:rPr>
            </w:pPr>
            <w:r>
              <w:rPr>
                <w:rFonts w:hint="eastAsia"/>
              </w:rPr>
              <w:t>1</w:t>
            </w:r>
            <w:r>
              <w:t>#车间</w:t>
            </w:r>
            <w:r>
              <w:rPr>
                <w:rFonts w:hint="eastAsia"/>
              </w:rPr>
              <w:t>，</w:t>
            </w:r>
            <w:r>
              <w:rPr>
                <w:rFonts w:hint="eastAsia"/>
                <w:szCs w:val="21"/>
              </w:rPr>
              <w:t>处理后合并至</w:t>
            </w:r>
            <w:r>
              <w:t>15m高1#排气筒</w:t>
            </w:r>
            <w:r>
              <w:rPr>
                <w:rFonts w:hint="eastAsia"/>
              </w:rPr>
              <w:t>，</w:t>
            </w:r>
            <w:r>
              <w:t>将现有一级活性炭吸附装置提升改造为二级活性炭吸附装置</w:t>
            </w:r>
          </w:p>
        </w:tc>
      </w:tr>
      <w:tr w14:paraId="6EE1A1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AFD5F48">
            <w:pPr>
              <w:snapToGrid w:val="0"/>
              <w:jc w:val="center"/>
              <w:rPr>
                <w:szCs w:val="21"/>
              </w:rPr>
            </w:pPr>
            <w:r>
              <w:rPr>
                <w:szCs w:val="21"/>
              </w:rPr>
              <w:t>85</w:t>
            </w:r>
          </w:p>
        </w:tc>
        <w:tc>
          <w:tcPr>
            <w:tcW w:w="354" w:type="pct"/>
            <w:vMerge w:val="continue"/>
            <w:vAlign w:val="center"/>
          </w:tcPr>
          <w:p w14:paraId="3B23DE82">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1ED4EA1">
            <w:pPr>
              <w:snapToGrid w:val="0"/>
              <w:jc w:val="center"/>
            </w:pPr>
            <w:r>
              <w:t>碱喷淋+</w:t>
            </w:r>
            <w:r>
              <w:rPr>
                <w:rFonts w:hint="eastAsia"/>
              </w:rPr>
              <w:t>二级</w:t>
            </w:r>
            <w:r>
              <w:t>活性炭吸附装置</w:t>
            </w:r>
          </w:p>
        </w:tc>
        <w:tc>
          <w:tcPr>
            <w:tcW w:w="1285" w:type="pct"/>
            <w:vMerge w:val="continue"/>
            <w:vAlign w:val="center"/>
          </w:tcPr>
          <w:p w14:paraId="6D7EEB4C">
            <w:pPr>
              <w:snapToGrid w:val="0"/>
              <w:jc w:val="center"/>
              <w:rPr>
                <w:szCs w:val="21"/>
              </w:rPr>
            </w:pPr>
          </w:p>
        </w:tc>
        <w:tc>
          <w:tcPr>
            <w:tcW w:w="456" w:type="pct"/>
            <w:vAlign w:val="center"/>
          </w:tcPr>
          <w:p w14:paraId="7A5E9FBB">
            <w:pPr>
              <w:snapToGrid w:val="0"/>
              <w:jc w:val="center"/>
              <w:rPr>
                <w:szCs w:val="21"/>
              </w:rPr>
            </w:pPr>
            <w:r>
              <w:rPr>
                <w:rFonts w:hint="eastAsia"/>
                <w:szCs w:val="21"/>
              </w:rPr>
              <w:t>0</w:t>
            </w:r>
          </w:p>
        </w:tc>
        <w:tc>
          <w:tcPr>
            <w:tcW w:w="557" w:type="pct"/>
            <w:vAlign w:val="center"/>
          </w:tcPr>
          <w:p w14:paraId="590386F0">
            <w:pPr>
              <w:snapToGrid w:val="0"/>
              <w:jc w:val="center"/>
              <w:rPr>
                <w:szCs w:val="21"/>
              </w:rPr>
            </w:pPr>
            <w:r>
              <w:rPr>
                <w:rFonts w:hint="eastAsia"/>
                <w:szCs w:val="21"/>
              </w:rPr>
              <w:t>1套</w:t>
            </w:r>
          </w:p>
        </w:tc>
        <w:tc>
          <w:tcPr>
            <w:tcW w:w="362" w:type="pct"/>
            <w:vAlign w:val="center"/>
          </w:tcPr>
          <w:p w14:paraId="458511D1">
            <w:pPr>
              <w:snapToGrid w:val="0"/>
              <w:jc w:val="center"/>
              <w:rPr>
                <w:szCs w:val="21"/>
              </w:rPr>
            </w:pPr>
            <w:r>
              <w:rPr>
                <w:rFonts w:hint="eastAsia"/>
                <w:szCs w:val="21"/>
              </w:rPr>
              <w:t>+1套</w:t>
            </w:r>
          </w:p>
        </w:tc>
        <w:tc>
          <w:tcPr>
            <w:tcW w:w="793" w:type="pct"/>
            <w:vMerge w:val="continue"/>
            <w:vAlign w:val="center"/>
          </w:tcPr>
          <w:p w14:paraId="0903752A">
            <w:pPr>
              <w:snapToGrid w:val="0"/>
              <w:jc w:val="center"/>
              <w:rPr>
                <w:szCs w:val="21"/>
              </w:rPr>
            </w:pPr>
          </w:p>
        </w:tc>
      </w:tr>
      <w:tr w14:paraId="2FC187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817D9EA">
            <w:pPr>
              <w:snapToGrid w:val="0"/>
              <w:jc w:val="center"/>
              <w:rPr>
                <w:szCs w:val="21"/>
              </w:rPr>
            </w:pPr>
            <w:r>
              <w:rPr>
                <w:szCs w:val="21"/>
              </w:rPr>
              <w:t>86</w:t>
            </w:r>
          </w:p>
        </w:tc>
        <w:tc>
          <w:tcPr>
            <w:tcW w:w="354" w:type="pct"/>
            <w:vMerge w:val="continue"/>
            <w:vAlign w:val="center"/>
          </w:tcPr>
          <w:p w14:paraId="35D53BAA">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40B77A8F">
            <w:pPr>
              <w:snapToGrid w:val="0"/>
              <w:jc w:val="center"/>
              <w:rPr>
                <w:szCs w:val="21"/>
              </w:rPr>
            </w:pPr>
            <w:r>
              <w:t>碱喷淋+活性炭吸附装置</w:t>
            </w:r>
          </w:p>
        </w:tc>
        <w:tc>
          <w:tcPr>
            <w:tcW w:w="1285" w:type="pct"/>
            <w:vMerge w:val="restart"/>
            <w:vAlign w:val="center"/>
          </w:tcPr>
          <w:p w14:paraId="7ABE2FC7">
            <w:pPr>
              <w:snapToGrid w:val="0"/>
              <w:jc w:val="center"/>
              <w:rPr>
                <w:szCs w:val="21"/>
              </w:rPr>
            </w:pPr>
            <w:r>
              <w:rPr>
                <w:rFonts w:hint="eastAsia"/>
              </w:rPr>
              <w:t>18</w:t>
            </w:r>
            <w:r>
              <w:t>000m</w:t>
            </w:r>
            <w:r>
              <w:rPr>
                <w:vertAlign w:val="superscript"/>
              </w:rPr>
              <w:t>3</w:t>
            </w:r>
            <w:r>
              <w:t>/h</w:t>
            </w:r>
            <w:r>
              <w:rPr>
                <w:rFonts w:hint="eastAsia"/>
              </w:rPr>
              <w:t>，处理二次硫化废气</w:t>
            </w:r>
          </w:p>
        </w:tc>
        <w:tc>
          <w:tcPr>
            <w:tcW w:w="456" w:type="pct"/>
            <w:vAlign w:val="center"/>
          </w:tcPr>
          <w:p w14:paraId="1010C374">
            <w:pPr>
              <w:snapToGrid w:val="0"/>
              <w:jc w:val="center"/>
              <w:rPr>
                <w:szCs w:val="21"/>
              </w:rPr>
            </w:pPr>
            <w:r>
              <w:rPr>
                <w:rFonts w:hint="eastAsia"/>
                <w:szCs w:val="21"/>
              </w:rPr>
              <w:t>1套</w:t>
            </w:r>
          </w:p>
        </w:tc>
        <w:tc>
          <w:tcPr>
            <w:tcW w:w="557" w:type="pct"/>
            <w:vAlign w:val="center"/>
          </w:tcPr>
          <w:p w14:paraId="01B05DF2">
            <w:pPr>
              <w:snapToGrid w:val="0"/>
              <w:jc w:val="center"/>
              <w:rPr>
                <w:szCs w:val="21"/>
              </w:rPr>
            </w:pPr>
            <w:r>
              <w:rPr>
                <w:rFonts w:hint="eastAsia"/>
                <w:szCs w:val="21"/>
              </w:rPr>
              <w:t>0</w:t>
            </w:r>
          </w:p>
        </w:tc>
        <w:tc>
          <w:tcPr>
            <w:tcW w:w="362" w:type="pct"/>
            <w:vAlign w:val="center"/>
          </w:tcPr>
          <w:p w14:paraId="5A31A297">
            <w:pPr>
              <w:snapToGrid w:val="0"/>
              <w:jc w:val="center"/>
              <w:rPr>
                <w:szCs w:val="21"/>
              </w:rPr>
            </w:pPr>
            <w:r>
              <w:rPr>
                <w:rFonts w:hint="eastAsia"/>
                <w:szCs w:val="21"/>
              </w:rPr>
              <w:t>-1套</w:t>
            </w:r>
          </w:p>
        </w:tc>
        <w:tc>
          <w:tcPr>
            <w:tcW w:w="793" w:type="pct"/>
            <w:vMerge w:val="continue"/>
            <w:vAlign w:val="center"/>
          </w:tcPr>
          <w:p w14:paraId="3C42FCA6">
            <w:pPr>
              <w:snapToGrid w:val="0"/>
              <w:jc w:val="center"/>
              <w:rPr>
                <w:szCs w:val="21"/>
              </w:rPr>
            </w:pPr>
          </w:p>
        </w:tc>
      </w:tr>
      <w:tr w14:paraId="56F448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1170892A">
            <w:pPr>
              <w:snapToGrid w:val="0"/>
              <w:jc w:val="center"/>
              <w:rPr>
                <w:szCs w:val="21"/>
              </w:rPr>
            </w:pPr>
            <w:r>
              <w:rPr>
                <w:szCs w:val="21"/>
              </w:rPr>
              <w:t>87</w:t>
            </w:r>
          </w:p>
        </w:tc>
        <w:tc>
          <w:tcPr>
            <w:tcW w:w="354" w:type="pct"/>
            <w:vMerge w:val="continue"/>
            <w:vAlign w:val="center"/>
          </w:tcPr>
          <w:p w14:paraId="19B850BE">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919DFA6">
            <w:pPr>
              <w:snapToGrid w:val="0"/>
              <w:jc w:val="center"/>
              <w:rPr>
                <w:szCs w:val="21"/>
              </w:rPr>
            </w:pPr>
            <w:r>
              <w:t>碱喷淋+</w:t>
            </w:r>
            <w:r>
              <w:rPr>
                <w:rFonts w:hint="eastAsia"/>
              </w:rPr>
              <w:t>二级</w:t>
            </w:r>
            <w:r>
              <w:t>活性炭吸附装置</w:t>
            </w:r>
          </w:p>
        </w:tc>
        <w:tc>
          <w:tcPr>
            <w:tcW w:w="1285" w:type="pct"/>
            <w:vMerge w:val="continue"/>
            <w:vAlign w:val="center"/>
          </w:tcPr>
          <w:p w14:paraId="3175F1FE">
            <w:pPr>
              <w:snapToGrid w:val="0"/>
              <w:jc w:val="center"/>
              <w:rPr>
                <w:szCs w:val="21"/>
              </w:rPr>
            </w:pPr>
          </w:p>
        </w:tc>
        <w:tc>
          <w:tcPr>
            <w:tcW w:w="456" w:type="pct"/>
            <w:vAlign w:val="center"/>
          </w:tcPr>
          <w:p w14:paraId="0D1CAA05">
            <w:pPr>
              <w:snapToGrid w:val="0"/>
              <w:jc w:val="center"/>
              <w:rPr>
                <w:szCs w:val="21"/>
              </w:rPr>
            </w:pPr>
            <w:r>
              <w:rPr>
                <w:rFonts w:hint="eastAsia"/>
                <w:szCs w:val="21"/>
              </w:rPr>
              <w:t>0</w:t>
            </w:r>
          </w:p>
        </w:tc>
        <w:tc>
          <w:tcPr>
            <w:tcW w:w="557" w:type="pct"/>
            <w:vAlign w:val="center"/>
          </w:tcPr>
          <w:p w14:paraId="2AF507ED">
            <w:pPr>
              <w:snapToGrid w:val="0"/>
              <w:jc w:val="center"/>
              <w:rPr>
                <w:szCs w:val="21"/>
              </w:rPr>
            </w:pPr>
            <w:r>
              <w:rPr>
                <w:rFonts w:hint="eastAsia"/>
                <w:szCs w:val="21"/>
              </w:rPr>
              <w:t>1套</w:t>
            </w:r>
          </w:p>
        </w:tc>
        <w:tc>
          <w:tcPr>
            <w:tcW w:w="362" w:type="pct"/>
            <w:vAlign w:val="center"/>
          </w:tcPr>
          <w:p w14:paraId="3FCFBC32">
            <w:pPr>
              <w:snapToGrid w:val="0"/>
              <w:jc w:val="center"/>
              <w:rPr>
                <w:szCs w:val="21"/>
              </w:rPr>
            </w:pPr>
            <w:r>
              <w:rPr>
                <w:rFonts w:hint="eastAsia"/>
                <w:szCs w:val="21"/>
              </w:rPr>
              <w:t>+1套</w:t>
            </w:r>
          </w:p>
        </w:tc>
        <w:tc>
          <w:tcPr>
            <w:tcW w:w="793" w:type="pct"/>
            <w:vMerge w:val="continue"/>
            <w:vAlign w:val="center"/>
          </w:tcPr>
          <w:p w14:paraId="361CA7B9">
            <w:pPr>
              <w:snapToGrid w:val="0"/>
              <w:jc w:val="center"/>
              <w:rPr>
                <w:szCs w:val="21"/>
              </w:rPr>
            </w:pPr>
          </w:p>
        </w:tc>
      </w:tr>
      <w:tr w14:paraId="55908A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DB5C14B">
            <w:pPr>
              <w:snapToGrid w:val="0"/>
              <w:jc w:val="center"/>
              <w:rPr>
                <w:szCs w:val="21"/>
              </w:rPr>
            </w:pPr>
            <w:r>
              <w:rPr>
                <w:rFonts w:hint="eastAsia"/>
                <w:szCs w:val="21"/>
              </w:rPr>
              <w:t>88</w:t>
            </w:r>
          </w:p>
        </w:tc>
        <w:tc>
          <w:tcPr>
            <w:tcW w:w="354" w:type="pct"/>
            <w:vMerge w:val="continue"/>
            <w:vAlign w:val="center"/>
          </w:tcPr>
          <w:p w14:paraId="19E935D2">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4663867">
            <w:pPr>
              <w:snapToGrid w:val="0"/>
              <w:jc w:val="center"/>
              <w:rPr>
                <w:szCs w:val="21"/>
              </w:rPr>
            </w:pPr>
            <w:r>
              <w:t>布袋除尘器+活性炭吸附装置</w:t>
            </w:r>
          </w:p>
        </w:tc>
        <w:tc>
          <w:tcPr>
            <w:tcW w:w="1285" w:type="pct"/>
            <w:vMerge w:val="restart"/>
            <w:vAlign w:val="center"/>
          </w:tcPr>
          <w:p w14:paraId="770F457B">
            <w:pPr>
              <w:snapToGrid w:val="0"/>
              <w:jc w:val="center"/>
              <w:rPr>
                <w:szCs w:val="21"/>
              </w:rPr>
            </w:pPr>
            <w:r>
              <w:t>28200m</w:t>
            </w:r>
            <w:r>
              <w:rPr>
                <w:vertAlign w:val="superscript"/>
              </w:rPr>
              <w:t>3</w:t>
            </w:r>
            <w:r>
              <w:t>/h</w:t>
            </w:r>
            <w:r>
              <w:rPr>
                <w:rFonts w:hint="eastAsia"/>
              </w:rPr>
              <w:t>，处理混炼、密炼、配套、返炼废气</w:t>
            </w:r>
          </w:p>
        </w:tc>
        <w:tc>
          <w:tcPr>
            <w:tcW w:w="456" w:type="pct"/>
            <w:vAlign w:val="center"/>
          </w:tcPr>
          <w:p w14:paraId="3DC5FE07">
            <w:pPr>
              <w:snapToGrid w:val="0"/>
              <w:jc w:val="center"/>
              <w:rPr>
                <w:szCs w:val="21"/>
              </w:rPr>
            </w:pPr>
            <w:r>
              <w:rPr>
                <w:rFonts w:hint="eastAsia"/>
                <w:szCs w:val="21"/>
              </w:rPr>
              <w:t>1套</w:t>
            </w:r>
          </w:p>
        </w:tc>
        <w:tc>
          <w:tcPr>
            <w:tcW w:w="557" w:type="pct"/>
            <w:vAlign w:val="center"/>
          </w:tcPr>
          <w:p w14:paraId="1282D1EB">
            <w:pPr>
              <w:snapToGrid w:val="0"/>
              <w:jc w:val="center"/>
              <w:rPr>
                <w:szCs w:val="21"/>
              </w:rPr>
            </w:pPr>
            <w:r>
              <w:rPr>
                <w:rFonts w:hint="eastAsia"/>
                <w:szCs w:val="21"/>
              </w:rPr>
              <w:t>0</w:t>
            </w:r>
          </w:p>
        </w:tc>
        <w:tc>
          <w:tcPr>
            <w:tcW w:w="362" w:type="pct"/>
            <w:vAlign w:val="center"/>
          </w:tcPr>
          <w:p w14:paraId="6C6AA42B">
            <w:pPr>
              <w:snapToGrid w:val="0"/>
              <w:jc w:val="center"/>
              <w:rPr>
                <w:szCs w:val="21"/>
              </w:rPr>
            </w:pPr>
            <w:r>
              <w:rPr>
                <w:rFonts w:hint="eastAsia"/>
                <w:szCs w:val="21"/>
              </w:rPr>
              <w:t>-1套</w:t>
            </w:r>
          </w:p>
        </w:tc>
        <w:tc>
          <w:tcPr>
            <w:tcW w:w="793" w:type="pct"/>
            <w:vMerge w:val="restart"/>
            <w:vAlign w:val="center"/>
          </w:tcPr>
          <w:p w14:paraId="634B4AED">
            <w:pPr>
              <w:snapToGrid w:val="0"/>
              <w:jc w:val="center"/>
              <w:rPr>
                <w:szCs w:val="21"/>
              </w:rPr>
            </w:pPr>
            <w:r>
              <w:rPr>
                <w:rFonts w:hint="eastAsia"/>
              </w:rPr>
              <w:t>3#车间，配套</w:t>
            </w:r>
            <w:r>
              <w:t>15m排气筒（2#）</w:t>
            </w:r>
            <w:r>
              <w:rPr>
                <w:rFonts w:hint="eastAsia"/>
              </w:rPr>
              <w:t>，</w:t>
            </w:r>
            <w:r>
              <w:t>将现有一级活性炭吸附装置提升改造为二级活性炭吸附装置</w:t>
            </w:r>
          </w:p>
        </w:tc>
      </w:tr>
      <w:tr w14:paraId="3E3D75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C945BB2">
            <w:pPr>
              <w:snapToGrid w:val="0"/>
              <w:jc w:val="center"/>
              <w:rPr>
                <w:szCs w:val="21"/>
              </w:rPr>
            </w:pPr>
            <w:r>
              <w:rPr>
                <w:rFonts w:hint="eastAsia"/>
                <w:szCs w:val="21"/>
              </w:rPr>
              <w:t>89</w:t>
            </w:r>
          </w:p>
        </w:tc>
        <w:tc>
          <w:tcPr>
            <w:tcW w:w="354" w:type="pct"/>
            <w:vMerge w:val="continue"/>
            <w:vAlign w:val="center"/>
          </w:tcPr>
          <w:p w14:paraId="4F7466CB">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E25CA90">
            <w:pPr>
              <w:snapToGrid w:val="0"/>
              <w:jc w:val="center"/>
              <w:rPr>
                <w:szCs w:val="21"/>
              </w:rPr>
            </w:pPr>
            <w:r>
              <w:t>布袋除尘器+</w:t>
            </w:r>
            <w:r>
              <w:rPr>
                <w:rFonts w:hint="eastAsia"/>
              </w:rPr>
              <w:t>二级</w:t>
            </w:r>
            <w:r>
              <w:t>活性炭吸附装置</w:t>
            </w:r>
          </w:p>
        </w:tc>
        <w:tc>
          <w:tcPr>
            <w:tcW w:w="1285" w:type="pct"/>
            <w:vMerge w:val="continue"/>
            <w:vAlign w:val="center"/>
          </w:tcPr>
          <w:p w14:paraId="5E536D44">
            <w:pPr>
              <w:snapToGrid w:val="0"/>
              <w:jc w:val="center"/>
              <w:rPr>
                <w:szCs w:val="21"/>
              </w:rPr>
            </w:pPr>
          </w:p>
        </w:tc>
        <w:tc>
          <w:tcPr>
            <w:tcW w:w="456" w:type="pct"/>
            <w:vAlign w:val="center"/>
          </w:tcPr>
          <w:p w14:paraId="095496DF">
            <w:pPr>
              <w:snapToGrid w:val="0"/>
              <w:jc w:val="center"/>
              <w:rPr>
                <w:szCs w:val="21"/>
              </w:rPr>
            </w:pPr>
            <w:r>
              <w:rPr>
                <w:rFonts w:hint="eastAsia"/>
                <w:szCs w:val="21"/>
              </w:rPr>
              <w:t>0</w:t>
            </w:r>
          </w:p>
        </w:tc>
        <w:tc>
          <w:tcPr>
            <w:tcW w:w="557" w:type="pct"/>
            <w:vAlign w:val="center"/>
          </w:tcPr>
          <w:p w14:paraId="409EBE07">
            <w:pPr>
              <w:snapToGrid w:val="0"/>
              <w:jc w:val="center"/>
              <w:rPr>
                <w:szCs w:val="21"/>
              </w:rPr>
            </w:pPr>
            <w:r>
              <w:rPr>
                <w:rFonts w:hint="eastAsia"/>
                <w:szCs w:val="21"/>
              </w:rPr>
              <w:t>1套</w:t>
            </w:r>
          </w:p>
        </w:tc>
        <w:tc>
          <w:tcPr>
            <w:tcW w:w="362" w:type="pct"/>
            <w:vAlign w:val="center"/>
          </w:tcPr>
          <w:p w14:paraId="0202F5D2">
            <w:pPr>
              <w:snapToGrid w:val="0"/>
              <w:jc w:val="center"/>
              <w:rPr>
                <w:szCs w:val="21"/>
              </w:rPr>
            </w:pPr>
            <w:r>
              <w:rPr>
                <w:rFonts w:hint="eastAsia"/>
                <w:szCs w:val="21"/>
              </w:rPr>
              <w:t>+1套</w:t>
            </w:r>
          </w:p>
        </w:tc>
        <w:tc>
          <w:tcPr>
            <w:tcW w:w="793" w:type="pct"/>
            <w:vMerge w:val="continue"/>
            <w:vAlign w:val="center"/>
          </w:tcPr>
          <w:p w14:paraId="0C9CD24C">
            <w:pPr>
              <w:snapToGrid w:val="0"/>
              <w:jc w:val="center"/>
              <w:rPr>
                <w:szCs w:val="21"/>
              </w:rPr>
            </w:pPr>
          </w:p>
        </w:tc>
      </w:tr>
      <w:tr w14:paraId="7992E6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1980" w:hRule="atLeast"/>
          <w:tblHeader/>
        </w:trPr>
        <w:tc>
          <w:tcPr>
            <w:tcW w:w="229" w:type="pct"/>
            <w:vAlign w:val="center"/>
          </w:tcPr>
          <w:p w14:paraId="70F6D36D">
            <w:pPr>
              <w:snapToGrid w:val="0"/>
              <w:jc w:val="center"/>
              <w:rPr>
                <w:szCs w:val="21"/>
              </w:rPr>
            </w:pPr>
            <w:r>
              <w:rPr>
                <w:rFonts w:hint="eastAsia"/>
                <w:szCs w:val="21"/>
              </w:rPr>
              <w:t>89</w:t>
            </w:r>
          </w:p>
        </w:tc>
        <w:tc>
          <w:tcPr>
            <w:tcW w:w="354" w:type="pct"/>
            <w:vMerge w:val="continue"/>
            <w:vAlign w:val="center"/>
          </w:tcPr>
          <w:p w14:paraId="2BA8CF57">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5FE1283">
            <w:pPr>
              <w:snapToGrid w:val="0"/>
              <w:jc w:val="center"/>
              <w:rPr>
                <w:szCs w:val="21"/>
              </w:rPr>
            </w:pPr>
            <w:r>
              <w:t>布袋除尘器+活性炭吸附装置</w:t>
            </w:r>
          </w:p>
        </w:tc>
        <w:tc>
          <w:tcPr>
            <w:tcW w:w="1285" w:type="pct"/>
            <w:vMerge w:val="restart"/>
            <w:vAlign w:val="center"/>
          </w:tcPr>
          <w:p w14:paraId="30E18938">
            <w:pPr>
              <w:snapToGrid w:val="0"/>
              <w:jc w:val="center"/>
              <w:rPr>
                <w:szCs w:val="21"/>
              </w:rPr>
            </w:pPr>
            <w:r>
              <w:t>36000m</w:t>
            </w:r>
            <w:r>
              <w:rPr>
                <w:vertAlign w:val="superscript"/>
              </w:rPr>
              <w:t>3</w:t>
            </w:r>
            <w:r>
              <w:t>/h</w:t>
            </w:r>
            <w:r>
              <w:rPr>
                <w:rFonts w:hint="eastAsia"/>
              </w:rPr>
              <w:t>，处理混炼、密炼、配料、返炼、挤出废气</w:t>
            </w:r>
          </w:p>
        </w:tc>
        <w:tc>
          <w:tcPr>
            <w:tcW w:w="456" w:type="pct"/>
            <w:vAlign w:val="center"/>
          </w:tcPr>
          <w:p w14:paraId="3DA93FA6">
            <w:pPr>
              <w:snapToGrid w:val="0"/>
              <w:jc w:val="center"/>
              <w:rPr>
                <w:szCs w:val="21"/>
              </w:rPr>
            </w:pPr>
            <w:r>
              <w:rPr>
                <w:rFonts w:hint="eastAsia"/>
                <w:szCs w:val="21"/>
              </w:rPr>
              <w:t>1套</w:t>
            </w:r>
          </w:p>
        </w:tc>
        <w:tc>
          <w:tcPr>
            <w:tcW w:w="557" w:type="pct"/>
            <w:vAlign w:val="center"/>
          </w:tcPr>
          <w:p w14:paraId="0B536A05">
            <w:pPr>
              <w:snapToGrid w:val="0"/>
              <w:jc w:val="center"/>
              <w:rPr>
                <w:szCs w:val="21"/>
              </w:rPr>
            </w:pPr>
            <w:r>
              <w:rPr>
                <w:rFonts w:hint="eastAsia"/>
                <w:szCs w:val="21"/>
              </w:rPr>
              <w:t>0</w:t>
            </w:r>
          </w:p>
        </w:tc>
        <w:tc>
          <w:tcPr>
            <w:tcW w:w="362" w:type="pct"/>
            <w:vAlign w:val="center"/>
          </w:tcPr>
          <w:p w14:paraId="799CA284">
            <w:pPr>
              <w:snapToGrid w:val="0"/>
              <w:jc w:val="center"/>
              <w:rPr>
                <w:szCs w:val="21"/>
              </w:rPr>
            </w:pPr>
            <w:r>
              <w:rPr>
                <w:rFonts w:hint="eastAsia"/>
                <w:szCs w:val="21"/>
              </w:rPr>
              <w:t>-1套</w:t>
            </w:r>
          </w:p>
        </w:tc>
        <w:tc>
          <w:tcPr>
            <w:tcW w:w="793" w:type="pct"/>
            <w:vMerge w:val="restart"/>
            <w:vAlign w:val="center"/>
          </w:tcPr>
          <w:p w14:paraId="76F68480">
            <w:pPr>
              <w:snapToGrid w:val="0"/>
              <w:jc w:val="center"/>
              <w:rPr>
                <w:szCs w:val="21"/>
              </w:rPr>
            </w:pPr>
            <w:r>
              <w:rPr>
                <w:rFonts w:hint="eastAsia"/>
              </w:rPr>
              <w:t>3#车间，配套</w:t>
            </w:r>
            <w:r>
              <w:t>15m排气筒（</w:t>
            </w:r>
            <w:r>
              <w:rPr>
                <w:rFonts w:hint="eastAsia"/>
              </w:rPr>
              <w:t>7</w:t>
            </w:r>
            <w:r>
              <w:t>#）</w:t>
            </w:r>
            <w:r>
              <w:rPr>
                <w:rFonts w:hint="eastAsia"/>
              </w:rPr>
              <w:t>，</w:t>
            </w:r>
            <w:r>
              <w:t>将现有一级活性炭吸附装置提升改造为二级活性炭吸附装置</w:t>
            </w:r>
          </w:p>
        </w:tc>
      </w:tr>
      <w:tr w14:paraId="65726F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2A996016">
            <w:pPr>
              <w:snapToGrid w:val="0"/>
              <w:jc w:val="center"/>
              <w:rPr>
                <w:szCs w:val="21"/>
              </w:rPr>
            </w:pPr>
            <w:r>
              <w:rPr>
                <w:rFonts w:hint="eastAsia"/>
                <w:szCs w:val="21"/>
              </w:rPr>
              <w:t>90</w:t>
            </w:r>
          </w:p>
        </w:tc>
        <w:tc>
          <w:tcPr>
            <w:tcW w:w="354" w:type="pct"/>
            <w:vMerge w:val="continue"/>
            <w:vAlign w:val="center"/>
          </w:tcPr>
          <w:p w14:paraId="74D34E54">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6A424517">
            <w:pPr>
              <w:snapToGrid w:val="0"/>
              <w:jc w:val="center"/>
              <w:rPr>
                <w:szCs w:val="21"/>
              </w:rPr>
            </w:pPr>
            <w:r>
              <w:t>布袋除尘器+</w:t>
            </w:r>
            <w:r>
              <w:rPr>
                <w:rFonts w:hint="eastAsia"/>
              </w:rPr>
              <w:t>二级</w:t>
            </w:r>
            <w:r>
              <w:t>活性炭吸附装置</w:t>
            </w:r>
          </w:p>
        </w:tc>
        <w:tc>
          <w:tcPr>
            <w:tcW w:w="1285" w:type="pct"/>
            <w:vMerge w:val="continue"/>
            <w:vAlign w:val="center"/>
          </w:tcPr>
          <w:p w14:paraId="385667C2">
            <w:pPr>
              <w:snapToGrid w:val="0"/>
              <w:jc w:val="center"/>
              <w:rPr>
                <w:szCs w:val="21"/>
              </w:rPr>
            </w:pPr>
          </w:p>
        </w:tc>
        <w:tc>
          <w:tcPr>
            <w:tcW w:w="456" w:type="pct"/>
            <w:vAlign w:val="center"/>
          </w:tcPr>
          <w:p w14:paraId="28C01ED0">
            <w:pPr>
              <w:snapToGrid w:val="0"/>
              <w:jc w:val="center"/>
              <w:rPr>
                <w:szCs w:val="21"/>
              </w:rPr>
            </w:pPr>
            <w:r>
              <w:rPr>
                <w:rFonts w:hint="eastAsia"/>
                <w:szCs w:val="21"/>
              </w:rPr>
              <w:t>0</w:t>
            </w:r>
          </w:p>
        </w:tc>
        <w:tc>
          <w:tcPr>
            <w:tcW w:w="557" w:type="pct"/>
            <w:vAlign w:val="center"/>
          </w:tcPr>
          <w:p w14:paraId="7A31B076">
            <w:pPr>
              <w:snapToGrid w:val="0"/>
              <w:jc w:val="center"/>
              <w:rPr>
                <w:szCs w:val="21"/>
              </w:rPr>
            </w:pPr>
            <w:r>
              <w:rPr>
                <w:rFonts w:hint="eastAsia"/>
                <w:szCs w:val="21"/>
              </w:rPr>
              <w:t>1套</w:t>
            </w:r>
          </w:p>
        </w:tc>
        <w:tc>
          <w:tcPr>
            <w:tcW w:w="362" w:type="pct"/>
            <w:vAlign w:val="center"/>
          </w:tcPr>
          <w:p w14:paraId="12F460C9">
            <w:pPr>
              <w:snapToGrid w:val="0"/>
              <w:jc w:val="center"/>
              <w:rPr>
                <w:szCs w:val="21"/>
              </w:rPr>
            </w:pPr>
            <w:r>
              <w:rPr>
                <w:rFonts w:hint="eastAsia"/>
                <w:szCs w:val="21"/>
              </w:rPr>
              <w:t>+1套</w:t>
            </w:r>
          </w:p>
        </w:tc>
        <w:tc>
          <w:tcPr>
            <w:tcW w:w="793" w:type="pct"/>
            <w:vMerge w:val="continue"/>
            <w:vAlign w:val="center"/>
          </w:tcPr>
          <w:p w14:paraId="5AB04802">
            <w:pPr>
              <w:snapToGrid w:val="0"/>
              <w:jc w:val="center"/>
              <w:rPr>
                <w:szCs w:val="21"/>
              </w:rPr>
            </w:pPr>
          </w:p>
        </w:tc>
      </w:tr>
      <w:tr w14:paraId="21C50DD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CDC0521">
            <w:pPr>
              <w:snapToGrid w:val="0"/>
              <w:jc w:val="center"/>
              <w:rPr>
                <w:szCs w:val="21"/>
              </w:rPr>
            </w:pPr>
            <w:r>
              <w:rPr>
                <w:rFonts w:hint="eastAsia"/>
                <w:szCs w:val="21"/>
              </w:rPr>
              <w:t>91</w:t>
            </w:r>
          </w:p>
        </w:tc>
        <w:tc>
          <w:tcPr>
            <w:tcW w:w="354" w:type="pct"/>
            <w:vMerge w:val="continue"/>
            <w:vAlign w:val="center"/>
          </w:tcPr>
          <w:p w14:paraId="0123D8ED">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063B1AE">
            <w:pPr>
              <w:snapToGrid w:val="0"/>
              <w:jc w:val="center"/>
              <w:rPr>
                <w:szCs w:val="21"/>
              </w:rPr>
            </w:pPr>
            <w:r>
              <w:t>布袋除尘器+</w:t>
            </w:r>
            <w:r>
              <w:rPr>
                <w:rFonts w:hint="eastAsia"/>
              </w:rPr>
              <w:t>二级</w:t>
            </w:r>
            <w:r>
              <w:t>活性炭吸附装置</w:t>
            </w:r>
          </w:p>
        </w:tc>
        <w:tc>
          <w:tcPr>
            <w:tcW w:w="1285" w:type="pct"/>
            <w:vAlign w:val="center"/>
          </w:tcPr>
          <w:p w14:paraId="00F35A23">
            <w:pPr>
              <w:snapToGrid w:val="0"/>
              <w:jc w:val="center"/>
              <w:rPr>
                <w:szCs w:val="21"/>
              </w:rPr>
            </w:pPr>
            <w:r>
              <w:t>20000m</w:t>
            </w:r>
            <w:r>
              <w:rPr>
                <w:vertAlign w:val="superscript"/>
              </w:rPr>
              <w:t>3</w:t>
            </w:r>
            <w:r>
              <w:t>/h</w:t>
            </w:r>
            <w:r>
              <w:rPr>
                <w:rFonts w:hint="eastAsia"/>
              </w:rPr>
              <w:t>，处理混炼、密炼、配料、返炼、挤出废气</w:t>
            </w:r>
          </w:p>
        </w:tc>
        <w:tc>
          <w:tcPr>
            <w:tcW w:w="456" w:type="pct"/>
            <w:vAlign w:val="center"/>
          </w:tcPr>
          <w:p w14:paraId="57587276">
            <w:pPr>
              <w:snapToGrid w:val="0"/>
              <w:jc w:val="center"/>
              <w:rPr>
                <w:szCs w:val="21"/>
              </w:rPr>
            </w:pPr>
            <w:r>
              <w:rPr>
                <w:rFonts w:hint="eastAsia"/>
                <w:szCs w:val="21"/>
              </w:rPr>
              <w:t>0</w:t>
            </w:r>
          </w:p>
        </w:tc>
        <w:tc>
          <w:tcPr>
            <w:tcW w:w="557" w:type="pct"/>
            <w:vAlign w:val="center"/>
          </w:tcPr>
          <w:p w14:paraId="3A15B734">
            <w:pPr>
              <w:snapToGrid w:val="0"/>
              <w:jc w:val="center"/>
              <w:rPr>
                <w:szCs w:val="21"/>
              </w:rPr>
            </w:pPr>
            <w:r>
              <w:rPr>
                <w:rFonts w:hint="eastAsia"/>
                <w:szCs w:val="21"/>
              </w:rPr>
              <w:t>1套</w:t>
            </w:r>
          </w:p>
        </w:tc>
        <w:tc>
          <w:tcPr>
            <w:tcW w:w="362" w:type="pct"/>
            <w:vAlign w:val="center"/>
          </w:tcPr>
          <w:p w14:paraId="2C61D1E5">
            <w:pPr>
              <w:snapToGrid w:val="0"/>
              <w:jc w:val="center"/>
              <w:rPr>
                <w:szCs w:val="21"/>
              </w:rPr>
            </w:pPr>
            <w:r>
              <w:rPr>
                <w:rFonts w:hint="eastAsia"/>
                <w:szCs w:val="21"/>
              </w:rPr>
              <w:t>+1套</w:t>
            </w:r>
          </w:p>
        </w:tc>
        <w:tc>
          <w:tcPr>
            <w:tcW w:w="793" w:type="pct"/>
            <w:vAlign w:val="center"/>
          </w:tcPr>
          <w:p w14:paraId="035534A8">
            <w:pPr>
              <w:snapToGrid w:val="0"/>
              <w:jc w:val="center"/>
              <w:rPr>
                <w:szCs w:val="21"/>
              </w:rPr>
            </w:pPr>
            <w:r>
              <w:rPr>
                <w:rFonts w:hint="eastAsia"/>
                <w:szCs w:val="21"/>
              </w:rPr>
              <w:t>3#车间，新增一套废气设施，配套</w:t>
            </w:r>
            <w:r>
              <w:t>15m排气筒（8#）</w:t>
            </w:r>
          </w:p>
        </w:tc>
      </w:tr>
      <w:tr w14:paraId="20DEAA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536F7A33">
            <w:pPr>
              <w:snapToGrid w:val="0"/>
              <w:jc w:val="center"/>
              <w:rPr>
                <w:szCs w:val="21"/>
              </w:rPr>
            </w:pPr>
            <w:r>
              <w:rPr>
                <w:rFonts w:hint="eastAsia"/>
                <w:szCs w:val="21"/>
              </w:rPr>
              <w:t>92</w:t>
            </w:r>
          </w:p>
        </w:tc>
        <w:tc>
          <w:tcPr>
            <w:tcW w:w="354" w:type="pct"/>
            <w:vMerge w:val="continue"/>
            <w:vAlign w:val="center"/>
          </w:tcPr>
          <w:p w14:paraId="12C43DF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2E0C7E48">
            <w:pPr>
              <w:snapToGrid w:val="0"/>
              <w:jc w:val="center"/>
              <w:rPr>
                <w:szCs w:val="21"/>
              </w:rPr>
            </w:pPr>
            <w:r>
              <w:t>活性炭吸附装置</w:t>
            </w:r>
          </w:p>
        </w:tc>
        <w:tc>
          <w:tcPr>
            <w:tcW w:w="1285" w:type="pct"/>
            <w:vAlign w:val="center"/>
          </w:tcPr>
          <w:p w14:paraId="3CD7525A">
            <w:pPr>
              <w:snapToGrid w:val="0"/>
              <w:jc w:val="center"/>
              <w:rPr>
                <w:szCs w:val="21"/>
              </w:rPr>
            </w:pPr>
            <w:r>
              <w:t>50000m</w:t>
            </w:r>
            <w:r>
              <w:rPr>
                <w:vertAlign w:val="superscript"/>
              </w:rPr>
              <w:t>3</w:t>
            </w:r>
            <w:r>
              <w:t>/h</w:t>
            </w:r>
            <w:r>
              <w:rPr>
                <w:rFonts w:hint="eastAsia"/>
              </w:rPr>
              <w:t>，处理</w:t>
            </w:r>
            <w:r>
              <w:t>电泳后烘干废气、喷浸涂胶废气以及干燥废气</w:t>
            </w:r>
          </w:p>
        </w:tc>
        <w:tc>
          <w:tcPr>
            <w:tcW w:w="456" w:type="pct"/>
            <w:vAlign w:val="center"/>
          </w:tcPr>
          <w:p w14:paraId="6FA4A22D">
            <w:pPr>
              <w:snapToGrid w:val="0"/>
              <w:jc w:val="center"/>
              <w:rPr>
                <w:szCs w:val="21"/>
              </w:rPr>
            </w:pPr>
            <w:r>
              <w:rPr>
                <w:rFonts w:hint="eastAsia"/>
                <w:szCs w:val="21"/>
              </w:rPr>
              <w:t>1套</w:t>
            </w:r>
          </w:p>
        </w:tc>
        <w:tc>
          <w:tcPr>
            <w:tcW w:w="557" w:type="pct"/>
            <w:vAlign w:val="center"/>
          </w:tcPr>
          <w:p w14:paraId="7EA7FE15">
            <w:pPr>
              <w:snapToGrid w:val="0"/>
              <w:jc w:val="center"/>
              <w:rPr>
                <w:szCs w:val="21"/>
              </w:rPr>
            </w:pPr>
            <w:r>
              <w:rPr>
                <w:rFonts w:hint="eastAsia"/>
                <w:szCs w:val="21"/>
              </w:rPr>
              <w:t>0</w:t>
            </w:r>
          </w:p>
        </w:tc>
        <w:tc>
          <w:tcPr>
            <w:tcW w:w="362" w:type="pct"/>
            <w:vAlign w:val="center"/>
          </w:tcPr>
          <w:p w14:paraId="1AF37019">
            <w:pPr>
              <w:snapToGrid w:val="0"/>
              <w:jc w:val="center"/>
              <w:rPr>
                <w:szCs w:val="21"/>
              </w:rPr>
            </w:pPr>
            <w:r>
              <w:rPr>
                <w:rFonts w:hint="eastAsia"/>
                <w:szCs w:val="21"/>
              </w:rPr>
              <w:t>-1套</w:t>
            </w:r>
          </w:p>
        </w:tc>
        <w:tc>
          <w:tcPr>
            <w:tcW w:w="793" w:type="pct"/>
            <w:vMerge w:val="restart"/>
            <w:vAlign w:val="center"/>
          </w:tcPr>
          <w:p w14:paraId="1550F2AA">
            <w:pPr>
              <w:snapToGrid w:val="0"/>
              <w:jc w:val="center"/>
              <w:rPr>
                <w:szCs w:val="21"/>
              </w:rPr>
            </w:pPr>
            <w:r>
              <w:t>原有喷涂浸胶工序生产设备移至4#车间</w:t>
            </w:r>
            <w:r>
              <w:rPr>
                <w:rFonts w:hint="eastAsia"/>
              </w:rPr>
              <w:t>，配套</w:t>
            </w:r>
            <w:r>
              <w:t>15m排气筒（6#）</w:t>
            </w:r>
            <w:r>
              <w:rPr>
                <w:rFonts w:hint="eastAsia"/>
              </w:rPr>
              <w:t>，</w:t>
            </w:r>
            <w:r>
              <w:t>将现有一级活性炭吸附装置提升改造为二级活性炭吸附装置</w:t>
            </w:r>
          </w:p>
        </w:tc>
      </w:tr>
      <w:tr w14:paraId="590974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827" w:hRule="atLeast"/>
          <w:tblHeader/>
        </w:trPr>
        <w:tc>
          <w:tcPr>
            <w:tcW w:w="229" w:type="pct"/>
            <w:vAlign w:val="center"/>
          </w:tcPr>
          <w:p w14:paraId="2EF1191A">
            <w:pPr>
              <w:snapToGrid w:val="0"/>
              <w:jc w:val="center"/>
              <w:rPr>
                <w:szCs w:val="21"/>
              </w:rPr>
            </w:pPr>
            <w:r>
              <w:rPr>
                <w:rFonts w:hint="eastAsia"/>
                <w:szCs w:val="21"/>
              </w:rPr>
              <w:t>93</w:t>
            </w:r>
          </w:p>
        </w:tc>
        <w:tc>
          <w:tcPr>
            <w:tcW w:w="354" w:type="pct"/>
            <w:vMerge w:val="continue"/>
            <w:vAlign w:val="center"/>
          </w:tcPr>
          <w:p w14:paraId="7F19AA15">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5A6E1B46">
            <w:pPr>
              <w:snapToGrid w:val="0"/>
              <w:jc w:val="center"/>
            </w:pPr>
            <w:r>
              <w:rPr>
                <w:rFonts w:hint="eastAsia"/>
              </w:rPr>
              <w:t>二级活性炭吸附装置</w:t>
            </w:r>
          </w:p>
        </w:tc>
        <w:tc>
          <w:tcPr>
            <w:tcW w:w="1285" w:type="pct"/>
            <w:vAlign w:val="center"/>
          </w:tcPr>
          <w:p w14:paraId="1E3FDEC3">
            <w:pPr>
              <w:snapToGrid w:val="0"/>
              <w:jc w:val="center"/>
            </w:pPr>
            <w:r>
              <w:rPr>
                <w:rFonts w:hint="eastAsia"/>
              </w:rPr>
              <w:t>50</w:t>
            </w:r>
            <w:r>
              <w:t>000m</w:t>
            </w:r>
            <w:r>
              <w:rPr>
                <w:vertAlign w:val="superscript"/>
              </w:rPr>
              <w:t>3</w:t>
            </w:r>
            <w:r>
              <w:t>/h</w:t>
            </w:r>
            <w:r>
              <w:rPr>
                <w:rFonts w:hint="eastAsia"/>
              </w:rPr>
              <w:t>，处理</w:t>
            </w:r>
            <w:r>
              <w:t>喷浸涂胶废气以及干燥废气</w:t>
            </w:r>
          </w:p>
        </w:tc>
        <w:tc>
          <w:tcPr>
            <w:tcW w:w="456" w:type="pct"/>
            <w:vAlign w:val="center"/>
          </w:tcPr>
          <w:p w14:paraId="13FAD6FB">
            <w:pPr>
              <w:snapToGrid w:val="0"/>
              <w:jc w:val="center"/>
              <w:rPr>
                <w:szCs w:val="21"/>
              </w:rPr>
            </w:pPr>
            <w:r>
              <w:rPr>
                <w:rFonts w:hint="eastAsia"/>
                <w:szCs w:val="21"/>
              </w:rPr>
              <w:t>0</w:t>
            </w:r>
          </w:p>
        </w:tc>
        <w:tc>
          <w:tcPr>
            <w:tcW w:w="557" w:type="pct"/>
            <w:vAlign w:val="center"/>
          </w:tcPr>
          <w:p w14:paraId="774D1C77">
            <w:pPr>
              <w:snapToGrid w:val="0"/>
              <w:jc w:val="center"/>
              <w:rPr>
                <w:szCs w:val="21"/>
              </w:rPr>
            </w:pPr>
            <w:r>
              <w:rPr>
                <w:rFonts w:hint="eastAsia"/>
                <w:szCs w:val="21"/>
              </w:rPr>
              <w:t>1套</w:t>
            </w:r>
          </w:p>
        </w:tc>
        <w:tc>
          <w:tcPr>
            <w:tcW w:w="362" w:type="pct"/>
            <w:vAlign w:val="center"/>
          </w:tcPr>
          <w:p w14:paraId="1C2588E4">
            <w:pPr>
              <w:snapToGrid w:val="0"/>
              <w:jc w:val="center"/>
              <w:rPr>
                <w:szCs w:val="21"/>
              </w:rPr>
            </w:pPr>
            <w:r>
              <w:rPr>
                <w:rFonts w:hint="eastAsia"/>
                <w:szCs w:val="21"/>
              </w:rPr>
              <w:t>+1套</w:t>
            </w:r>
          </w:p>
        </w:tc>
        <w:tc>
          <w:tcPr>
            <w:tcW w:w="793" w:type="pct"/>
            <w:vMerge w:val="continue"/>
            <w:vAlign w:val="center"/>
          </w:tcPr>
          <w:p w14:paraId="3086B8BD">
            <w:pPr>
              <w:snapToGrid w:val="0"/>
              <w:jc w:val="center"/>
              <w:rPr>
                <w:szCs w:val="21"/>
              </w:rPr>
            </w:pPr>
          </w:p>
        </w:tc>
      </w:tr>
      <w:tr w14:paraId="5E3C80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0E9F1BEB">
            <w:pPr>
              <w:snapToGrid w:val="0"/>
              <w:jc w:val="center"/>
              <w:rPr>
                <w:szCs w:val="21"/>
              </w:rPr>
            </w:pPr>
            <w:r>
              <w:rPr>
                <w:rFonts w:hint="eastAsia"/>
                <w:szCs w:val="21"/>
              </w:rPr>
              <w:t>94</w:t>
            </w:r>
          </w:p>
        </w:tc>
        <w:tc>
          <w:tcPr>
            <w:tcW w:w="354" w:type="pct"/>
            <w:vMerge w:val="continue"/>
            <w:vAlign w:val="center"/>
          </w:tcPr>
          <w:p w14:paraId="300B755F">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B3BFEB6">
            <w:pPr>
              <w:snapToGrid w:val="0"/>
              <w:jc w:val="center"/>
            </w:pPr>
            <w:r>
              <w:rPr>
                <w:rFonts w:hint="eastAsia"/>
              </w:rPr>
              <w:t>二级活性炭吸附装置</w:t>
            </w:r>
          </w:p>
        </w:tc>
        <w:tc>
          <w:tcPr>
            <w:tcW w:w="1285" w:type="pct"/>
            <w:vAlign w:val="center"/>
          </w:tcPr>
          <w:p w14:paraId="230E06DF">
            <w:pPr>
              <w:snapToGrid w:val="0"/>
              <w:jc w:val="center"/>
            </w:pPr>
            <w:r>
              <w:t>22000m</w:t>
            </w:r>
            <w:r>
              <w:rPr>
                <w:vertAlign w:val="superscript"/>
              </w:rPr>
              <w:t>3</w:t>
            </w:r>
            <w:r>
              <w:t>/h</w:t>
            </w:r>
            <w:r>
              <w:rPr>
                <w:rFonts w:hint="eastAsia"/>
              </w:rPr>
              <w:t>，处理</w:t>
            </w:r>
            <w:r>
              <w:t>电泳后烘干废气</w:t>
            </w:r>
          </w:p>
        </w:tc>
        <w:tc>
          <w:tcPr>
            <w:tcW w:w="456" w:type="pct"/>
            <w:vAlign w:val="center"/>
          </w:tcPr>
          <w:p w14:paraId="4513BED0">
            <w:pPr>
              <w:snapToGrid w:val="0"/>
              <w:jc w:val="center"/>
              <w:rPr>
                <w:szCs w:val="21"/>
              </w:rPr>
            </w:pPr>
            <w:r>
              <w:rPr>
                <w:rFonts w:hint="eastAsia"/>
                <w:szCs w:val="21"/>
              </w:rPr>
              <w:t>0</w:t>
            </w:r>
          </w:p>
        </w:tc>
        <w:tc>
          <w:tcPr>
            <w:tcW w:w="557" w:type="pct"/>
            <w:vAlign w:val="center"/>
          </w:tcPr>
          <w:p w14:paraId="1358BF2A">
            <w:pPr>
              <w:snapToGrid w:val="0"/>
              <w:jc w:val="center"/>
              <w:rPr>
                <w:szCs w:val="21"/>
              </w:rPr>
            </w:pPr>
            <w:r>
              <w:rPr>
                <w:rFonts w:hint="eastAsia"/>
                <w:szCs w:val="21"/>
              </w:rPr>
              <w:t>1套</w:t>
            </w:r>
          </w:p>
        </w:tc>
        <w:tc>
          <w:tcPr>
            <w:tcW w:w="362" w:type="pct"/>
            <w:vAlign w:val="center"/>
          </w:tcPr>
          <w:p w14:paraId="0A538BC4">
            <w:pPr>
              <w:snapToGrid w:val="0"/>
              <w:jc w:val="center"/>
              <w:rPr>
                <w:szCs w:val="21"/>
              </w:rPr>
            </w:pPr>
            <w:r>
              <w:rPr>
                <w:rFonts w:hint="eastAsia"/>
                <w:szCs w:val="21"/>
              </w:rPr>
              <w:t>+1套</w:t>
            </w:r>
          </w:p>
        </w:tc>
        <w:tc>
          <w:tcPr>
            <w:tcW w:w="793" w:type="pct"/>
            <w:vAlign w:val="center"/>
          </w:tcPr>
          <w:p w14:paraId="4B1C53EE">
            <w:pPr>
              <w:snapToGrid w:val="0"/>
              <w:jc w:val="center"/>
              <w:rPr>
                <w:szCs w:val="21"/>
              </w:rPr>
            </w:pPr>
            <w:r>
              <w:rPr>
                <w:rFonts w:hint="eastAsia"/>
                <w:szCs w:val="21"/>
              </w:rPr>
              <w:t>2#车间，新增一套废气措施，配套</w:t>
            </w:r>
            <w:r>
              <w:t>15m排气筒（9#）</w:t>
            </w:r>
          </w:p>
        </w:tc>
      </w:tr>
      <w:tr w14:paraId="11293A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1500" w:hRule="atLeast"/>
          <w:tblHeader/>
        </w:trPr>
        <w:tc>
          <w:tcPr>
            <w:tcW w:w="229" w:type="pct"/>
            <w:vAlign w:val="center"/>
          </w:tcPr>
          <w:p w14:paraId="2D12E3F4">
            <w:pPr>
              <w:snapToGrid w:val="0"/>
              <w:jc w:val="center"/>
              <w:rPr>
                <w:szCs w:val="21"/>
              </w:rPr>
            </w:pPr>
            <w:r>
              <w:rPr>
                <w:rFonts w:hint="eastAsia"/>
                <w:szCs w:val="21"/>
              </w:rPr>
              <w:t>95</w:t>
            </w:r>
          </w:p>
        </w:tc>
        <w:tc>
          <w:tcPr>
            <w:tcW w:w="354" w:type="pct"/>
            <w:vMerge w:val="continue"/>
            <w:vAlign w:val="center"/>
          </w:tcPr>
          <w:p w14:paraId="33EA9314">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E1184A1">
            <w:pPr>
              <w:snapToGrid w:val="0"/>
              <w:jc w:val="center"/>
            </w:pPr>
            <w:r>
              <w:t>碱喷淋+活性炭吸附装置</w:t>
            </w:r>
          </w:p>
        </w:tc>
        <w:tc>
          <w:tcPr>
            <w:tcW w:w="1285" w:type="pct"/>
            <w:vMerge w:val="restart"/>
            <w:vAlign w:val="center"/>
          </w:tcPr>
          <w:p w14:paraId="7AFBE25E">
            <w:pPr>
              <w:snapToGrid w:val="0"/>
              <w:jc w:val="center"/>
            </w:pPr>
            <w:r>
              <w:rPr>
                <w:rFonts w:hint="eastAsia"/>
              </w:rPr>
              <w:t>18</w:t>
            </w:r>
            <w:r>
              <w:t>000m</w:t>
            </w:r>
            <w:r>
              <w:rPr>
                <w:vertAlign w:val="superscript"/>
              </w:rPr>
              <w:t>3</w:t>
            </w:r>
            <w:r>
              <w:t>/h</w:t>
            </w:r>
            <w:r>
              <w:rPr>
                <w:rFonts w:hint="eastAsia"/>
              </w:rPr>
              <w:t>，处理二次硫化废气</w:t>
            </w:r>
          </w:p>
        </w:tc>
        <w:tc>
          <w:tcPr>
            <w:tcW w:w="456" w:type="pct"/>
            <w:vAlign w:val="center"/>
          </w:tcPr>
          <w:p w14:paraId="33C1B41D">
            <w:pPr>
              <w:snapToGrid w:val="0"/>
              <w:jc w:val="center"/>
              <w:rPr>
                <w:szCs w:val="21"/>
              </w:rPr>
            </w:pPr>
            <w:r>
              <w:rPr>
                <w:rFonts w:hint="eastAsia"/>
                <w:szCs w:val="21"/>
              </w:rPr>
              <w:t>1套</w:t>
            </w:r>
          </w:p>
        </w:tc>
        <w:tc>
          <w:tcPr>
            <w:tcW w:w="557" w:type="pct"/>
            <w:vAlign w:val="center"/>
          </w:tcPr>
          <w:p w14:paraId="79376375">
            <w:pPr>
              <w:snapToGrid w:val="0"/>
              <w:jc w:val="center"/>
              <w:rPr>
                <w:szCs w:val="21"/>
              </w:rPr>
            </w:pPr>
            <w:r>
              <w:rPr>
                <w:rFonts w:hint="eastAsia"/>
                <w:szCs w:val="21"/>
              </w:rPr>
              <w:t>0</w:t>
            </w:r>
          </w:p>
        </w:tc>
        <w:tc>
          <w:tcPr>
            <w:tcW w:w="362" w:type="pct"/>
            <w:vAlign w:val="center"/>
          </w:tcPr>
          <w:p w14:paraId="2CDB43B4">
            <w:pPr>
              <w:snapToGrid w:val="0"/>
              <w:jc w:val="center"/>
              <w:rPr>
                <w:szCs w:val="21"/>
              </w:rPr>
            </w:pPr>
            <w:r>
              <w:rPr>
                <w:rFonts w:hint="eastAsia"/>
                <w:szCs w:val="21"/>
              </w:rPr>
              <w:t>-1套</w:t>
            </w:r>
          </w:p>
        </w:tc>
        <w:tc>
          <w:tcPr>
            <w:tcW w:w="793" w:type="pct"/>
            <w:vMerge w:val="restart"/>
            <w:vAlign w:val="center"/>
          </w:tcPr>
          <w:p w14:paraId="06C74C06">
            <w:pPr>
              <w:snapToGrid w:val="0"/>
              <w:jc w:val="center"/>
              <w:rPr>
                <w:szCs w:val="21"/>
              </w:rPr>
            </w:pPr>
            <w:r>
              <w:rPr>
                <w:rFonts w:hint="eastAsia"/>
                <w:szCs w:val="21"/>
              </w:rPr>
              <w:t>4#车间，处理后合并至</w:t>
            </w:r>
            <w:r>
              <w:t>15m高</w:t>
            </w:r>
            <w:r>
              <w:rPr>
                <w:rFonts w:hint="eastAsia"/>
              </w:rPr>
              <w:t>3</w:t>
            </w:r>
            <w:r>
              <w:t>#排气筒</w:t>
            </w:r>
            <w:r>
              <w:rPr>
                <w:rFonts w:hint="eastAsia"/>
              </w:rPr>
              <w:t>，</w:t>
            </w:r>
            <w:r>
              <w:t>将现有一级活性炭吸附装置提升改造为二级活性炭吸附装置</w:t>
            </w:r>
            <w:r>
              <w:rPr>
                <w:rFonts w:hint="eastAsia"/>
              </w:rPr>
              <w:t>，</w:t>
            </w:r>
            <w:r>
              <w:t>原有</w:t>
            </w:r>
            <w:r>
              <w:rPr>
                <w:rFonts w:hint="eastAsia"/>
              </w:rPr>
              <w:t>挤出预成型</w:t>
            </w:r>
            <w:r>
              <w:t>工序生产设备</w:t>
            </w:r>
            <w:r>
              <w:rPr>
                <w:rFonts w:hint="eastAsia"/>
              </w:rPr>
              <w:t>从4#车间</w:t>
            </w:r>
            <w:r>
              <w:t>移至</w:t>
            </w:r>
            <w:r>
              <w:rPr>
                <w:rFonts w:hint="eastAsia"/>
              </w:rPr>
              <w:t>3</w:t>
            </w:r>
            <w:r>
              <w:t>#车间</w:t>
            </w:r>
          </w:p>
        </w:tc>
      </w:tr>
      <w:tr w14:paraId="4803B2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68D3194">
            <w:pPr>
              <w:snapToGrid w:val="0"/>
              <w:jc w:val="center"/>
              <w:rPr>
                <w:szCs w:val="21"/>
              </w:rPr>
            </w:pPr>
            <w:r>
              <w:rPr>
                <w:rFonts w:hint="eastAsia"/>
                <w:szCs w:val="21"/>
              </w:rPr>
              <w:t>96</w:t>
            </w:r>
          </w:p>
        </w:tc>
        <w:tc>
          <w:tcPr>
            <w:tcW w:w="354" w:type="pct"/>
            <w:vMerge w:val="continue"/>
            <w:vAlign w:val="center"/>
          </w:tcPr>
          <w:p w14:paraId="1C22799B">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73294BC7">
            <w:pPr>
              <w:snapToGrid w:val="0"/>
              <w:jc w:val="center"/>
            </w:pPr>
            <w:r>
              <w:t>碱喷淋+</w:t>
            </w:r>
            <w:r>
              <w:rPr>
                <w:rFonts w:hint="eastAsia"/>
              </w:rPr>
              <w:t>二级</w:t>
            </w:r>
            <w:r>
              <w:t>活性炭吸附装置</w:t>
            </w:r>
          </w:p>
        </w:tc>
        <w:tc>
          <w:tcPr>
            <w:tcW w:w="1285" w:type="pct"/>
            <w:vMerge w:val="continue"/>
            <w:vAlign w:val="center"/>
          </w:tcPr>
          <w:p w14:paraId="206CC066">
            <w:pPr>
              <w:snapToGrid w:val="0"/>
              <w:jc w:val="center"/>
            </w:pPr>
          </w:p>
        </w:tc>
        <w:tc>
          <w:tcPr>
            <w:tcW w:w="456" w:type="pct"/>
            <w:vAlign w:val="center"/>
          </w:tcPr>
          <w:p w14:paraId="10366689">
            <w:pPr>
              <w:snapToGrid w:val="0"/>
              <w:jc w:val="center"/>
              <w:rPr>
                <w:szCs w:val="21"/>
              </w:rPr>
            </w:pPr>
            <w:r>
              <w:rPr>
                <w:rFonts w:hint="eastAsia"/>
                <w:szCs w:val="21"/>
              </w:rPr>
              <w:t>0</w:t>
            </w:r>
          </w:p>
        </w:tc>
        <w:tc>
          <w:tcPr>
            <w:tcW w:w="557" w:type="pct"/>
            <w:vAlign w:val="center"/>
          </w:tcPr>
          <w:p w14:paraId="11C9A65D">
            <w:pPr>
              <w:snapToGrid w:val="0"/>
              <w:jc w:val="center"/>
              <w:rPr>
                <w:szCs w:val="21"/>
              </w:rPr>
            </w:pPr>
            <w:r>
              <w:rPr>
                <w:rFonts w:hint="eastAsia"/>
                <w:szCs w:val="21"/>
              </w:rPr>
              <w:t>1套</w:t>
            </w:r>
          </w:p>
        </w:tc>
        <w:tc>
          <w:tcPr>
            <w:tcW w:w="362" w:type="pct"/>
            <w:vAlign w:val="center"/>
          </w:tcPr>
          <w:p w14:paraId="7BE0E277">
            <w:pPr>
              <w:snapToGrid w:val="0"/>
              <w:jc w:val="center"/>
              <w:rPr>
                <w:szCs w:val="21"/>
              </w:rPr>
            </w:pPr>
            <w:r>
              <w:rPr>
                <w:rFonts w:hint="eastAsia"/>
                <w:szCs w:val="21"/>
              </w:rPr>
              <w:t>+1套</w:t>
            </w:r>
          </w:p>
        </w:tc>
        <w:tc>
          <w:tcPr>
            <w:tcW w:w="793" w:type="pct"/>
            <w:vMerge w:val="continue"/>
            <w:vAlign w:val="center"/>
          </w:tcPr>
          <w:p w14:paraId="248FA7AF">
            <w:pPr>
              <w:snapToGrid w:val="0"/>
              <w:jc w:val="center"/>
              <w:rPr>
                <w:szCs w:val="21"/>
              </w:rPr>
            </w:pPr>
          </w:p>
        </w:tc>
      </w:tr>
      <w:tr w14:paraId="6D0ECE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72AE2EB2">
            <w:pPr>
              <w:snapToGrid w:val="0"/>
              <w:jc w:val="center"/>
              <w:rPr>
                <w:szCs w:val="21"/>
              </w:rPr>
            </w:pPr>
            <w:r>
              <w:rPr>
                <w:rFonts w:hint="eastAsia"/>
                <w:szCs w:val="21"/>
              </w:rPr>
              <w:t>97</w:t>
            </w:r>
          </w:p>
        </w:tc>
        <w:tc>
          <w:tcPr>
            <w:tcW w:w="354" w:type="pct"/>
            <w:vMerge w:val="continue"/>
            <w:vAlign w:val="center"/>
          </w:tcPr>
          <w:p w14:paraId="51D77E3C">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D03F4B1">
            <w:pPr>
              <w:snapToGrid w:val="0"/>
              <w:jc w:val="center"/>
            </w:pPr>
            <w:r>
              <w:t>碱喷淋+活性炭吸附装置</w:t>
            </w:r>
          </w:p>
        </w:tc>
        <w:tc>
          <w:tcPr>
            <w:tcW w:w="1285" w:type="pct"/>
            <w:vMerge w:val="restart"/>
            <w:vAlign w:val="center"/>
          </w:tcPr>
          <w:p w14:paraId="110174B4">
            <w:pPr>
              <w:snapToGrid w:val="0"/>
              <w:jc w:val="center"/>
            </w:pPr>
            <w:r>
              <w:t>45000m</w:t>
            </w:r>
            <w:r>
              <w:rPr>
                <w:vertAlign w:val="superscript"/>
              </w:rPr>
              <w:t>3</w:t>
            </w:r>
            <w:r>
              <w:t>/h</w:t>
            </w:r>
            <w:r>
              <w:rPr>
                <w:rFonts w:hint="eastAsia"/>
              </w:rPr>
              <w:t>，处理</w:t>
            </w:r>
            <w:r>
              <w:t>硫化废气</w:t>
            </w:r>
          </w:p>
        </w:tc>
        <w:tc>
          <w:tcPr>
            <w:tcW w:w="456" w:type="pct"/>
            <w:vAlign w:val="center"/>
          </w:tcPr>
          <w:p w14:paraId="1F2C3587">
            <w:pPr>
              <w:snapToGrid w:val="0"/>
              <w:jc w:val="center"/>
              <w:rPr>
                <w:szCs w:val="21"/>
              </w:rPr>
            </w:pPr>
            <w:r>
              <w:rPr>
                <w:rFonts w:hint="eastAsia"/>
                <w:szCs w:val="21"/>
              </w:rPr>
              <w:t>1套</w:t>
            </w:r>
          </w:p>
        </w:tc>
        <w:tc>
          <w:tcPr>
            <w:tcW w:w="557" w:type="pct"/>
            <w:vAlign w:val="center"/>
          </w:tcPr>
          <w:p w14:paraId="0968A93F">
            <w:pPr>
              <w:snapToGrid w:val="0"/>
              <w:jc w:val="center"/>
              <w:rPr>
                <w:szCs w:val="21"/>
              </w:rPr>
            </w:pPr>
            <w:r>
              <w:rPr>
                <w:rFonts w:hint="eastAsia"/>
                <w:szCs w:val="21"/>
              </w:rPr>
              <w:t>0</w:t>
            </w:r>
          </w:p>
        </w:tc>
        <w:tc>
          <w:tcPr>
            <w:tcW w:w="362" w:type="pct"/>
            <w:vAlign w:val="center"/>
          </w:tcPr>
          <w:p w14:paraId="3C83B9E8">
            <w:pPr>
              <w:snapToGrid w:val="0"/>
              <w:jc w:val="center"/>
              <w:rPr>
                <w:szCs w:val="21"/>
              </w:rPr>
            </w:pPr>
            <w:r>
              <w:rPr>
                <w:rFonts w:hint="eastAsia"/>
                <w:szCs w:val="21"/>
              </w:rPr>
              <w:t>-1套</w:t>
            </w:r>
          </w:p>
        </w:tc>
        <w:tc>
          <w:tcPr>
            <w:tcW w:w="793" w:type="pct"/>
            <w:vMerge w:val="continue"/>
            <w:vAlign w:val="center"/>
          </w:tcPr>
          <w:p w14:paraId="5348729A">
            <w:pPr>
              <w:snapToGrid w:val="0"/>
              <w:jc w:val="center"/>
              <w:rPr>
                <w:szCs w:val="21"/>
              </w:rPr>
            </w:pPr>
          </w:p>
        </w:tc>
      </w:tr>
      <w:tr w14:paraId="2FCF81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A70BDFA">
            <w:pPr>
              <w:snapToGrid w:val="0"/>
              <w:jc w:val="center"/>
              <w:rPr>
                <w:szCs w:val="21"/>
              </w:rPr>
            </w:pPr>
            <w:r>
              <w:rPr>
                <w:rFonts w:hint="eastAsia"/>
                <w:szCs w:val="21"/>
              </w:rPr>
              <w:t>98</w:t>
            </w:r>
          </w:p>
        </w:tc>
        <w:tc>
          <w:tcPr>
            <w:tcW w:w="354" w:type="pct"/>
            <w:vMerge w:val="continue"/>
            <w:vAlign w:val="center"/>
          </w:tcPr>
          <w:p w14:paraId="308AAE16">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18399D2">
            <w:pPr>
              <w:snapToGrid w:val="0"/>
              <w:jc w:val="center"/>
            </w:pPr>
            <w:r>
              <w:t>碱喷淋+</w:t>
            </w:r>
            <w:r>
              <w:rPr>
                <w:rFonts w:hint="eastAsia"/>
              </w:rPr>
              <w:t>二级</w:t>
            </w:r>
            <w:r>
              <w:t>活性炭吸附装置</w:t>
            </w:r>
          </w:p>
        </w:tc>
        <w:tc>
          <w:tcPr>
            <w:tcW w:w="1285" w:type="pct"/>
            <w:vMerge w:val="continue"/>
            <w:vAlign w:val="center"/>
          </w:tcPr>
          <w:p w14:paraId="1DADEC69">
            <w:pPr>
              <w:snapToGrid w:val="0"/>
              <w:jc w:val="center"/>
            </w:pPr>
          </w:p>
        </w:tc>
        <w:tc>
          <w:tcPr>
            <w:tcW w:w="456" w:type="pct"/>
            <w:vAlign w:val="center"/>
          </w:tcPr>
          <w:p w14:paraId="569DC675">
            <w:pPr>
              <w:snapToGrid w:val="0"/>
              <w:jc w:val="center"/>
              <w:rPr>
                <w:szCs w:val="21"/>
              </w:rPr>
            </w:pPr>
            <w:r>
              <w:rPr>
                <w:rFonts w:hint="eastAsia"/>
                <w:szCs w:val="21"/>
              </w:rPr>
              <w:t>0</w:t>
            </w:r>
          </w:p>
        </w:tc>
        <w:tc>
          <w:tcPr>
            <w:tcW w:w="557" w:type="pct"/>
            <w:vAlign w:val="center"/>
          </w:tcPr>
          <w:p w14:paraId="0F37C922">
            <w:pPr>
              <w:snapToGrid w:val="0"/>
              <w:jc w:val="center"/>
              <w:rPr>
                <w:szCs w:val="21"/>
              </w:rPr>
            </w:pPr>
            <w:r>
              <w:rPr>
                <w:rFonts w:hint="eastAsia"/>
                <w:szCs w:val="21"/>
              </w:rPr>
              <w:t>1套</w:t>
            </w:r>
          </w:p>
        </w:tc>
        <w:tc>
          <w:tcPr>
            <w:tcW w:w="362" w:type="pct"/>
            <w:vAlign w:val="center"/>
          </w:tcPr>
          <w:p w14:paraId="19C8D9B6">
            <w:pPr>
              <w:snapToGrid w:val="0"/>
              <w:jc w:val="center"/>
              <w:rPr>
                <w:szCs w:val="21"/>
              </w:rPr>
            </w:pPr>
            <w:r>
              <w:rPr>
                <w:rFonts w:hint="eastAsia"/>
                <w:szCs w:val="21"/>
              </w:rPr>
              <w:t>+1套</w:t>
            </w:r>
          </w:p>
        </w:tc>
        <w:tc>
          <w:tcPr>
            <w:tcW w:w="793" w:type="pct"/>
            <w:vMerge w:val="continue"/>
            <w:vAlign w:val="center"/>
          </w:tcPr>
          <w:p w14:paraId="5E24994B">
            <w:pPr>
              <w:snapToGrid w:val="0"/>
              <w:jc w:val="center"/>
              <w:rPr>
                <w:szCs w:val="21"/>
              </w:rPr>
            </w:pPr>
          </w:p>
        </w:tc>
      </w:tr>
      <w:tr w14:paraId="126C55D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616039AA">
            <w:pPr>
              <w:snapToGrid w:val="0"/>
              <w:jc w:val="center"/>
              <w:rPr>
                <w:szCs w:val="21"/>
              </w:rPr>
            </w:pPr>
            <w:r>
              <w:rPr>
                <w:rFonts w:hint="eastAsia"/>
                <w:szCs w:val="21"/>
              </w:rPr>
              <w:t>99</w:t>
            </w:r>
          </w:p>
        </w:tc>
        <w:tc>
          <w:tcPr>
            <w:tcW w:w="354" w:type="pct"/>
            <w:vMerge w:val="continue"/>
            <w:vAlign w:val="center"/>
          </w:tcPr>
          <w:p w14:paraId="64F3088D">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03EE8AB3">
            <w:pPr>
              <w:snapToGrid w:val="0"/>
              <w:jc w:val="center"/>
            </w:pPr>
            <w:r>
              <w:t>滤芯脉冲反吹除尘装置</w:t>
            </w:r>
          </w:p>
        </w:tc>
        <w:tc>
          <w:tcPr>
            <w:tcW w:w="1285" w:type="pct"/>
            <w:vAlign w:val="center"/>
          </w:tcPr>
          <w:p w14:paraId="09F98E90">
            <w:pPr>
              <w:snapToGrid w:val="0"/>
              <w:jc w:val="center"/>
            </w:pPr>
            <w:r>
              <w:rPr>
                <w:rFonts w:hint="eastAsia"/>
              </w:rPr>
              <w:t>总风量13500</w:t>
            </w:r>
            <w:r>
              <w:t>m</w:t>
            </w:r>
            <w:r>
              <w:rPr>
                <w:vertAlign w:val="superscript"/>
              </w:rPr>
              <w:t>3</w:t>
            </w:r>
            <w:r>
              <w:t>/h</w:t>
            </w:r>
            <w:r>
              <w:rPr>
                <w:rFonts w:hint="eastAsia"/>
              </w:rPr>
              <w:t>，处理</w:t>
            </w:r>
            <w:r>
              <w:t>抛丸/喷砂</w:t>
            </w:r>
            <w:r>
              <w:rPr>
                <w:rFonts w:hint="eastAsia"/>
              </w:rPr>
              <w:t>粉尘</w:t>
            </w:r>
          </w:p>
        </w:tc>
        <w:tc>
          <w:tcPr>
            <w:tcW w:w="456" w:type="pct"/>
            <w:vAlign w:val="center"/>
          </w:tcPr>
          <w:p w14:paraId="13FFF600">
            <w:pPr>
              <w:snapToGrid w:val="0"/>
              <w:jc w:val="center"/>
              <w:rPr>
                <w:szCs w:val="21"/>
              </w:rPr>
            </w:pPr>
            <w:r>
              <w:rPr>
                <w:rFonts w:hint="eastAsia"/>
                <w:szCs w:val="21"/>
              </w:rPr>
              <w:t>4套</w:t>
            </w:r>
          </w:p>
        </w:tc>
        <w:tc>
          <w:tcPr>
            <w:tcW w:w="557" w:type="pct"/>
            <w:vAlign w:val="center"/>
          </w:tcPr>
          <w:p w14:paraId="48924F93">
            <w:pPr>
              <w:snapToGrid w:val="0"/>
              <w:jc w:val="center"/>
              <w:rPr>
                <w:szCs w:val="21"/>
              </w:rPr>
            </w:pPr>
            <w:r>
              <w:rPr>
                <w:rFonts w:hint="eastAsia"/>
                <w:szCs w:val="21"/>
              </w:rPr>
              <w:t>4套</w:t>
            </w:r>
          </w:p>
        </w:tc>
        <w:tc>
          <w:tcPr>
            <w:tcW w:w="362" w:type="pct"/>
            <w:vAlign w:val="center"/>
          </w:tcPr>
          <w:p w14:paraId="57E3FFE0">
            <w:pPr>
              <w:snapToGrid w:val="0"/>
              <w:jc w:val="center"/>
              <w:rPr>
                <w:szCs w:val="21"/>
              </w:rPr>
            </w:pPr>
            <w:r>
              <w:rPr>
                <w:rFonts w:hint="eastAsia"/>
                <w:szCs w:val="21"/>
              </w:rPr>
              <w:t>0</w:t>
            </w:r>
          </w:p>
        </w:tc>
        <w:tc>
          <w:tcPr>
            <w:tcW w:w="793" w:type="pct"/>
            <w:vAlign w:val="center"/>
          </w:tcPr>
          <w:p w14:paraId="06963C9F">
            <w:pPr>
              <w:snapToGrid w:val="0"/>
              <w:jc w:val="center"/>
              <w:rPr>
                <w:szCs w:val="21"/>
              </w:rPr>
            </w:pPr>
            <w:r>
              <w:rPr>
                <w:rFonts w:hint="eastAsia"/>
                <w:szCs w:val="21"/>
              </w:rPr>
              <w:t>2#车间，</w:t>
            </w:r>
            <w:r>
              <w:t>分别处理后共用15m高5#排气筒排放</w:t>
            </w:r>
          </w:p>
        </w:tc>
      </w:tr>
      <w:tr w14:paraId="6EE7A5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434289FB">
            <w:pPr>
              <w:snapToGrid w:val="0"/>
              <w:jc w:val="center"/>
              <w:rPr>
                <w:szCs w:val="21"/>
              </w:rPr>
            </w:pPr>
            <w:r>
              <w:rPr>
                <w:rFonts w:hint="eastAsia"/>
                <w:szCs w:val="21"/>
              </w:rPr>
              <w:t>100</w:t>
            </w:r>
          </w:p>
        </w:tc>
        <w:tc>
          <w:tcPr>
            <w:tcW w:w="354" w:type="pct"/>
            <w:vMerge w:val="continue"/>
            <w:vAlign w:val="center"/>
          </w:tcPr>
          <w:p w14:paraId="5517E052">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324FCEA8">
            <w:pPr>
              <w:snapToGrid w:val="0"/>
              <w:jc w:val="center"/>
            </w:pPr>
            <w:r>
              <w:rPr>
                <w:rFonts w:hint="eastAsia"/>
              </w:rPr>
              <w:t>油烟净化装置</w:t>
            </w:r>
          </w:p>
        </w:tc>
        <w:tc>
          <w:tcPr>
            <w:tcW w:w="1285" w:type="pct"/>
            <w:vAlign w:val="center"/>
          </w:tcPr>
          <w:p w14:paraId="25D913E6">
            <w:pPr>
              <w:snapToGrid w:val="0"/>
              <w:jc w:val="center"/>
            </w:pPr>
            <w:r>
              <w:rPr>
                <w:rFonts w:hint="eastAsia"/>
              </w:rPr>
              <w:t>处理食堂油烟，配套8m高4#排气筒</w:t>
            </w:r>
          </w:p>
        </w:tc>
        <w:tc>
          <w:tcPr>
            <w:tcW w:w="456" w:type="pct"/>
            <w:vAlign w:val="center"/>
          </w:tcPr>
          <w:p w14:paraId="6579E9AD">
            <w:pPr>
              <w:snapToGrid w:val="0"/>
              <w:jc w:val="center"/>
              <w:rPr>
                <w:szCs w:val="21"/>
              </w:rPr>
            </w:pPr>
            <w:r>
              <w:rPr>
                <w:rFonts w:hint="eastAsia"/>
                <w:szCs w:val="21"/>
              </w:rPr>
              <w:t>1套</w:t>
            </w:r>
          </w:p>
        </w:tc>
        <w:tc>
          <w:tcPr>
            <w:tcW w:w="557" w:type="pct"/>
            <w:vAlign w:val="center"/>
          </w:tcPr>
          <w:p w14:paraId="5B1EF249">
            <w:pPr>
              <w:snapToGrid w:val="0"/>
              <w:jc w:val="center"/>
              <w:rPr>
                <w:szCs w:val="21"/>
              </w:rPr>
            </w:pPr>
            <w:r>
              <w:rPr>
                <w:rFonts w:hint="eastAsia"/>
                <w:szCs w:val="21"/>
              </w:rPr>
              <w:t>1套</w:t>
            </w:r>
          </w:p>
        </w:tc>
        <w:tc>
          <w:tcPr>
            <w:tcW w:w="362" w:type="pct"/>
            <w:vAlign w:val="center"/>
          </w:tcPr>
          <w:p w14:paraId="1DF524C2">
            <w:pPr>
              <w:snapToGrid w:val="0"/>
              <w:jc w:val="center"/>
              <w:rPr>
                <w:szCs w:val="21"/>
              </w:rPr>
            </w:pPr>
            <w:r>
              <w:rPr>
                <w:rFonts w:hint="eastAsia"/>
                <w:szCs w:val="21"/>
              </w:rPr>
              <w:t>0</w:t>
            </w:r>
          </w:p>
        </w:tc>
        <w:tc>
          <w:tcPr>
            <w:tcW w:w="793" w:type="pct"/>
            <w:vAlign w:val="center"/>
          </w:tcPr>
          <w:p w14:paraId="48807F13">
            <w:pPr>
              <w:snapToGrid w:val="0"/>
              <w:jc w:val="center"/>
              <w:rPr>
                <w:szCs w:val="21"/>
              </w:rPr>
            </w:pPr>
            <w:r>
              <w:rPr>
                <w:rFonts w:hint="eastAsia"/>
                <w:szCs w:val="21"/>
              </w:rPr>
              <w:t>食堂</w:t>
            </w:r>
          </w:p>
        </w:tc>
      </w:tr>
      <w:tr w14:paraId="0EF3B4C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trPr>
        <w:tc>
          <w:tcPr>
            <w:tcW w:w="229" w:type="pct"/>
            <w:vAlign w:val="center"/>
          </w:tcPr>
          <w:p w14:paraId="39FE0A05">
            <w:pPr>
              <w:snapToGrid w:val="0"/>
              <w:jc w:val="center"/>
              <w:rPr>
                <w:szCs w:val="21"/>
              </w:rPr>
            </w:pPr>
            <w:r>
              <w:rPr>
                <w:rFonts w:hint="eastAsia"/>
                <w:szCs w:val="21"/>
              </w:rPr>
              <w:t>101</w:t>
            </w:r>
          </w:p>
        </w:tc>
        <w:tc>
          <w:tcPr>
            <w:tcW w:w="354" w:type="pct"/>
            <w:vMerge w:val="continue"/>
            <w:vAlign w:val="center"/>
          </w:tcPr>
          <w:p w14:paraId="6A224182">
            <w:pPr>
              <w:pStyle w:val="86"/>
              <w:spacing w:beforeLines="0" w:line="240" w:lineRule="auto"/>
              <w:ind w:firstLine="0" w:firstLineChars="0"/>
              <w:jc w:val="center"/>
              <w:rPr>
                <w:rFonts w:ascii="Times New Roman" w:hAnsi="Times New Roman"/>
                <w:sz w:val="21"/>
                <w:szCs w:val="21"/>
              </w:rPr>
            </w:pPr>
          </w:p>
        </w:tc>
        <w:tc>
          <w:tcPr>
            <w:tcW w:w="964" w:type="pct"/>
            <w:vAlign w:val="center"/>
          </w:tcPr>
          <w:p w14:paraId="11C83990">
            <w:pPr>
              <w:snapToGrid w:val="0"/>
              <w:jc w:val="center"/>
            </w:pPr>
            <w:r>
              <w:rPr>
                <w:rFonts w:hint="eastAsia"/>
              </w:rPr>
              <w:t>污水处理站</w:t>
            </w:r>
          </w:p>
        </w:tc>
        <w:tc>
          <w:tcPr>
            <w:tcW w:w="1285" w:type="pct"/>
            <w:vAlign w:val="center"/>
          </w:tcPr>
          <w:p w14:paraId="47FDF6E6">
            <w:pPr>
              <w:snapToGrid w:val="0"/>
              <w:jc w:val="center"/>
            </w:pPr>
            <w:r>
              <w:t>电泳水洗废水经调节+气浮+超级氧化+沉淀预处理；其余废水经调节+反应槽+高效沉淀预处理；水解酸化+MBR+石英砂过滤+活性炭过滤+超滤+反渗透+M</w:t>
            </w:r>
            <w:r>
              <w:rPr>
                <w:rFonts w:hint="eastAsia"/>
              </w:rPr>
              <w:t>V</w:t>
            </w:r>
            <w:r>
              <w:t>R蒸发浓缩，最大处理能力3m</w:t>
            </w:r>
            <w:r>
              <w:rPr>
                <w:vertAlign w:val="superscript"/>
              </w:rPr>
              <w:t>3</w:t>
            </w:r>
            <w:r>
              <w:t>/</w:t>
            </w:r>
            <w:r>
              <w:rPr>
                <w:rFonts w:hint="eastAsia"/>
              </w:rPr>
              <w:t>h</w:t>
            </w:r>
          </w:p>
        </w:tc>
        <w:tc>
          <w:tcPr>
            <w:tcW w:w="456" w:type="pct"/>
            <w:vAlign w:val="center"/>
          </w:tcPr>
          <w:p w14:paraId="7C76C595">
            <w:pPr>
              <w:snapToGrid w:val="0"/>
              <w:jc w:val="center"/>
              <w:rPr>
                <w:szCs w:val="21"/>
              </w:rPr>
            </w:pPr>
            <w:r>
              <w:rPr>
                <w:rFonts w:hint="eastAsia"/>
                <w:szCs w:val="21"/>
              </w:rPr>
              <w:t>1套</w:t>
            </w:r>
          </w:p>
        </w:tc>
        <w:tc>
          <w:tcPr>
            <w:tcW w:w="557" w:type="pct"/>
            <w:vAlign w:val="center"/>
          </w:tcPr>
          <w:p w14:paraId="398D3D4D">
            <w:pPr>
              <w:snapToGrid w:val="0"/>
              <w:jc w:val="center"/>
              <w:rPr>
                <w:szCs w:val="21"/>
              </w:rPr>
            </w:pPr>
            <w:r>
              <w:rPr>
                <w:rFonts w:hint="eastAsia"/>
                <w:szCs w:val="21"/>
              </w:rPr>
              <w:t>1套</w:t>
            </w:r>
          </w:p>
        </w:tc>
        <w:tc>
          <w:tcPr>
            <w:tcW w:w="362" w:type="pct"/>
            <w:vAlign w:val="center"/>
          </w:tcPr>
          <w:p w14:paraId="5232EF49">
            <w:pPr>
              <w:snapToGrid w:val="0"/>
              <w:jc w:val="center"/>
              <w:rPr>
                <w:szCs w:val="21"/>
              </w:rPr>
            </w:pPr>
            <w:r>
              <w:rPr>
                <w:rFonts w:hint="eastAsia"/>
                <w:szCs w:val="21"/>
              </w:rPr>
              <w:t>0</w:t>
            </w:r>
          </w:p>
        </w:tc>
        <w:tc>
          <w:tcPr>
            <w:tcW w:w="793" w:type="pct"/>
            <w:vAlign w:val="center"/>
          </w:tcPr>
          <w:p w14:paraId="43C7BF6D">
            <w:pPr>
              <w:snapToGrid w:val="0"/>
              <w:jc w:val="center"/>
              <w:rPr>
                <w:szCs w:val="21"/>
              </w:rPr>
            </w:pPr>
            <w:r>
              <w:rPr>
                <w:rFonts w:hint="eastAsia"/>
                <w:szCs w:val="21"/>
              </w:rPr>
              <w:t>依托现有</w:t>
            </w:r>
          </w:p>
        </w:tc>
      </w:tr>
    </w:tbl>
    <w:p w14:paraId="2CDA3C95">
      <w:pPr>
        <w:adjustRightInd w:val="0"/>
        <w:snapToGrid w:val="0"/>
        <w:spacing w:beforeLines="50"/>
        <w:ind w:firstLine="422" w:firstLineChars="200"/>
        <w:rPr>
          <w:b/>
          <w:bCs/>
          <w:szCs w:val="21"/>
        </w:rPr>
      </w:pPr>
      <w:bookmarkStart w:id="41" w:name="_Hlk108438868"/>
      <w:r>
        <w:rPr>
          <w:rFonts w:hint="eastAsia"/>
          <w:b/>
          <w:bCs/>
          <w:szCs w:val="21"/>
        </w:rPr>
        <w:t>备注：碱喷淋与二级活性炭吸附装置之间设有除雾装置。</w:t>
      </w:r>
    </w:p>
    <w:p w14:paraId="1BF0B336">
      <w:pPr>
        <w:adjustRightInd w:val="0"/>
        <w:snapToGrid w:val="0"/>
        <w:spacing w:beforeLines="50" w:line="360" w:lineRule="auto"/>
        <w:ind w:firstLine="422" w:firstLineChars="200"/>
        <w:rPr>
          <w:b/>
          <w:bCs/>
          <w:szCs w:val="21"/>
        </w:rPr>
      </w:pPr>
      <w:r>
        <w:rPr>
          <w:b/>
          <w:bCs/>
          <w:szCs w:val="21"/>
        </w:rPr>
        <w:t>5、原辅材料及相关理化性质</w:t>
      </w:r>
    </w:p>
    <w:p w14:paraId="1D1DEF4E">
      <w:pPr>
        <w:pStyle w:val="53"/>
        <w:adjustRightInd w:val="0"/>
        <w:snapToGrid w:val="0"/>
        <w:spacing w:beforeLines="0" w:afterLines="0" w:line="360" w:lineRule="auto"/>
        <w:ind w:firstLine="420" w:firstLineChars="200"/>
        <w:jc w:val="both"/>
        <w:rPr>
          <w:rFonts w:eastAsia="宋体"/>
          <w:sz w:val="21"/>
          <w:szCs w:val="21"/>
        </w:rPr>
      </w:pPr>
      <w:r>
        <w:rPr>
          <w:rFonts w:eastAsia="宋体"/>
          <w:b w:val="0"/>
          <w:bCs/>
          <w:sz w:val="21"/>
          <w:szCs w:val="21"/>
        </w:rPr>
        <w:t>建设项目主要原辅材料及用量见表2-4，主要原辅材料理化性质详见表2-5。</w:t>
      </w:r>
    </w:p>
    <w:p w14:paraId="6861B3F0">
      <w:pPr>
        <w:pStyle w:val="53"/>
        <w:spacing w:beforeLines="0" w:afterLines="0"/>
        <w:rPr>
          <w:rFonts w:eastAsia="宋体"/>
          <w:sz w:val="21"/>
          <w:szCs w:val="21"/>
        </w:rPr>
      </w:pPr>
    </w:p>
    <w:p w14:paraId="44F4BD8B">
      <w:pPr>
        <w:pStyle w:val="53"/>
        <w:spacing w:beforeLines="0" w:afterLines="0"/>
        <w:rPr>
          <w:rFonts w:eastAsia="宋体"/>
          <w:sz w:val="21"/>
          <w:szCs w:val="21"/>
        </w:rPr>
      </w:pPr>
    </w:p>
    <w:p w14:paraId="2FD79B8C">
      <w:pPr>
        <w:pStyle w:val="53"/>
        <w:spacing w:beforeLines="0" w:afterLines="0"/>
        <w:rPr>
          <w:rFonts w:eastAsia="宋体"/>
          <w:sz w:val="21"/>
          <w:szCs w:val="21"/>
        </w:rPr>
      </w:pPr>
    </w:p>
    <w:p w14:paraId="29E76B99">
      <w:pPr>
        <w:pStyle w:val="53"/>
        <w:spacing w:beforeLines="0" w:afterLines="0"/>
        <w:rPr>
          <w:rFonts w:eastAsia="宋体"/>
          <w:sz w:val="21"/>
          <w:szCs w:val="21"/>
        </w:rPr>
      </w:pPr>
    </w:p>
    <w:p w14:paraId="0C5D02D9">
      <w:pPr>
        <w:pStyle w:val="53"/>
        <w:spacing w:beforeLines="0" w:afterLines="0"/>
        <w:rPr>
          <w:rFonts w:eastAsia="宋体"/>
          <w:sz w:val="21"/>
          <w:szCs w:val="21"/>
        </w:rPr>
      </w:pPr>
    </w:p>
    <w:p w14:paraId="5D808487">
      <w:pPr>
        <w:pStyle w:val="53"/>
        <w:spacing w:beforeLines="0" w:afterLines="0"/>
        <w:rPr>
          <w:rFonts w:eastAsia="宋体"/>
          <w:sz w:val="21"/>
          <w:szCs w:val="21"/>
        </w:rPr>
      </w:pPr>
    </w:p>
    <w:p w14:paraId="3FFC72F1">
      <w:pPr>
        <w:pStyle w:val="53"/>
        <w:spacing w:beforeLines="0" w:afterLines="0"/>
        <w:rPr>
          <w:rFonts w:eastAsia="宋体"/>
          <w:sz w:val="21"/>
          <w:szCs w:val="21"/>
        </w:rPr>
      </w:pPr>
      <w:r>
        <w:rPr>
          <w:rFonts w:eastAsia="宋体"/>
          <w:sz w:val="21"/>
          <w:szCs w:val="21"/>
        </w:rPr>
        <w:t>表2-4  建设项目主要原辅材料表</w:t>
      </w:r>
    </w:p>
    <w:tbl>
      <w:tblPr>
        <w:tblStyle w:val="25"/>
        <w:tblW w:w="497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764"/>
        <w:gridCol w:w="3290"/>
        <w:gridCol w:w="1436"/>
        <w:gridCol w:w="1436"/>
        <w:gridCol w:w="1403"/>
        <w:gridCol w:w="2219"/>
        <w:gridCol w:w="1039"/>
      </w:tblGrid>
      <w:tr w14:paraId="77FAA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71" w:type="pct"/>
            <w:vMerge w:val="restart"/>
            <w:vAlign w:val="center"/>
          </w:tcPr>
          <w:p w14:paraId="2AA0407B">
            <w:pPr>
              <w:spacing w:line="320" w:lineRule="exact"/>
              <w:jc w:val="center"/>
              <w:rPr>
                <w:b/>
                <w:bCs/>
                <w:szCs w:val="21"/>
              </w:rPr>
            </w:pPr>
            <w:r>
              <w:rPr>
                <w:b/>
                <w:bCs/>
                <w:szCs w:val="21"/>
              </w:rPr>
              <w:t>类别</w:t>
            </w:r>
          </w:p>
        </w:tc>
        <w:tc>
          <w:tcPr>
            <w:tcW w:w="649" w:type="pct"/>
            <w:vMerge w:val="restart"/>
            <w:vAlign w:val="center"/>
          </w:tcPr>
          <w:p w14:paraId="3A61E5AD">
            <w:pPr>
              <w:spacing w:line="320" w:lineRule="exact"/>
              <w:jc w:val="center"/>
              <w:rPr>
                <w:b/>
                <w:bCs/>
                <w:szCs w:val="21"/>
              </w:rPr>
            </w:pPr>
            <w:r>
              <w:rPr>
                <w:b/>
                <w:bCs/>
                <w:szCs w:val="21"/>
              </w:rPr>
              <w:t>原辅料名称</w:t>
            </w:r>
          </w:p>
        </w:tc>
        <w:tc>
          <w:tcPr>
            <w:tcW w:w="1210" w:type="pct"/>
            <w:vMerge w:val="restart"/>
            <w:vAlign w:val="center"/>
          </w:tcPr>
          <w:p w14:paraId="7F97E91C">
            <w:pPr>
              <w:spacing w:line="320" w:lineRule="exact"/>
              <w:jc w:val="center"/>
              <w:rPr>
                <w:b/>
                <w:bCs/>
                <w:szCs w:val="21"/>
              </w:rPr>
            </w:pPr>
            <w:r>
              <w:rPr>
                <w:b/>
                <w:bCs/>
                <w:szCs w:val="21"/>
              </w:rPr>
              <w:t>重要组分规格及指标</w:t>
            </w:r>
          </w:p>
        </w:tc>
        <w:tc>
          <w:tcPr>
            <w:tcW w:w="1572" w:type="pct"/>
            <w:gridSpan w:val="3"/>
            <w:vAlign w:val="center"/>
          </w:tcPr>
          <w:p w14:paraId="4B571CC1">
            <w:pPr>
              <w:spacing w:line="320" w:lineRule="exact"/>
              <w:jc w:val="center"/>
              <w:rPr>
                <w:b/>
                <w:bCs/>
                <w:szCs w:val="21"/>
              </w:rPr>
            </w:pPr>
            <w:r>
              <w:rPr>
                <w:b/>
                <w:bCs/>
                <w:szCs w:val="21"/>
              </w:rPr>
              <w:t>年用量（t）</w:t>
            </w:r>
          </w:p>
        </w:tc>
        <w:tc>
          <w:tcPr>
            <w:tcW w:w="816" w:type="pct"/>
            <w:vMerge w:val="restart"/>
            <w:vAlign w:val="center"/>
          </w:tcPr>
          <w:p w14:paraId="70B55B6D">
            <w:pPr>
              <w:spacing w:line="320" w:lineRule="exact"/>
              <w:jc w:val="center"/>
              <w:rPr>
                <w:b/>
                <w:bCs/>
                <w:szCs w:val="21"/>
              </w:rPr>
            </w:pPr>
            <w:r>
              <w:rPr>
                <w:b/>
                <w:bCs/>
                <w:szCs w:val="21"/>
              </w:rPr>
              <w:t>最大存储量（t）及储存方式</w:t>
            </w:r>
          </w:p>
        </w:tc>
        <w:tc>
          <w:tcPr>
            <w:tcW w:w="382" w:type="pct"/>
            <w:vMerge w:val="restart"/>
            <w:vAlign w:val="center"/>
          </w:tcPr>
          <w:p w14:paraId="74599C62">
            <w:pPr>
              <w:spacing w:line="320" w:lineRule="exact"/>
              <w:jc w:val="center"/>
              <w:rPr>
                <w:b/>
                <w:bCs/>
                <w:szCs w:val="21"/>
              </w:rPr>
            </w:pPr>
            <w:r>
              <w:rPr>
                <w:b/>
                <w:bCs/>
                <w:szCs w:val="21"/>
              </w:rPr>
              <w:t>来源及运输</w:t>
            </w:r>
          </w:p>
        </w:tc>
      </w:tr>
      <w:tr w14:paraId="690AF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71" w:type="pct"/>
            <w:vMerge w:val="continue"/>
            <w:vAlign w:val="center"/>
          </w:tcPr>
          <w:p w14:paraId="44E6BA35">
            <w:pPr>
              <w:spacing w:line="320" w:lineRule="exact"/>
              <w:jc w:val="center"/>
              <w:rPr>
                <w:b/>
                <w:bCs/>
                <w:szCs w:val="21"/>
              </w:rPr>
            </w:pPr>
          </w:p>
        </w:tc>
        <w:tc>
          <w:tcPr>
            <w:tcW w:w="649" w:type="pct"/>
            <w:vMerge w:val="continue"/>
            <w:vAlign w:val="center"/>
          </w:tcPr>
          <w:p w14:paraId="6EC02925">
            <w:pPr>
              <w:spacing w:line="320" w:lineRule="exact"/>
              <w:jc w:val="center"/>
              <w:rPr>
                <w:b/>
                <w:bCs/>
                <w:szCs w:val="21"/>
              </w:rPr>
            </w:pPr>
          </w:p>
        </w:tc>
        <w:tc>
          <w:tcPr>
            <w:tcW w:w="1210" w:type="pct"/>
            <w:vMerge w:val="continue"/>
            <w:vAlign w:val="center"/>
          </w:tcPr>
          <w:p w14:paraId="019736F3">
            <w:pPr>
              <w:spacing w:line="320" w:lineRule="exact"/>
              <w:jc w:val="center"/>
              <w:rPr>
                <w:b/>
                <w:bCs/>
                <w:szCs w:val="21"/>
              </w:rPr>
            </w:pPr>
          </w:p>
        </w:tc>
        <w:tc>
          <w:tcPr>
            <w:tcW w:w="528" w:type="pct"/>
            <w:vAlign w:val="center"/>
          </w:tcPr>
          <w:p w14:paraId="53513980">
            <w:pPr>
              <w:spacing w:line="320" w:lineRule="exact"/>
              <w:jc w:val="center"/>
              <w:rPr>
                <w:b/>
                <w:bCs/>
                <w:szCs w:val="21"/>
              </w:rPr>
            </w:pPr>
            <w:r>
              <w:rPr>
                <w:b/>
                <w:bCs/>
                <w:szCs w:val="21"/>
              </w:rPr>
              <w:t>实际现有用量</w:t>
            </w:r>
          </w:p>
        </w:tc>
        <w:tc>
          <w:tcPr>
            <w:tcW w:w="528" w:type="pct"/>
            <w:vAlign w:val="center"/>
          </w:tcPr>
          <w:p w14:paraId="610EEDCA">
            <w:pPr>
              <w:spacing w:line="320" w:lineRule="exact"/>
              <w:jc w:val="center"/>
              <w:rPr>
                <w:b/>
                <w:bCs/>
                <w:szCs w:val="21"/>
              </w:rPr>
            </w:pPr>
            <w:r>
              <w:rPr>
                <w:b/>
                <w:bCs/>
                <w:szCs w:val="21"/>
              </w:rPr>
              <w:t>扩建后全厂</w:t>
            </w:r>
          </w:p>
        </w:tc>
        <w:tc>
          <w:tcPr>
            <w:tcW w:w="516" w:type="pct"/>
            <w:vAlign w:val="center"/>
          </w:tcPr>
          <w:p w14:paraId="2F9B215D">
            <w:pPr>
              <w:spacing w:line="320" w:lineRule="exact"/>
              <w:jc w:val="center"/>
              <w:rPr>
                <w:b/>
                <w:bCs/>
                <w:szCs w:val="21"/>
              </w:rPr>
            </w:pPr>
            <w:r>
              <w:rPr>
                <w:b/>
                <w:bCs/>
                <w:szCs w:val="21"/>
              </w:rPr>
              <w:t>变化量</w:t>
            </w:r>
          </w:p>
        </w:tc>
        <w:tc>
          <w:tcPr>
            <w:tcW w:w="816" w:type="pct"/>
            <w:vMerge w:val="continue"/>
            <w:vAlign w:val="center"/>
          </w:tcPr>
          <w:p w14:paraId="4538C432">
            <w:pPr>
              <w:spacing w:line="320" w:lineRule="exact"/>
              <w:jc w:val="center"/>
              <w:rPr>
                <w:szCs w:val="21"/>
              </w:rPr>
            </w:pPr>
          </w:p>
        </w:tc>
        <w:tc>
          <w:tcPr>
            <w:tcW w:w="382" w:type="pct"/>
            <w:vMerge w:val="continue"/>
            <w:vAlign w:val="center"/>
          </w:tcPr>
          <w:p w14:paraId="01D120B5">
            <w:pPr>
              <w:spacing w:line="320" w:lineRule="exact"/>
              <w:jc w:val="center"/>
              <w:rPr>
                <w:szCs w:val="21"/>
              </w:rPr>
            </w:pPr>
          </w:p>
        </w:tc>
      </w:tr>
      <w:tr w14:paraId="4BB226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vAlign w:val="center"/>
          </w:tcPr>
          <w:p w14:paraId="23747EDC">
            <w:pPr>
              <w:spacing w:line="320" w:lineRule="exact"/>
              <w:jc w:val="center"/>
              <w:rPr>
                <w:szCs w:val="21"/>
              </w:rPr>
            </w:pPr>
            <w:r>
              <w:rPr>
                <w:szCs w:val="21"/>
              </w:rPr>
              <w:t>O型圈、其他橡胶件、橡胶&amp;金属复合制品</w:t>
            </w:r>
          </w:p>
        </w:tc>
        <w:tc>
          <w:tcPr>
            <w:tcW w:w="649" w:type="pct"/>
            <w:vAlign w:val="center"/>
          </w:tcPr>
          <w:p w14:paraId="024EEBFC">
            <w:pPr>
              <w:widowControl/>
              <w:snapToGrid w:val="0"/>
              <w:jc w:val="center"/>
              <w:rPr>
                <w:szCs w:val="21"/>
              </w:rPr>
            </w:pPr>
            <w:r>
              <w:rPr>
                <w:szCs w:val="21"/>
              </w:rPr>
              <w:t>溴化丁基橡胶</w:t>
            </w:r>
          </w:p>
        </w:tc>
        <w:tc>
          <w:tcPr>
            <w:tcW w:w="1210" w:type="pct"/>
            <w:vAlign w:val="center"/>
          </w:tcPr>
          <w:p w14:paraId="68569395">
            <w:pPr>
              <w:widowControl/>
              <w:snapToGrid w:val="0"/>
              <w:jc w:val="center"/>
              <w:rPr>
                <w:kern w:val="0"/>
                <w:szCs w:val="21"/>
              </w:rPr>
            </w:pPr>
            <w:r>
              <w:rPr>
                <w:kern w:val="0"/>
                <w:szCs w:val="21"/>
              </w:rPr>
              <w:t>BIIR2030</w:t>
            </w:r>
          </w:p>
          <w:p w14:paraId="556F2E07">
            <w:pPr>
              <w:snapToGrid w:val="0"/>
              <w:jc w:val="center"/>
              <w:rPr>
                <w:szCs w:val="21"/>
              </w:rPr>
            </w:pPr>
            <w:r>
              <w:rPr>
                <w:kern w:val="0"/>
                <w:szCs w:val="21"/>
              </w:rPr>
              <w:t>溴含量1.8±0.2%</w:t>
            </w:r>
          </w:p>
        </w:tc>
        <w:tc>
          <w:tcPr>
            <w:tcW w:w="528" w:type="pct"/>
            <w:vAlign w:val="center"/>
          </w:tcPr>
          <w:p w14:paraId="56D61EDA">
            <w:pPr>
              <w:snapToGrid w:val="0"/>
              <w:jc w:val="center"/>
              <w:rPr>
                <w:szCs w:val="21"/>
              </w:rPr>
            </w:pPr>
            <w:r>
              <w:rPr>
                <w:szCs w:val="21"/>
              </w:rPr>
              <w:t>120</w:t>
            </w:r>
          </w:p>
        </w:tc>
        <w:tc>
          <w:tcPr>
            <w:tcW w:w="528" w:type="pct"/>
            <w:vAlign w:val="center"/>
          </w:tcPr>
          <w:p w14:paraId="126C0B39">
            <w:pPr>
              <w:snapToGrid w:val="0"/>
              <w:jc w:val="center"/>
              <w:rPr>
                <w:szCs w:val="21"/>
              </w:rPr>
            </w:pPr>
            <w:r>
              <w:rPr>
                <w:szCs w:val="21"/>
              </w:rPr>
              <w:t>120</w:t>
            </w:r>
          </w:p>
        </w:tc>
        <w:tc>
          <w:tcPr>
            <w:tcW w:w="516" w:type="pct"/>
            <w:vAlign w:val="center"/>
          </w:tcPr>
          <w:p w14:paraId="47DB6491">
            <w:pPr>
              <w:spacing w:line="320" w:lineRule="exact"/>
              <w:jc w:val="center"/>
              <w:rPr>
                <w:szCs w:val="21"/>
              </w:rPr>
            </w:pPr>
            <w:r>
              <w:rPr>
                <w:szCs w:val="21"/>
              </w:rPr>
              <w:t>0</w:t>
            </w:r>
          </w:p>
        </w:tc>
        <w:tc>
          <w:tcPr>
            <w:tcW w:w="816" w:type="pct"/>
            <w:vAlign w:val="center"/>
          </w:tcPr>
          <w:p w14:paraId="6511FD76">
            <w:pPr>
              <w:snapToGrid w:val="0"/>
              <w:jc w:val="center"/>
              <w:rPr>
                <w:szCs w:val="21"/>
              </w:rPr>
            </w:pPr>
            <w:r>
              <w:rPr>
                <w:szCs w:val="21"/>
              </w:rPr>
              <w:t>10，车间堆放</w:t>
            </w:r>
          </w:p>
        </w:tc>
        <w:tc>
          <w:tcPr>
            <w:tcW w:w="382" w:type="pct"/>
            <w:vAlign w:val="center"/>
          </w:tcPr>
          <w:p w14:paraId="43CC0BE5">
            <w:pPr>
              <w:snapToGrid w:val="0"/>
              <w:jc w:val="center"/>
              <w:rPr>
                <w:szCs w:val="21"/>
              </w:rPr>
            </w:pPr>
            <w:r>
              <w:rPr>
                <w:szCs w:val="21"/>
              </w:rPr>
              <w:t>国外汽车</w:t>
            </w:r>
          </w:p>
        </w:tc>
      </w:tr>
      <w:tr w14:paraId="493616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326B083A">
            <w:pPr>
              <w:spacing w:line="320" w:lineRule="exact"/>
              <w:jc w:val="center"/>
              <w:rPr>
                <w:szCs w:val="21"/>
              </w:rPr>
            </w:pPr>
          </w:p>
        </w:tc>
        <w:tc>
          <w:tcPr>
            <w:tcW w:w="649" w:type="pct"/>
            <w:vAlign w:val="center"/>
          </w:tcPr>
          <w:p w14:paraId="10D28D96">
            <w:pPr>
              <w:widowControl/>
              <w:snapToGrid w:val="0"/>
              <w:jc w:val="center"/>
              <w:rPr>
                <w:szCs w:val="21"/>
              </w:rPr>
            </w:pPr>
            <w:r>
              <w:rPr>
                <w:szCs w:val="21"/>
              </w:rPr>
              <w:t>氢化丁腈胶</w:t>
            </w:r>
          </w:p>
        </w:tc>
        <w:tc>
          <w:tcPr>
            <w:tcW w:w="1210" w:type="pct"/>
            <w:vAlign w:val="center"/>
          </w:tcPr>
          <w:p w14:paraId="45BEFA62">
            <w:pPr>
              <w:snapToGrid w:val="0"/>
              <w:jc w:val="center"/>
              <w:rPr>
                <w:szCs w:val="21"/>
              </w:rPr>
            </w:pPr>
            <w:r>
              <w:rPr>
                <w:kern w:val="0"/>
                <w:szCs w:val="21"/>
              </w:rPr>
              <w:t>ZP2010，丁二烯与丙烯腈的共聚物加氢处理后的高度饱和的弹性体，丙烯腈含量34.9-37.5%</w:t>
            </w:r>
          </w:p>
        </w:tc>
        <w:tc>
          <w:tcPr>
            <w:tcW w:w="528" w:type="pct"/>
            <w:vAlign w:val="center"/>
          </w:tcPr>
          <w:p w14:paraId="0A064C4E">
            <w:pPr>
              <w:snapToGrid w:val="0"/>
              <w:jc w:val="center"/>
              <w:rPr>
                <w:szCs w:val="21"/>
              </w:rPr>
            </w:pPr>
            <w:r>
              <w:rPr>
                <w:szCs w:val="21"/>
              </w:rPr>
              <w:t>120</w:t>
            </w:r>
          </w:p>
        </w:tc>
        <w:tc>
          <w:tcPr>
            <w:tcW w:w="528" w:type="pct"/>
            <w:vAlign w:val="center"/>
          </w:tcPr>
          <w:p w14:paraId="41A44874">
            <w:pPr>
              <w:snapToGrid w:val="0"/>
              <w:jc w:val="center"/>
              <w:rPr>
                <w:szCs w:val="21"/>
              </w:rPr>
            </w:pPr>
            <w:r>
              <w:rPr>
                <w:szCs w:val="21"/>
              </w:rPr>
              <w:t>120</w:t>
            </w:r>
          </w:p>
        </w:tc>
        <w:tc>
          <w:tcPr>
            <w:tcW w:w="516" w:type="pct"/>
            <w:vAlign w:val="center"/>
          </w:tcPr>
          <w:p w14:paraId="4C91150C">
            <w:pPr>
              <w:spacing w:line="320" w:lineRule="exact"/>
              <w:jc w:val="center"/>
              <w:rPr>
                <w:szCs w:val="21"/>
              </w:rPr>
            </w:pPr>
            <w:r>
              <w:rPr>
                <w:szCs w:val="21"/>
              </w:rPr>
              <w:t>0</w:t>
            </w:r>
          </w:p>
        </w:tc>
        <w:tc>
          <w:tcPr>
            <w:tcW w:w="816" w:type="pct"/>
            <w:vAlign w:val="center"/>
          </w:tcPr>
          <w:p w14:paraId="44DE6E87">
            <w:pPr>
              <w:snapToGrid w:val="0"/>
              <w:jc w:val="center"/>
              <w:rPr>
                <w:kern w:val="0"/>
                <w:szCs w:val="21"/>
              </w:rPr>
            </w:pPr>
            <w:r>
              <w:rPr>
                <w:szCs w:val="21"/>
              </w:rPr>
              <w:t>10，车间堆放</w:t>
            </w:r>
          </w:p>
        </w:tc>
        <w:tc>
          <w:tcPr>
            <w:tcW w:w="382" w:type="pct"/>
            <w:vAlign w:val="center"/>
          </w:tcPr>
          <w:p w14:paraId="13D291C6">
            <w:pPr>
              <w:snapToGrid w:val="0"/>
              <w:jc w:val="center"/>
              <w:rPr>
                <w:szCs w:val="21"/>
              </w:rPr>
            </w:pPr>
            <w:r>
              <w:rPr>
                <w:szCs w:val="21"/>
              </w:rPr>
              <w:t>国外汽车</w:t>
            </w:r>
          </w:p>
        </w:tc>
      </w:tr>
      <w:tr w14:paraId="5E1B9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CBA380A">
            <w:pPr>
              <w:spacing w:line="320" w:lineRule="exact"/>
              <w:jc w:val="center"/>
              <w:rPr>
                <w:szCs w:val="21"/>
              </w:rPr>
            </w:pPr>
          </w:p>
        </w:tc>
        <w:tc>
          <w:tcPr>
            <w:tcW w:w="649" w:type="pct"/>
            <w:vAlign w:val="center"/>
          </w:tcPr>
          <w:p w14:paraId="5FEFC677">
            <w:pPr>
              <w:widowControl/>
              <w:snapToGrid w:val="0"/>
              <w:jc w:val="center"/>
              <w:rPr>
                <w:szCs w:val="21"/>
              </w:rPr>
            </w:pPr>
            <w:r>
              <w:rPr>
                <w:szCs w:val="21"/>
              </w:rPr>
              <w:t>丁腈胶</w:t>
            </w:r>
          </w:p>
        </w:tc>
        <w:tc>
          <w:tcPr>
            <w:tcW w:w="1210" w:type="pct"/>
            <w:vAlign w:val="center"/>
          </w:tcPr>
          <w:p w14:paraId="01489544">
            <w:pPr>
              <w:snapToGrid w:val="0"/>
              <w:jc w:val="center"/>
              <w:rPr>
                <w:szCs w:val="21"/>
              </w:rPr>
            </w:pPr>
            <w:r>
              <w:rPr>
                <w:kern w:val="0"/>
                <w:szCs w:val="21"/>
              </w:rPr>
              <w:t>N1052，丁二烯与丙烯腈的共聚物，其中丙烯腈含量40.0-43.0%</w:t>
            </w:r>
          </w:p>
        </w:tc>
        <w:tc>
          <w:tcPr>
            <w:tcW w:w="528" w:type="pct"/>
            <w:vAlign w:val="center"/>
          </w:tcPr>
          <w:p w14:paraId="57300C9E">
            <w:pPr>
              <w:snapToGrid w:val="0"/>
              <w:jc w:val="center"/>
              <w:rPr>
                <w:szCs w:val="21"/>
              </w:rPr>
            </w:pPr>
            <w:r>
              <w:rPr>
                <w:szCs w:val="21"/>
              </w:rPr>
              <w:t>150</w:t>
            </w:r>
          </w:p>
        </w:tc>
        <w:tc>
          <w:tcPr>
            <w:tcW w:w="528" w:type="pct"/>
            <w:vAlign w:val="center"/>
          </w:tcPr>
          <w:p w14:paraId="58C07BAB">
            <w:pPr>
              <w:snapToGrid w:val="0"/>
              <w:jc w:val="center"/>
              <w:rPr>
                <w:szCs w:val="21"/>
              </w:rPr>
            </w:pPr>
            <w:r>
              <w:rPr>
                <w:szCs w:val="21"/>
              </w:rPr>
              <w:t>150</w:t>
            </w:r>
          </w:p>
        </w:tc>
        <w:tc>
          <w:tcPr>
            <w:tcW w:w="516" w:type="pct"/>
            <w:vAlign w:val="center"/>
          </w:tcPr>
          <w:p w14:paraId="6E8F2B85">
            <w:pPr>
              <w:spacing w:line="320" w:lineRule="exact"/>
              <w:jc w:val="center"/>
              <w:rPr>
                <w:szCs w:val="21"/>
              </w:rPr>
            </w:pPr>
            <w:r>
              <w:rPr>
                <w:szCs w:val="21"/>
              </w:rPr>
              <w:t>0</w:t>
            </w:r>
          </w:p>
        </w:tc>
        <w:tc>
          <w:tcPr>
            <w:tcW w:w="816" w:type="pct"/>
            <w:vAlign w:val="center"/>
          </w:tcPr>
          <w:p w14:paraId="638CC25E">
            <w:pPr>
              <w:snapToGrid w:val="0"/>
              <w:jc w:val="center"/>
              <w:rPr>
                <w:szCs w:val="21"/>
              </w:rPr>
            </w:pPr>
            <w:r>
              <w:rPr>
                <w:szCs w:val="21"/>
              </w:rPr>
              <w:t>5，车间堆放</w:t>
            </w:r>
          </w:p>
        </w:tc>
        <w:tc>
          <w:tcPr>
            <w:tcW w:w="382" w:type="pct"/>
            <w:vAlign w:val="center"/>
          </w:tcPr>
          <w:p w14:paraId="1EFC7785">
            <w:pPr>
              <w:snapToGrid w:val="0"/>
              <w:jc w:val="center"/>
              <w:rPr>
                <w:szCs w:val="21"/>
              </w:rPr>
            </w:pPr>
            <w:r>
              <w:rPr>
                <w:szCs w:val="21"/>
              </w:rPr>
              <w:t>国外汽车</w:t>
            </w:r>
          </w:p>
        </w:tc>
      </w:tr>
      <w:tr w14:paraId="62AD5D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70CD308">
            <w:pPr>
              <w:spacing w:line="320" w:lineRule="exact"/>
              <w:jc w:val="center"/>
              <w:rPr>
                <w:szCs w:val="21"/>
                <w:lang w:val="pt-BR"/>
              </w:rPr>
            </w:pPr>
          </w:p>
        </w:tc>
        <w:tc>
          <w:tcPr>
            <w:tcW w:w="649" w:type="pct"/>
            <w:vAlign w:val="center"/>
          </w:tcPr>
          <w:p w14:paraId="306DBF57">
            <w:pPr>
              <w:widowControl/>
              <w:snapToGrid w:val="0"/>
              <w:jc w:val="center"/>
              <w:rPr>
                <w:szCs w:val="21"/>
              </w:rPr>
            </w:pPr>
            <w:r>
              <w:rPr>
                <w:szCs w:val="21"/>
              </w:rPr>
              <w:t>氟橡胶</w:t>
            </w:r>
          </w:p>
        </w:tc>
        <w:tc>
          <w:tcPr>
            <w:tcW w:w="1210" w:type="pct"/>
            <w:vAlign w:val="center"/>
          </w:tcPr>
          <w:p w14:paraId="38C48D35">
            <w:pPr>
              <w:snapToGrid w:val="0"/>
              <w:jc w:val="center"/>
              <w:rPr>
                <w:szCs w:val="21"/>
              </w:rPr>
            </w:pPr>
            <w:r>
              <w:rPr>
                <w:kern w:val="0"/>
                <w:szCs w:val="21"/>
              </w:rPr>
              <w:t>四氟乙烯与丙烯的共聚物</w:t>
            </w:r>
          </w:p>
        </w:tc>
        <w:tc>
          <w:tcPr>
            <w:tcW w:w="528" w:type="pct"/>
            <w:vAlign w:val="center"/>
          </w:tcPr>
          <w:p w14:paraId="1DCBF068">
            <w:pPr>
              <w:snapToGrid w:val="0"/>
              <w:jc w:val="center"/>
              <w:rPr>
                <w:szCs w:val="21"/>
              </w:rPr>
            </w:pPr>
            <w:r>
              <w:rPr>
                <w:szCs w:val="21"/>
              </w:rPr>
              <w:t>80</w:t>
            </w:r>
          </w:p>
        </w:tc>
        <w:tc>
          <w:tcPr>
            <w:tcW w:w="528" w:type="pct"/>
            <w:vAlign w:val="center"/>
          </w:tcPr>
          <w:p w14:paraId="481A1FA5">
            <w:pPr>
              <w:snapToGrid w:val="0"/>
              <w:jc w:val="center"/>
              <w:rPr>
                <w:szCs w:val="21"/>
              </w:rPr>
            </w:pPr>
            <w:r>
              <w:rPr>
                <w:szCs w:val="21"/>
              </w:rPr>
              <w:t>80</w:t>
            </w:r>
          </w:p>
        </w:tc>
        <w:tc>
          <w:tcPr>
            <w:tcW w:w="516" w:type="pct"/>
            <w:vAlign w:val="center"/>
          </w:tcPr>
          <w:p w14:paraId="4CB04B3D">
            <w:pPr>
              <w:spacing w:line="320" w:lineRule="exact"/>
              <w:jc w:val="center"/>
              <w:rPr>
                <w:szCs w:val="21"/>
              </w:rPr>
            </w:pPr>
            <w:r>
              <w:rPr>
                <w:szCs w:val="21"/>
              </w:rPr>
              <w:t>0</w:t>
            </w:r>
          </w:p>
        </w:tc>
        <w:tc>
          <w:tcPr>
            <w:tcW w:w="816" w:type="pct"/>
            <w:vAlign w:val="center"/>
          </w:tcPr>
          <w:p w14:paraId="61D230F2">
            <w:pPr>
              <w:snapToGrid w:val="0"/>
              <w:jc w:val="center"/>
              <w:rPr>
                <w:szCs w:val="21"/>
              </w:rPr>
            </w:pPr>
            <w:r>
              <w:rPr>
                <w:szCs w:val="21"/>
              </w:rPr>
              <w:t>5，车间堆放</w:t>
            </w:r>
          </w:p>
        </w:tc>
        <w:tc>
          <w:tcPr>
            <w:tcW w:w="382" w:type="pct"/>
            <w:vAlign w:val="center"/>
          </w:tcPr>
          <w:p w14:paraId="2BB012E9">
            <w:pPr>
              <w:snapToGrid w:val="0"/>
              <w:jc w:val="center"/>
              <w:rPr>
                <w:szCs w:val="21"/>
              </w:rPr>
            </w:pPr>
            <w:r>
              <w:rPr>
                <w:szCs w:val="21"/>
              </w:rPr>
              <w:t>国外汽车</w:t>
            </w:r>
          </w:p>
        </w:tc>
      </w:tr>
      <w:tr w14:paraId="17378F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176D4D0">
            <w:pPr>
              <w:spacing w:line="320" w:lineRule="exact"/>
              <w:jc w:val="center"/>
              <w:rPr>
                <w:szCs w:val="21"/>
                <w:lang w:val="pt-BR"/>
              </w:rPr>
            </w:pPr>
          </w:p>
        </w:tc>
        <w:tc>
          <w:tcPr>
            <w:tcW w:w="649" w:type="pct"/>
            <w:vAlign w:val="center"/>
          </w:tcPr>
          <w:p w14:paraId="6AB202CC">
            <w:pPr>
              <w:widowControl/>
              <w:snapToGrid w:val="0"/>
              <w:jc w:val="center"/>
              <w:rPr>
                <w:szCs w:val="21"/>
              </w:rPr>
            </w:pPr>
            <w:r>
              <w:rPr>
                <w:szCs w:val="21"/>
              </w:rPr>
              <w:t>三元乙丙橡胶</w:t>
            </w:r>
          </w:p>
        </w:tc>
        <w:tc>
          <w:tcPr>
            <w:tcW w:w="1210" w:type="pct"/>
            <w:vAlign w:val="center"/>
          </w:tcPr>
          <w:p w14:paraId="035F3BC9">
            <w:pPr>
              <w:widowControl/>
              <w:snapToGrid w:val="0"/>
              <w:jc w:val="center"/>
              <w:rPr>
                <w:szCs w:val="21"/>
              </w:rPr>
            </w:pPr>
            <w:r>
              <w:rPr>
                <w:szCs w:val="21"/>
              </w:rPr>
              <w:t>K509×100，乙烯、丙烯和少量的非共轭二烯烃的共聚物，</w:t>
            </w:r>
          </w:p>
          <w:p w14:paraId="5F5D9E7B">
            <w:pPr>
              <w:snapToGrid w:val="0"/>
              <w:jc w:val="center"/>
              <w:rPr>
                <w:szCs w:val="21"/>
              </w:rPr>
            </w:pPr>
            <w:r>
              <w:rPr>
                <w:szCs w:val="21"/>
              </w:rPr>
              <w:t>乙烯含量56.0-62.0%</w:t>
            </w:r>
          </w:p>
        </w:tc>
        <w:tc>
          <w:tcPr>
            <w:tcW w:w="528" w:type="pct"/>
            <w:vAlign w:val="center"/>
          </w:tcPr>
          <w:p w14:paraId="740CAA94">
            <w:pPr>
              <w:snapToGrid w:val="0"/>
              <w:jc w:val="center"/>
              <w:rPr>
                <w:szCs w:val="21"/>
              </w:rPr>
            </w:pPr>
            <w:r>
              <w:rPr>
                <w:szCs w:val="21"/>
              </w:rPr>
              <w:t>480</w:t>
            </w:r>
          </w:p>
        </w:tc>
        <w:tc>
          <w:tcPr>
            <w:tcW w:w="528" w:type="pct"/>
            <w:vAlign w:val="center"/>
          </w:tcPr>
          <w:p w14:paraId="3C3C4906">
            <w:pPr>
              <w:snapToGrid w:val="0"/>
              <w:jc w:val="center"/>
              <w:rPr>
                <w:szCs w:val="21"/>
              </w:rPr>
            </w:pPr>
            <w:r>
              <w:rPr>
                <w:szCs w:val="21"/>
              </w:rPr>
              <w:t>480</w:t>
            </w:r>
          </w:p>
        </w:tc>
        <w:tc>
          <w:tcPr>
            <w:tcW w:w="516" w:type="pct"/>
            <w:vAlign w:val="center"/>
          </w:tcPr>
          <w:p w14:paraId="33D3261E">
            <w:pPr>
              <w:spacing w:line="320" w:lineRule="exact"/>
              <w:jc w:val="center"/>
              <w:rPr>
                <w:szCs w:val="21"/>
              </w:rPr>
            </w:pPr>
            <w:r>
              <w:rPr>
                <w:szCs w:val="21"/>
              </w:rPr>
              <w:t>0</w:t>
            </w:r>
          </w:p>
        </w:tc>
        <w:tc>
          <w:tcPr>
            <w:tcW w:w="816" w:type="pct"/>
            <w:vAlign w:val="center"/>
          </w:tcPr>
          <w:p w14:paraId="5979B76E">
            <w:pPr>
              <w:snapToGrid w:val="0"/>
              <w:jc w:val="center"/>
              <w:rPr>
                <w:szCs w:val="21"/>
              </w:rPr>
            </w:pPr>
            <w:r>
              <w:rPr>
                <w:szCs w:val="21"/>
              </w:rPr>
              <w:t>20，车间堆放</w:t>
            </w:r>
          </w:p>
        </w:tc>
        <w:tc>
          <w:tcPr>
            <w:tcW w:w="382" w:type="pct"/>
            <w:vAlign w:val="center"/>
          </w:tcPr>
          <w:p w14:paraId="6BF997E7">
            <w:pPr>
              <w:snapToGrid w:val="0"/>
              <w:jc w:val="center"/>
              <w:rPr>
                <w:szCs w:val="21"/>
              </w:rPr>
            </w:pPr>
            <w:r>
              <w:rPr>
                <w:szCs w:val="21"/>
              </w:rPr>
              <w:t>国外汽车</w:t>
            </w:r>
          </w:p>
        </w:tc>
      </w:tr>
      <w:tr w14:paraId="5BB74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EF9ACB3">
            <w:pPr>
              <w:spacing w:line="320" w:lineRule="exact"/>
              <w:jc w:val="center"/>
              <w:rPr>
                <w:szCs w:val="21"/>
                <w:lang w:val="pt-BR"/>
              </w:rPr>
            </w:pPr>
          </w:p>
        </w:tc>
        <w:tc>
          <w:tcPr>
            <w:tcW w:w="649" w:type="pct"/>
            <w:vAlign w:val="center"/>
          </w:tcPr>
          <w:p w14:paraId="156BD4DC">
            <w:pPr>
              <w:snapToGrid w:val="0"/>
              <w:jc w:val="center"/>
              <w:rPr>
                <w:szCs w:val="21"/>
              </w:rPr>
            </w:pPr>
            <w:r>
              <w:rPr>
                <w:szCs w:val="21"/>
              </w:rPr>
              <w:t>金属件</w:t>
            </w:r>
          </w:p>
        </w:tc>
        <w:tc>
          <w:tcPr>
            <w:tcW w:w="1210" w:type="pct"/>
            <w:vAlign w:val="center"/>
          </w:tcPr>
          <w:p w14:paraId="57E63C04">
            <w:pPr>
              <w:snapToGrid w:val="0"/>
              <w:jc w:val="center"/>
              <w:rPr>
                <w:szCs w:val="21"/>
              </w:rPr>
            </w:pPr>
            <w:r>
              <w:rPr>
                <w:kern w:val="0"/>
                <w:szCs w:val="21"/>
              </w:rPr>
              <w:t>Fe</w:t>
            </w:r>
          </w:p>
        </w:tc>
        <w:tc>
          <w:tcPr>
            <w:tcW w:w="528" w:type="pct"/>
            <w:vAlign w:val="center"/>
          </w:tcPr>
          <w:p w14:paraId="1934CE41">
            <w:pPr>
              <w:snapToGrid w:val="0"/>
              <w:jc w:val="center"/>
              <w:rPr>
                <w:szCs w:val="21"/>
              </w:rPr>
            </w:pPr>
            <w:r>
              <w:rPr>
                <w:szCs w:val="21"/>
              </w:rPr>
              <w:t>100</w:t>
            </w:r>
          </w:p>
        </w:tc>
        <w:tc>
          <w:tcPr>
            <w:tcW w:w="528" w:type="pct"/>
            <w:vAlign w:val="center"/>
          </w:tcPr>
          <w:p w14:paraId="33EA7F02">
            <w:pPr>
              <w:snapToGrid w:val="0"/>
              <w:jc w:val="center"/>
              <w:rPr>
                <w:szCs w:val="21"/>
              </w:rPr>
            </w:pPr>
            <w:r>
              <w:rPr>
                <w:szCs w:val="21"/>
              </w:rPr>
              <w:t>100</w:t>
            </w:r>
          </w:p>
        </w:tc>
        <w:tc>
          <w:tcPr>
            <w:tcW w:w="516" w:type="pct"/>
            <w:vAlign w:val="center"/>
          </w:tcPr>
          <w:p w14:paraId="0C194947">
            <w:pPr>
              <w:spacing w:line="320" w:lineRule="exact"/>
              <w:jc w:val="center"/>
              <w:rPr>
                <w:szCs w:val="21"/>
              </w:rPr>
            </w:pPr>
            <w:r>
              <w:rPr>
                <w:szCs w:val="21"/>
              </w:rPr>
              <w:t>0</w:t>
            </w:r>
          </w:p>
        </w:tc>
        <w:tc>
          <w:tcPr>
            <w:tcW w:w="816" w:type="pct"/>
            <w:vAlign w:val="center"/>
          </w:tcPr>
          <w:p w14:paraId="74B011BA">
            <w:pPr>
              <w:snapToGrid w:val="0"/>
              <w:jc w:val="center"/>
              <w:rPr>
                <w:szCs w:val="21"/>
              </w:rPr>
            </w:pPr>
            <w:r>
              <w:rPr>
                <w:szCs w:val="21"/>
              </w:rPr>
              <w:t>5，车间堆放</w:t>
            </w:r>
          </w:p>
        </w:tc>
        <w:tc>
          <w:tcPr>
            <w:tcW w:w="382" w:type="pct"/>
            <w:vAlign w:val="center"/>
          </w:tcPr>
          <w:p w14:paraId="21BCC76D">
            <w:pPr>
              <w:snapToGrid w:val="0"/>
              <w:jc w:val="center"/>
              <w:rPr>
                <w:szCs w:val="21"/>
              </w:rPr>
            </w:pPr>
            <w:r>
              <w:rPr>
                <w:szCs w:val="21"/>
              </w:rPr>
              <w:t>国内汽车</w:t>
            </w:r>
          </w:p>
        </w:tc>
      </w:tr>
      <w:tr w14:paraId="7C066F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0AD3D29B">
            <w:pPr>
              <w:spacing w:line="320" w:lineRule="exact"/>
              <w:jc w:val="center"/>
              <w:rPr>
                <w:szCs w:val="21"/>
                <w:lang w:val="pt-BR"/>
              </w:rPr>
            </w:pPr>
          </w:p>
        </w:tc>
        <w:tc>
          <w:tcPr>
            <w:tcW w:w="649" w:type="pct"/>
            <w:vAlign w:val="center"/>
          </w:tcPr>
          <w:p w14:paraId="477FAE61">
            <w:pPr>
              <w:snapToGrid w:val="0"/>
              <w:jc w:val="center"/>
              <w:rPr>
                <w:szCs w:val="21"/>
              </w:rPr>
            </w:pPr>
            <w:r>
              <w:rPr>
                <w:szCs w:val="21"/>
              </w:rPr>
              <w:t>四氟棒</w:t>
            </w:r>
          </w:p>
        </w:tc>
        <w:tc>
          <w:tcPr>
            <w:tcW w:w="1210" w:type="pct"/>
            <w:vAlign w:val="center"/>
          </w:tcPr>
          <w:p w14:paraId="26F75BF6">
            <w:pPr>
              <w:snapToGrid w:val="0"/>
              <w:jc w:val="center"/>
              <w:rPr>
                <w:szCs w:val="21"/>
              </w:rPr>
            </w:pPr>
            <w:r>
              <w:rPr>
                <w:szCs w:val="21"/>
              </w:rPr>
              <w:t>聚四氟乙烯</w:t>
            </w:r>
          </w:p>
        </w:tc>
        <w:tc>
          <w:tcPr>
            <w:tcW w:w="528" w:type="pct"/>
            <w:vAlign w:val="center"/>
          </w:tcPr>
          <w:p w14:paraId="3AE9DE50">
            <w:pPr>
              <w:snapToGrid w:val="0"/>
              <w:jc w:val="center"/>
              <w:rPr>
                <w:szCs w:val="21"/>
              </w:rPr>
            </w:pPr>
            <w:r>
              <w:rPr>
                <w:szCs w:val="21"/>
              </w:rPr>
              <w:t>8</w:t>
            </w:r>
          </w:p>
        </w:tc>
        <w:tc>
          <w:tcPr>
            <w:tcW w:w="528" w:type="pct"/>
            <w:vAlign w:val="center"/>
          </w:tcPr>
          <w:p w14:paraId="77530BEB">
            <w:pPr>
              <w:snapToGrid w:val="0"/>
              <w:jc w:val="center"/>
              <w:rPr>
                <w:szCs w:val="21"/>
              </w:rPr>
            </w:pPr>
            <w:r>
              <w:rPr>
                <w:szCs w:val="21"/>
              </w:rPr>
              <w:t>8</w:t>
            </w:r>
          </w:p>
        </w:tc>
        <w:tc>
          <w:tcPr>
            <w:tcW w:w="516" w:type="pct"/>
            <w:vAlign w:val="center"/>
          </w:tcPr>
          <w:p w14:paraId="443B23C3">
            <w:pPr>
              <w:spacing w:line="320" w:lineRule="exact"/>
              <w:jc w:val="center"/>
              <w:rPr>
                <w:szCs w:val="21"/>
              </w:rPr>
            </w:pPr>
            <w:r>
              <w:rPr>
                <w:szCs w:val="21"/>
              </w:rPr>
              <w:t>0</w:t>
            </w:r>
          </w:p>
        </w:tc>
        <w:tc>
          <w:tcPr>
            <w:tcW w:w="816" w:type="pct"/>
            <w:vAlign w:val="center"/>
          </w:tcPr>
          <w:p w14:paraId="58E0652B">
            <w:pPr>
              <w:snapToGrid w:val="0"/>
              <w:jc w:val="center"/>
              <w:rPr>
                <w:kern w:val="0"/>
                <w:szCs w:val="21"/>
              </w:rPr>
            </w:pPr>
            <w:r>
              <w:rPr>
                <w:szCs w:val="21"/>
              </w:rPr>
              <w:t>1，车间堆放</w:t>
            </w:r>
          </w:p>
        </w:tc>
        <w:tc>
          <w:tcPr>
            <w:tcW w:w="382" w:type="pct"/>
            <w:vAlign w:val="center"/>
          </w:tcPr>
          <w:p w14:paraId="4722230A">
            <w:pPr>
              <w:snapToGrid w:val="0"/>
              <w:jc w:val="center"/>
              <w:rPr>
                <w:szCs w:val="21"/>
              </w:rPr>
            </w:pPr>
            <w:r>
              <w:rPr>
                <w:szCs w:val="21"/>
              </w:rPr>
              <w:t>国内汽车</w:t>
            </w:r>
          </w:p>
        </w:tc>
      </w:tr>
      <w:tr w14:paraId="1F2B27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E35E5B4">
            <w:pPr>
              <w:spacing w:line="320" w:lineRule="exact"/>
              <w:jc w:val="center"/>
              <w:rPr>
                <w:szCs w:val="21"/>
                <w:lang w:val="pt-BR"/>
              </w:rPr>
            </w:pPr>
          </w:p>
        </w:tc>
        <w:tc>
          <w:tcPr>
            <w:tcW w:w="649" w:type="pct"/>
            <w:vAlign w:val="center"/>
          </w:tcPr>
          <w:p w14:paraId="19AE80F8">
            <w:pPr>
              <w:snapToGrid w:val="0"/>
              <w:jc w:val="center"/>
              <w:rPr>
                <w:szCs w:val="21"/>
              </w:rPr>
            </w:pPr>
            <w:r>
              <w:rPr>
                <w:szCs w:val="21"/>
              </w:rPr>
              <w:t>炭黑</w:t>
            </w:r>
          </w:p>
        </w:tc>
        <w:tc>
          <w:tcPr>
            <w:tcW w:w="1210" w:type="pct"/>
            <w:vAlign w:val="center"/>
          </w:tcPr>
          <w:p w14:paraId="32B68E68">
            <w:pPr>
              <w:snapToGrid w:val="0"/>
              <w:jc w:val="center"/>
              <w:rPr>
                <w:szCs w:val="21"/>
              </w:rPr>
            </w:pPr>
            <w:r>
              <w:rPr>
                <w:szCs w:val="21"/>
              </w:rPr>
              <w:t>N330</w:t>
            </w:r>
          </w:p>
          <w:p w14:paraId="5A7D9875">
            <w:pPr>
              <w:snapToGrid w:val="0"/>
              <w:jc w:val="center"/>
              <w:rPr>
                <w:szCs w:val="21"/>
              </w:rPr>
            </w:pPr>
            <w:r>
              <w:rPr>
                <w:szCs w:val="21"/>
              </w:rPr>
              <w:t>吸碘值77-87g/kg</w:t>
            </w:r>
          </w:p>
        </w:tc>
        <w:tc>
          <w:tcPr>
            <w:tcW w:w="528" w:type="pct"/>
            <w:vAlign w:val="center"/>
          </w:tcPr>
          <w:p w14:paraId="14957339">
            <w:pPr>
              <w:jc w:val="center"/>
              <w:rPr>
                <w:sz w:val="24"/>
              </w:rPr>
            </w:pPr>
            <w:r>
              <w:t>1010</w:t>
            </w:r>
          </w:p>
        </w:tc>
        <w:tc>
          <w:tcPr>
            <w:tcW w:w="528" w:type="pct"/>
            <w:vAlign w:val="center"/>
          </w:tcPr>
          <w:p w14:paraId="2CC9C868">
            <w:pPr>
              <w:jc w:val="center"/>
              <w:rPr>
                <w:sz w:val="24"/>
              </w:rPr>
            </w:pPr>
            <w:r>
              <w:t>1010</w:t>
            </w:r>
          </w:p>
        </w:tc>
        <w:tc>
          <w:tcPr>
            <w:tcW w:w="516" w:type="pct"/>
            <w:vAlign w:val="center"/>
          </w:tcPr>
          <w:p w14:paraId="44BBFE2A">
            <w:pPr>
              <w:spacing w:line="320" w:lineRule="exact"/>
              <w:jc w:val="center"/>
              <w:rPr>
                <w:szCs w:val="21"/>
              </w:rPr>
            </w:pPr>
            <w:r>
              <w:rPr>
                <w:szCs w:val="21"/>
              </w:rPr>
              <w:t>0</w:t>
            </w:r>
          </w:p>
        </w:tc>
        <w:tc>
          <w:tcPr>
            <w:tcW w:w="816" w:type="pct"/>
            <w:vAlign w:val="center"/>
          </w:tcPr>
          <w:p w14:paraId="54FA14ED">
            <w:pPr>
              <w:snapToGrid w:val="0"/>
              <w:jc w:val="center"/>
              <w:rPr>
                <w:kern w:val="0"/>
                <w:szCs w:val="21"/>
              </w:rPr>
            </w:pPr>
            <w:r>
              <w:rPr>
                <w:szCs w:val="21"/>
              </w:rPr>
              <w:t>20，桶装</w:t>
            </w:r>
          </w:p>
        </w:tc>
        <w:tc>
          <w:tcPr>
            <w:tcW w:w="382" w:type="pct"/>
            <w:vAlign w:val="center"/>
          </w:tcPr>
          <w:p w14:paraId="5113DC78">
            <w:pPr>
              <w:snapToGrid w:val="0"/>
              <w:jc w:val="center"/>
              <w:rPr>
                <w:szCs w:val="21"/>
              </w:rPr>
            </w:pPr>
            <w:r>
              <w:rPr>
                <w:szCs w:val="21"/>
              </w:rPr>
              <w:t>国内汽车</w:t>
            </w:r>
          </w:p>
        </w:tc>
      </w:tr>
      <w:tr w14:paraId="0911E5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6CBB30E7">
            <w:pPr>
              <w:spacing w:line="320" w:lineRule="exact"/>
              <w:jc w:val="center"/>
              <w:rPr>
                <w:szCs w:val="21"/>
                <w:lang w:val="pt-BR"/>
              </w:rPr>
            </w:pPr>
          </w:p>
        </w:tc>
        <w:tc>
          <w:tcPr>
            <w:tcW w:w="649" w:type="pct"/>
            <w:vAlign w:val="center"/>
          </w:tcPr>
          <w:p w14:paraId="7F742EAB">
            <w:pPr>
              <w:widowControl/>
              <w:snapToGrid w:val="0"/>
              <w:jc w:val="center"/>
              <w:rPr>
                <w:szCs w:val="21"/>
              </w:rPr>
            </w:pPr>
            <w:r>
              <w:rPr>
                <w:szCs w:val="21"/>
              </w:rPr>
              <w:t>硫化剂</w:t>
            </w:r>
          </w:p>
        </w:tc>
        <w:tc>
          <w:tcPr>
            <w:tcW w:w="1210" w:type="pct"/>
            <w:vAlign w:val="center"/>
          </w:tcPr>
          <w:p w14:paraId="006C71BD">
            <w:pPr>
              <w:snapToGrid w:val="0"/>
              <w:jc w:val="center"/>
              <w:rPr>
                <w:szCs w:val="21"/>
              </w:rPr>
            </w:pPr>
            <w:r>
              <w:rPr>
                <w:szCs w:val="21"/>
              </w:rPr>
              <w:t>过氧化二异丙苯</w:t>
            </w:r>
          </w:p>
        </w:tc>
        <w:tc>
          <w:tcPr>
            <w:tcW w:w="528" w:type="pct"/>
            <w:vAlign w:val="center"/>
          </w:tcPr>
          <w:p w14:paraId="1A7AF3C4">
            <w:pPr>
              <w:jc w:val="center"/>
              <w:rPr>
                <w:sz w:val="24"/>
              </w:rPr>
            </w:pPr>
            <w:r>
              <w:t>65</w:t>
            </w:r>
          </w:p>
        </w:tc>
        <w:tc>
          <w:tcPr>
            <w:tcW w:w="528" w:type="pct"/>
            <w:vAlign w:val="center"/>
          </w:tcPr>
          <w:p w14:paraId="38B03C85">
            <w:pPr>
              <w:jc w:val="center"/>
              <w:rPr>
                <w:sz w:val="24"/>
              </w:rPr>
            </w:pPr>
            <w:r>
              <w:t>65</w:t>
            </w:r>
          </w:p>
        </w:tc>
        <w:tc>
          <w:tcPr>
            <w:tcW w:w="516" w:type="pct"/>
            <w:vAlign w:val="center"/>
          </w:tcPr>
          <w:p w14:paraId="3C9A6150">
            <w:pPr>
              <w:spacing w:line="320" w:lineRule="exact"/>
              <w:jc w:val="center"/>
              <w:rPr>
                <w:szCs w:val="21"/>
              </w:rPr>
            </w:pPr>
            <w:r>
              <w:rPr>
                <w:szCs w:val="21"/>
              </w:rPr>
              <w:t>0</w:t>
            </w:r>
          </w:p>
        </w:tc>
        <w:tc>
          <w:tcPr>
            <w:tcW w:w="816" w:type="pct"/>
            <w:vAlign w:val="center"/>
          </w:tcPr>
          <w:p w14:paraId="168AE076">
            <w:pPr>
              <w:snapToGrid w:val="0"/>
              <w:jc w:val="center"/>
              <w:rPr>
                <w:kern w:val="0"/>
                <w:szCs w:val="21"/>
              </w:rPr>
            </w:pPr>
            <w:r>
              <w:rPr>
                <w:szCs w:val="21"/>
              </w:rPr>
              <w:t>2，桶装</w:t>
            </w:r>
          </w:p>
        </w:tc>
        <w:tc>
          <w:tcPr>
            <w:tcW w:w="382" w:type="pct"/>
            <w:vAlign w:val="center"/>
          </w:tcPr>
          <w:p w14:paraId="04EE9222">
            <w:pPr>
              <w:snapToGrid w:val="0"/>
              <w:jc w:val="center"/>
              <w:rPr>
                <w:szCs w:val="21"/>
              </w:rPr>
            </w:pPr>
            <w:r>
              <w:rPr>
                <w:szCs w:val="21"/>
              </w:rPr>
              <w:t>国内汽车</w:t>
            </w:r>
          </w:p>
        </w:tc>
      </w:tr>
      <w:tr w14:paraId="39EEF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7AE178C">
            <w:pPr>
              <w:spacing w:line="320" w:lineRule="exact"/>
              <w:jc w:val="center"/>
              <w:rPr>
                <w:szCs w:val="21"/>
                <w:lang w:val="pt-BR"/>
              </w:rPr>
            </w:pPr>
          </w:p>
        </w:tc>
        <w:tc>
          <w:tcPr>
            <w:tcW w:w="649" w:type="pct"/>
            <w:vAlign w:val="center"/>
          </w:tcPr>
          <w:p w14:paraId="07EAF440">
            <w:pPr>
              <w:widowControl/>
              <w:snapToGrid w:val="0"/>
              <w:jc w:val="center"/>
              <w:rPr>
                <w:szCs w:val="21"/>
              </w:rPr>
            </w:pPr>
            <w:r>
              <w:rPr>
                <w:szCs w:val="21"/>
              </w:rPr>
              <w:t>交联剂</w:t>
            </w:r>
          </w:p>
        </w:tc>
        <w:tc>
          <w:tcPr>
            <w:tcW w:w="1210" w:type="pct"/>
            <w:vAlign w:val="center"/>
          </w:tcPr>
          <w:p w14:paraId="5446F9A3">
            <w:pPr>
              <w:snapToGrid w:val="0"/>
              <w:jc w:val="center"/>
              <w:rPr>
                <w:szCs w:val="21"/>
              </w:rPr>
            </w:pPr>
            <w:r>
              <w:rPr>
                <w:szCs w:val="21"/>
              </w:rPr>
              <w:t>过氧化氢二叔丁基异丙基苯38-42%，石油加氢轻馏分0-3%、溶剂精制轻石蜡馏分0-2%、1,1-二甲基乙基甲基-1-1-[3-（1-甲基乙烯基）苯基]乙基过氧化&lt;2%，其余为碳酸钙</w:t>
            </w:r>
          </w:p>
        </w:tc>
        <w:tc>
          <w:tcPr>
            <w:tcW w:w="528" w:type="pct"/>
            <w:vAlign w:val="center"/>
          </w:tcPr>
          <w:p w14:paraId="6C529C71">
            <w:pPr>
              <w:jc w:val="center"/>
            </w:pPr>
            <w:r>
              <w:t>52</w:t>
            </w:r>
          </w:p>
        </w:tc>
        <w:tc>
          <w:tcPr>
            <w:tcW w:w="528" w:type="pct"/>
            <w:vAlign w:val="center"/>
          </w:tcPr>
          <w:p w14:paraId="11001A6C">
            <w:pPr>
              <w:jc w:val="center"/>
            </w:pPr>
            <w:r>
              <w:t>52</w:t>
            </w:r>
          </w:p>
        </w:tc>
        <w:tc>
          <w:tcPr>
            <w:tcW w:w="516" w:type="pct"/>
            <w:vAlign w:val="center"/>
          </w:tcPr>
          <w:p w14:paraId="75DC2B5E">
            <w:pPr>
              <w:spacing w:line="320" w:lineRule="exact"/>
              <w:jc w:val="center"/>
              <w:rPr>
                <w:szCs w:val="21"/>
              </w:rPr>
            </w:pPr>
            <w:r>
              <w:rPr>
                <w:szCs w:val="21"/>
              </w:rPr>
              <w:t>0</w:t>
            </w:r>
          </w:p>
        </w:tc>
        <w:tc>
          <w:tcPr>
            <w:tcW w:w="816" w:type="pct"/>
            <w:vAlign w:val="center"/>
          </w:tcPr>
          <w:p w14:paraId="37784E7E">
            <w:pPr>
              <w:snapToGrid w:val="0"/>
              <w:jc w:val="center"/>
              <w:rPr>
                <w:szCs w:val="21"/>
              </w:rPr>
            </w:pPr>
            <w:r>
              <w:rPr>
                <w:szCs w:val="21"/>
              </w:rPr>
              <w:t>2，袋装</w:t>
            </w:r>
          </w:p>
        </w:tc>
        <w:tc>
          <w:tcPr>
            <w:tcW w:w="382" w:type="pct"/>
            <w:vAlign w:val="center"/>
          </w:tcPr>
          <w:p w14:paraId="291B4123">
            <w:pPr>
              <w:snapToGrid w:val="0"/>
              <w:jc w:val="center"/>
              <w:rPr>
                <w:szCs w:val="21"/>
              </w:rPr>
            </w:pPr>
            <w:r>
              <w:rPr>
                <w:szCs w:val="21"/>
              </w:rPr>
              <w:t>国内汽车</w:t>
            </w:r>
          </w:p>
        </w:tc>
      </w:tr>
      <w:tr w14:paraId="296B4A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22C02DA">
            <w:pPr>
              <w:spacing w:line="320" w:lineRule="exact"/>
              <w:jc w:val="center"/>
              <w:rPr>
                <w:szCs w:val="21"/>
                <w:lang w:val="pt-BR"/>
              </w:rPr>
            </w:pPr>
          </w:p>
        </w:tc>
        <w:tc>
          <w:tcPr>
            <w:tcW w:w="649" w:type="pct"/>
            <w:vAlign w:val="center"/>
          </w:tcPr>
          <w:p w14:paraId="323EC6E9">
            <w:pPr>
              <w:widowControl/>
              <w:snapToGrid w:val="0"/>
              <w:jc w:val="center"/>
              <w:rPr>
                <w:szCs w:val="21"/>
              </w:rPr>
            </w:pPr>
            <w:r>
              <w:rPr>
                <w:szCs w:val="21"/>
              </w:rPr>
              <w:t>防老剂</w:t>
            </w:r>
          </w:p>
        </w:tc>
        <w:tc>
          <w:tcPr>
            <w:tcW w:w="1210" w:type="pct"/>
            <w:vAlign w:val="center"/>
          </w:tcPr>
          <w:p w14:paraId="2FDA9286">
            <w:pPr>
              <w:snapToGrid w:val="0"/>
              <w:jc w:val="center"/>
              <w:rPr>
                <w:szCs w:val="21"/>
              </w:rPr>
            </w:pPr>
            <w:r>
              <w:rPr>
                <w:szCs w:val="21"/>
              </w:rPr>
              <w:t>RD</w:t>
            </w:r>
          </w:p>
          <w:p w14:paraId="3B605F8C">
            <w:pPr>
              <w:snapToGrid w:val="0"/>
              <w:jc w:val="center"/>
              <w:rPr>
                <w:szCs w:val="21"/>
              </w:rPr>
            </w:pPr>
            <w:r>
              <w:rPr>
                <w:kern w:val="0"/>
              </w:rPr>
              <w:t>2,2,4-三甲基-1,2-二氢喹啉聚合体</w:t>
            </w:r>
          </w:p>
        </w:tc>
        <w:tc>
          <w:tcPr>
            <w:tcW w:w="528" w:type="pct"/>
            <w:vAlign w:val="center"/>
          </w:tcPr>
          <w:p w14:paraId="4D8B0C1D">
            <w:pPr>
              <w:jc w:val="center"/>
              <w:rPr>
                <w:sz w:val="24"/>
              </w:rPr>
            </w:pPr>
            <w:r>
              <w:t>112.436</w:t>
            </w:r>
          </w:p>
        </w:tc>
        <w:tc>
          <w:tcPr>
            <w:tcW w:w="528" w:type="pct"/>
            <w:vAlign w:val="center"/>
          </w:tcPr>
          <w:p w14:paraId="2C796DAA">
            <w:pPr>
              <w:jc w:val="center"/>
              <w:rPr>
                <w:sz w:val="24"/>
              </w:rPr>
            </w:pPr>
            <w:r>
              <w:t>112.436</w:t>
            </w:r>
          </w:p>
        </w:tc>
        <w:tc>
          <w:tcPr>
            <w:tcW w:w="516" w:type="pct"/>
            <w:vAlign w:val="center"/>
          </w:tcPr>
          <w:p w14:paraId="5B199606">
            <w:pPr>
              <w:spacing w:line="320" w:lineRule="exact"/>
              <w:jc w:val="center"/>
              <w:rPr>
                <w:szCs w:val="21"/>
              </w:rPr>
            </w:pPr>
            <w:r>
              <w:rPr>
                <w:szCs w:val="21"/>
              </w:rPr>
              <w:t>0</w:t>
            </w:r>
          </w:p>
        </w:tc>
        <w:tc>
          <w:tcPr>
            <w:tcW w:w="816" w:type="pct"/>
            <w:vAlign w:val="center"/>
          </w:tcPr>
          <w:p w14:paraId="75B196D6">
            <w:pPr>
              <w:snapToGrid w:val="0"/>
              <w:jc w:val="center"/>
              <w:rPr>
                <w:szCs w:val="21"/>
              </w:rPr>
            </w:pPr>
            <w:r>
              <w:rPr>
                <w:szCs w:val="21"/>
              </w:rPr>
              <w:t>2，袋装</w:t>
            </w:r>
          </w:p>
        </w:tc>
        <w:tc>
          <w:tcPr>
            <w:tcW w:w="382" w:type="pct"/>
            <w:vAlign w:val="center"/>
          </w:tcPr>
          <w:p w14:paraId="142020CD">
            <w:pPr>
              <w:snapToGrid w:val="0"/>
              <w:jc w:val="center"/>
              <w:rPr>
                <w:szCs w:val="21"/>
              </w:rPr>
            </w:pPr>
            <w:r>
              <w:rPr>
                <w:szCs w:val="21"/>
              </w:rPr>
              <w:t>国内汽车</w:t>
            </w:r>
          </w:p>
        </w:tc>
      </w:tr>
      <w:tr w14:paraId="7FBC9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F11CBA2">
            <w:pPr>
              <w:spacing w:line="320" w:lineRule="exact"/>
              <w:jc w:val="center"/>
              <w:rPr>
                <w:szCs w:val="21"/>
                <w:lang w:val="pt-BR"/>
              </w:rPr>
            </w:pPr>
          </w:p>
        </w:tc>
        <w:tc>
          <w:tcPr>
            <w:tcW w:w="649" w:type="pct"/>
            <w:vAlign w:val="center"/>
          </w:tcPr>
          <w:p w14:paraId="1D1C9682">
            <w:pPr>
              <w:snapToGrid w:val="0"/>
              <w:jc w:val="center"/>
              <w:rPr>
                <w:szCs w:val="21"/>
              </w:rPr>
            </w:pPr>
            <w:r>
              <w:rPr>
                <w:szCs w:val="21"/>
              </w:rPr>
              <w:t>氧化锌</w:t>
            </w:r>
          </w:p>
        </w:tc>
        <w:tc>
          <w:tcPr>
            <w:tcW w:w="1210" w:type="pct"/>
            <w:vAlign w:val="center"/>
          </w:tcPr>
          <w:p w14:paraId="413EBD78">
            <w:pPr>
              <w:snapToGrid w:val="0"/>
              <w:jc w:val="center"/>
              <w:rPr>
                <w:szCs w:val="21"/>
              </w:rPr>
            </w:pPr>
            <w:r>
              <w:rPr>
                <w:szCs w:val="21"/>
              </w:rPr>
              <w:t>ZnO</w:t>
            </w:r>
          </w:p>
          <w:p w14:paraId="0EE73B32">
            <w:pPr>
              <w:snapToGrid w:val="0"/>
              <w:jc w:val="center"/>
              <w:rPr>
                <w:szCs w:val="21"/>
              </w:rPr>
            </w:pPr>
            <w:r>
              <w:rPr>
                <w:szCs w:val="21"/>
              </w:rPr>
              <w:t>密度2.7±0.05g/cm</w:t>
            </w:r>
            <w:r>
              <w:rPr>
                <w:szCs w:val="21"/>
                <w:vertAlign w:val="superscript"/>
              </w:rPr>
              <w:t>3</w:t>
            </w:r>
          </w:p>
        </w:tc>
        <w:tc>
          <w:tcPr>
            <w:tcW w:w="528" w:type="pct"/>
            <w:vAlign w:val="center"/>
          </w:tcPr>
          <w:p w14:paraId="512E23A0">
            <w:pPr>
              <w:jc w:val="center"/>
              <w:rPr>
                <w:sz w:val="24"/>
              </w:rPr>
            </w:pPr>
            <w:r>
              <w:t>168.657</w:t>
            </w:r>
          </w:p>
        </w:tc>
        <w:tc>
          <w:tcPr>
            <w:tcW w:w="528" w:type="pct"/>
            <w:vAlign w:val="center"/>
          </w:tcPr>
          <w:p w14:paraId="6E947512">
            <w:pPr>
              <w:jc w:val="center"/>
              <w:rPr>
                <w:sz w:val="24"/>
              </w:rPr>
            </w:pPr>
            <w:r>
              <w:t>168.657</w:t>
            </w:r>
          </w:p>
        </w:tc>
        <w:tc>
          <w:tcPr>
            <w:tcW w:w="516" w:type="pct"/>
            <w:vAlign w:val="center"/>
          </w:tcPr>
          <w:p w14:paraId="474FD6D4">
            <w:pPr>
              <w:spacing w:line="320" w:lineRule="exact"/>
              <w:jc w:val="center"/>
              <w:rPr>
                <w:szCs w:val="21"/>
              </w:rPr>
            </w:pPr>
            <w:r>
              <w:rPr>
                <w:szCs w:val="21"/>
              </w:rPr>
              <w:t>0</w:t>
            </w:r>
          </w:p>
        </w:tc>
        <w:tc>
          <w:tcPr>
            <w:tcW w:w="816" w:type="pct"/>
            <w:vAlign w:val="center"/>
          </w:tcPr>
          <w:p w14:paraId="576FAD05">
            <w:pPr>
              <w:snapToGrid w:val="0"/>
              <w:jc w:val="center"/>
              <w:rPr>
                <w:szCs w:val="21"/>
              </w:rPr>
            </w:pPr>
            <w:r>
              <w:rPr>
                <w:szCs w:val="21"/>
              </w:rPr>
              <w:t>3，袋装</w:t>
            </w:r>
          </w:p>
        </w:tc>
        <w:tc>
          <w:tcPr>
            <w:tcW w:w="382" w:type="pct"/>
            <w:vAlign w:val="center"/>
          </w:tcPr>
          <w:p w14:paraId="42E72559">
            <w:pPr>
              <w:snapToGrid w:val="0"/>
              <w:jc w:val="center"/>
              <w:rPr>
                <w:szCs w:val="21"/>
              </w:rPr>
            </w:pPr>
            <w:r>
              <w:rPr>
                <w:szCs w:val="21"/>
              </w:rPr>
              <w:t>国内汽车</w:t>
            </w:r>
          </w:p>
        </w:tc>
      </w:tr>
      <w:tr w14:paraId="00EE7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35A33C1">
            <w:pPr>
              <w:spacing w:line="320" w:lineRule="exact"/>
              <w:jc w:val="center"/>
              <w:rPr>
                <w:szCs w:val="21"/>
                <w:lang w:val="pt-BR"/>
              </w:rPr>
            </w:pPr>
          </w:p>
        </w:tc>
        <w:tc>
          <w:tcPr>
            <w:tcW w:w="649" w:type="pct"/>
            <w:vAlign w:val="center"/>
          </w:tcPr>
          <w:p w14:paraId="20068D4C">
            <w:pPr>
              <w:widowControl/>
              <w:snapToGrid w:val="0"/>
              <w:jc w:val="center"/>
              <w:rPr>
                <w:szCs w:val="21"/>
              </w:rPr>
            </w:pPr>
            <w:r>
              <w:rPr>
                <w:szCs w:val="21"/>
              </w:rPr>
              <w:t>石蜡油</w:t>
            </w:r>
          </w:p>
        </w:tc>
        <w:tc>
          <w:tcPr>
            <w:tcW w:w="1210" w:type="pct"/>
            <w:vAlign w:val="center"/>
          </w:tcPr>
          <w:p w14:paraId="0F4B0AB5">
            <w:pPr>
              <w:snapToGrid w:val="0"/>
              <w:jc w:val="center"/>
              <w:rPr>
                <w:szCs w:val="21"/>
              </w:rPr>
            </w:pPr>
            <w:r>
              <w:rPr>
                <w:szCs w:val="21"/>
              </w:rPr>
              <w:t>300</w:t>
            </w:r>
            <w:r>
              <w:rPr>
                <w:rFonts w:hint="eastAsia"/>
                <w:szCs w:val="21"/>
              </w:rPr>
              <w:t>#</w:t>
            </w:r>
          </w:p>
          <w:p w14:paraId="4526CF52">
            <w:pPr>
              <w:snapToGrid w:val="0"/>
              <w:jc w:val="center"/>
              <w:rPr>
                <w:szCs w:val="21"/>
              </w:rPr>
            </w:pPr>
            <w:r>
              <w:rPr>
                <w:szCs w:val="21"/>
              </w:rPr>
              <w:t>运动粘度38-51mm</w:t>
            </w:r>
            <w:r>
              <w:rPr>
                <w:szCs w:val="21"/>
                <w:vertAlign w:val="superscript"/>
              </w:rPr>
              <w:t>2</w:t>
            </w:r>
            <w:r>
              <w:rPr>
                <w:szCs w:val="21"/>
              </w:rPr>
              <w:t>/s</w:t>
            </w:r>
          </w:p>
        </w:tc>
        <w:tc>
          <w:tcPr>
            <w:tcW w:w="528" w:type="pct"/>
            <w:vAlign w:val="center"/>
          </w:tcPr>
          <w:p w14:paraId="49EB3B59">
            <w:pPr>
              <w:jc w:val="center"/>
              <w:rPr>
                <w:sz w:val="24"/>
              </w:rPr>
            </w:pPr>
            <w:r>
              <w:t>112.436</w:t>
            </w:r>
          </w:p>
        </w:tc>
        <w:tc>
          <w:tcPr>
            <w:tcW w:w="528" w:type="pct"/>
            <w:vAlign w:val="center"/>
          </w:tcPr>
          <w:p w14:paraId="28175B73">
            <w:pPr>
              <w:jc w:val="center"/>
              <w:rPr>
                <w:sz w:val="24"/>
              </w:rPr>
            </w:pPr>
            <w:r>
              <w:t>112.436</w:t>
            </w:r>
          </w:p>
        </w:tc>
        <w:tc>
          <w:tcPr>
            <w:tcW w:w="516" w:type="pct"/>
            <w:vAlign w:val="center"/>
          </w:tcPr>
          <w:p w14:paraId="5441F8E6">
            <w:pPr>
              <w:spacing w:line="320" w:lineRule="exact"/>
              <w:jc w:val="center"/>
              <w:rPr>
                <w:szCs w:val="21"/>
              </w:rPr>
            </w:pPr>
            <w:r>
              <w:rPr>
                <w:szCs w:val="21"/>
              </w:rPr>
              <w:t>0</w:t>
            </w:r>
          </w:p>
        </w:tc>
        <w:tc>
          <w:tcPr>
            <w:tcW w:w="816" w:type="pct"/>
            <w:vAlign w:val="center"/>
          </w:tcPr>
          <w:p w14:paraId="68DD3770">
            <w:pPr>
              <w:snapToGrid w:val="0"/>
              <w:jc w:val="center"/>
              <w:rPr>
                <w:szCs w:val="21"/>
              </w:rPr>
            </w:pPr>
            <w:r>
              <w:rPr>
                <w:szCs w:val="21"/>
              </w:rPr>
              <w:t>2，桶装</w:t>
            </w:r>
          </w:p>
        </w:tc>
        <w:tc>
          <w:tcPr>
            <w:tcW w:w="382" w:type="pct"/>
            <w:vAlign w:val="center"/>
          </w:tcPr>
          <w:p w14:paraId="081D0BCE">
            <w:pPr>
              <w:snapToGrid w:val="0"/>
              <w:jc w:val="center"/>
              <w:rPr>
                <w:szCs w:val="21"/>
              </w:rPr>
            </w:pPr>
            <w:r>
              <w:rPr>
                <w:szCs w:val="21"/>
              </w:rPr>
              <w:t>国内汽车</w:t>
            </w:r>
          </w:p>
        </w:tc>
      </w:tr>
      <w:tr w14:paraId="164DF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35A01CD2">
            <w:pPr>
              <w:spacing w:line="320" w:lineRule="exact"/>
              <w:jc w:val="center"/>
              <w:rPr>
                <w:szCs w:val="21"/>
                <w:lang w:val="pt-BR"/>
              </w:rPr>
            </w:pPr>
          </w:p>
        </w:tc>
        <w:tc>
          <w:tcPr>
            <w:tcW w:w="649" w:type="pct"/>
            <w:vAlign w:val="center"/>
          </w:tcPr>
          <w:p w14:paraId="522B57D9">
            <w:pPr>
              <w:widowControl/>
              <w:snapToGrid w:val="0"/>
              <w:jc w:val="center"/>
              <w:rPr>
                <w:szCs w:val="21"/>
              </w:rPr>
            </w:pPr>
            <w:r>
              <w:rPr>
                <w:szCs w:val="21"/>
              </w:rPr>
              <w:t>抛丸铁砂</w:t>
            </w:r>
          </w:p>
        </w:tc>
        <w:tc>
          <w:tcPr>
            <w:tcW w:w="1210" w:type="pct"/>
            <w:vAlign w:val="center"/>
          </w:tcPr>
          <w:p w14:paraId="7C0E853E">
            <w:pPr>
              <w:snapToGrid w:val="0"/>
              <w:jc w:val="center"/>
              <w:rPr>
                <w:szCs w:val="21"/>
              </w:rPr>
            </w:pPr>
            <w:r>
              <w:rPr>
                <w:szCs w:val="21"/>
              </w:rPr>
              <w:t>--</w:t>
            </w:r>
          </w:p>
        </w:tc>
        <w:tc>
          <w:tcPr>
            <w:tcW w:w="528" w:type="pct"/>
            <w:vAlign w:val="center"/>
          </w:tcPr>
          <w:p w14:paraId="613BA2B6">
            <w:pPr>
              <w:snapToGrid w:val="0"/>
              <w:jc w:val="center"/>
              <w:rPr>
                <w:szCs w:val="21"/>
              </w:rPr>
            </w:pPr>
            <w:r>
              <w:rPr>
                <w:szCs w:val="21"/>
              </w:rPr>
              <w:t>2</w:t>
            </w:r>
          </w:p>
        </w:tc>
        <w:tc>
          <w:tcPr>
            <w:tcW w:w="528" w:type="pct"/>
            <w:vAlign w:val="center"/>
          </w:tcPr>
          <w:p w14:paraId="779A449E">
            <w:pPr>
              <w:snapToGrid w:val="0"/>
              <w:jc w:val="center"/>
              <w:rPr>
                <w:szCs w:val="21"/>
              </w:rPr>
            </w:pPr>
            <w:r>
              <w:rPr>
                <w:szCs w:val="21"/>
              </w:rPr>
              <w:t>2</w:t>
            </w:r>
          </w:p>
        </w:tc>
        <w:tc>
          <w:tcPr>
            <w:tcW w:w="516" w:type="pct"/>
            <w:vAlign w:val="center"/>
          </w:tcPr>
          <w:p w14:paraId="58D0CCA1">
            <w:pPr>
              <w:spacing w:line="320" w:lineRule="exact"/>
              <w:jc w:val="center"/>
              <w:rPr>
                <w:szCs w:val="21"/>
              </w:rPr>
            </w:pPr>
            <w:r>
              <w:rPr>
                <w:szCs w:val="21"/>
              </w:rPr>
              <w:t>0</w:t>
            </w:r>
          </w:p>
        </w:tc>
        <w:tc>
          <w:tcPr>
            <w:tcW w:w="816" w:type="pct"/>
            <w:vAlign w:val="center"/>
          </w:tcPr>
          <w:p w14:paraId="65F0DD13">
            <w:pPr>
              <w:snapToGrid w:val="0"/>
              <w:jc w:val="center"/>
              <w:rPr>
                <w:kern w:val="0"/>
                <w:szCs w:val="21"/>
              </w:rPr>
            </w:pPr>
            <w:r>
              <w:rPr>
                <w:szCs w:val="21"/>
              </w:rPr>
              <w:t>0.3，车间堆放</w:t>
            </w:r>
          </w:p>
        </w:tc>
        <w:tc>
          <w:tcPr>
            <w:tcW w:w="382" w:type="pct"/>
            <w:vAlign w:val="center"/>
          </w:tcPr>
          <w:p w14:paraId="127649CB">
            <w:pPr>
              <w:snapToGrid w:val="0"/>
              <w:jc w:val="center"/>
              <w:rPr>
                <w:szCs w:val="21"/>
              </w:rPr>
            </w:pPr>
            <w:r>
              <w:rPr>
                <w:szCs w:val="21"/>
              </w:rPr>
              <w:t>国内汽车</w:t>
            </w:r>
          </w:p>
        </w:tc>
      </w:tr>
      <w:tr w14:paraId="0AB89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A5821A5">
            <w:pPr>
              <w:spacing w:line="320" w:lineRule="exact"/>
              <w:jc w:val="center"/>
              <w:rPr>
                <w:szCs w:val="21"/>
                <w:lang w:val="pt-BR"/>
              </w:rPr>
            </w:pPr>
          </w:p>
        </w:tc>
        <w:tc>
          <w:tcPr>
            <w:tcW w:w="649" w:type="pct"/>
            <w:vAlign w:val="center"/>
          </w:tcPr>
          <w:p w14:paraId="75371168">
            <w:pPr>
              <w:widowControl/>
              <w:snapToGrid w:val="0"/>
              <w:jc w:val="center"/>
              <w:rPr>
                <w:szCs w:val="21"/>
              </w:rPr>
            </w:pPr>
            <w:r>
              <w:rPr>
                <w:szCs w:val="21"/>
              </w:rPr>
              <w:t>胶黏剂</w:t>
            </w:r>
          </w:p>
        </w:tc>
        <w:tc>
          <w:tcPr>
            <w:tcW w:w="1210" w:type="pct"/>
            <w:vAlign w:val="center"/>
          </w:tcPr>
          <w:p w14:paraId="54D7E2EE">
            <w:pPr>
              <w:snapToGrid w:val="0"/>
              <w:jc w:val="center"/>
              <w:rPr>
                <w:szCs w:val="21"/>
              </w:rPr>
            </w:pPr>
            <w:r>
              <w:rPr>
                <w:szCs w:val="21"/>
              </w:rPr>
              <w:t>开姆洛克6253：二甲苯40%、乙苯15%、氮取代芳香聚合物5%、锌化合物5%、酰亚胺3%、炭黑5%、丙烯腈/丁二烯共聚物27%</w:t>
            </w:r>
          </w:p>
        </w:tc>
        <w:tc>
          <w:tcPr>
            <w:tcW w:w="528" w:type="pct"/>
            <w:vAlign w:val="center"/>
          </w:tcPr>
          <w:p w14:paraId="5E576DA0">
            <w:pPr>
              <w:snapToGrid w:val="0"/>
              <w:jc w:val="center"/>
              <w:rPr>
                <w:szCs w:val="21"/>
              </w:rPr>
            </w:pPr>
            <w:r>
              <w:rPr>
                <w:szCs w:val="21"/>
              </w:rPr>
              <w:t>2</w:t>
            </w:r>
          </w:p>
        </w:tc>
        <w:tc>
          <w:tcPr>
            <w:tcW w:w="528" w:type="pct"/>
            <w:vAlign w:val="center"/>
          </w:tcPr>
          <w:p w14:paraId="36A826FB">
            <w:pPr>
              <w:snapToGrid w:val="0"/>
              <w:jc w:val="center"/>
              <w:rPr>
                <w:szCs w:val="21"/>
              </w:rPr>
            </w:pPr>
            <w:r>
              <w:rPr>
                <w:szCs w:val="21"/>
              </w:rPr>
              <w:t>2</w:t>
            </w:r>
          </w:p>
        </w:tc>
        <w:tc>
          <w:tcPr>
            <w:tcW w:w="516" w:type="pct"/>
            <w:vAlign w:val="center"/>
          </w:tcPr>
          <w:p w14:paraId="0A98A9F2">
            <w:pPr>
              <w:spacing w:line="320" w:lineRule="exact"/>
              <w:jc w:val="center"/>
              <w:rPr>
                <w:szCs w:val="21"/>
              </w:rPr>
            </w:pPr>
            <w:r>
              <w:rPr>
                <w:szCs w:val="21"/>
              </w:rPr>
              <w:t>0</w:t>
            </w:r>
          </w:p>
        </w:tc>
        <w:tc>
          <w:tcPr>
            <w:tcW w:w="816" w:type="pct"/>
            <w:vAlign w:val="center"/>
          </w:tcPr>
          <w:p w14:paraId="383030EA">
            <w:pPr>
              <w:snapToGrid w:val="0"/>
              <w:jc w:val="center"/>
              <w:rPr>
                <w:szCs w:val="21"/>
              </w:rPr>
            </w:pPr>
            <w:r>
              <w:rPr>
                <w:szCs w:val="21"/>
              </w:rPr>
              <w:t>0.2，桶装</w:t>
            </w:r>
          </w:p>
        </w:tc>
        <w:tc>
          <w:tcPr>
            <w:tcW w:w="382" w:type="pct"/>
            <w:vAlign w:val="center"/>
          </w:tcPr>
          <w:p w14:paraId="4D4368B4">
            <w:pPr>
              <w:snapToGrid w:val="0"/>
              <w:jc w:val="center"/>
              <w:rPr>
                <w:szCs w:val="21"/>
              </w:rPr>
            </w:pPr>
            <w:r>
              <w:rPr>
                <w:szCs w:val="21"/>
              </w:rPr>
              <w:t>国内汽车</w:t>
            </w:r>
          </w:p>
        </w:tc>
      </w:tr>
      <w:tr w14:paraId="68055F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0E6D9508">
            <w:pPr>
              <w:spacing w:line="320" w:lineRule="exact"/>
              <w:jc w:val="center"/>
              <w:rPr>
                <w:szCs w:val="21"/>
                <w:lang w:val="pt-BR"/>
              </w:rPr>
            </w:pPr>
          </w:p>
        </w:tc>
        <w:tc>
          <w:tcPr>
            <w:tcW w:w="649" w:type="pct"/>
            <w:vAlign w:val="center"/>
          </w:tcPr>
          <w:p w14:paraId="75C7583A">
            <w:pPr>
              <w:widowControl/>
              <w:snapToGrid w:val="0"/>
              <w:jc w:val="center"/>
              <w:rPr>
                <w:szCs w:val="21"/>
              </w:rPr>
            </w:pPr>
            <w:r>
              <w:rPr>
                <w:szCs w:val="21"/>
              </w:rPr>
              <w:t>脱脂剂</w:t>
            </w:r>
          </w:p>
        </w:tc>
        <w:tc>
          <w:tcPr>
            <w:tcW w:w="1210" w:type="pct"/>
            <w:vAlign w:val="center"/>
          </w:tcPr>
          <w:p w14:paraId="3665E524">
            <w:pPr>
              <w:snapToGrid w:val="0"/>
              <w:jc w:val="center"/>
              <w:rPr>
                <w:szCs w:val="21"/>
              </w:rPr>
            </w:pPr>
            <w:r>
              <w:rPr>
                <w:szCs w:val="21"/>
              </w:rPr>
              <w:t>碱类物质（碳酸钠）35%、氢氧化钠10%、硅酸盐（硅酸钠）30%、表面活性剂（烷基芳基聚醚醇）25%</w:t>
            </w:r>
          </w:p>
        </w:tc>
        <w:tc>
          <w:tcPr>
            <w:tcW w:w="528" w:type="pct"/>
            <w:vAlign w:val="center"/>
          </w:tcPr>
          <w:p w14:paraId="20B45059">
            <w:pPr>
              <w:snapToGrid w:val="0"/>
              <w:jc w:val="center"/>
              <w:rPr>
                <w:szCs w:val="21"/>
              </w:rPr>
            </w:pPr>
            <w:r>
              <w:rPr>
                <w:szCs w:val="21"/>
              </w:rPr>
              <w:t>1.5</w:t>
            </w:r>
          </w:p>
        </w:tc>
        <w:tc>
          <w:tcPr>
            <w:tcW w:w="528" w:type="pct"/>
            <w:vAlign w:val="center"/>
          </w:tcPr>
          <w:p w14:paraId="101D3999">
            <w:pPr>
              <w:snapToGrid w:val="0"/>
              <w:jc w:val="center"/>
              <w:rPr>
                <w:szCs w:val="21"/>
              </w:rPr>
            </w:pPr>
            <w:r>
              <w:rPr>
                <w:szCs w:val="21"/>
              </w:rPr>
              <w:t>1.5</w:t>
            </w:r>
          </w:p>
        </w:tc>
        <w:tc>
          <w:tcPr>
            <w:tcW w:w="516" w:type="pct"/>
            <w:vAlign w:val="center"/>
          </w:tcPr>
          <w:p w14:paraId="619B55F9">
            <w:pPr>
              <w:spacing w:line="320" w:lineRule="exact"/>
              <w:jc w:val="center"/>
              <w:rPr>
                <w:szCs w:val="21"/>
              </w:rPr>
            </w:pPr>
            <w:r>
              <w:rPr>
                <w:szCs w:val="21"/>
              </w:rPr>
              <w:t>0</w:t>
            </w:r>
          </w:p>
        </w:tc>
        <w:tc>
          <w:tcPr>
            <w:tcW w:w="816" w:type="pct"/>
            <w:vAlign w:val="center"/>
          </w:tcPr>
          <w:p w14:paraId="4DA582FD">
            <w:pPr>
              <w:snapToGrid w:val="0"/>
              <w:jc w:val="center"/>
              <w:rPr>
                <w:szCs w:val="21"/>
              </w:rPr>
            </w:pPr>
            <w:r>
              <w:rPr>
                <w:szCs w:val="21"/>
              </w:rPr>
              <w:t>0.2，桶装</w:t>
            </w:r>
          </w:p>
        </w:tc>
        <w:tc>
          <w:tcPr>
            <w:tcW w:w="382" w:type="pct"/>
            <w:vAlign w:val="center"/>
          </w:tcPr>
          <w:p w14:paraId="51D35703">
            <w:pPr>
              <w:snapToGrid w:val="0"/>
              <w:jc w:val="center"/>
              <w:rPr>
                <w:szCs w:val="21"/>
              </w:rPr>
            </w:pPr>
            <w:r>
              <w:rPr>
                <w:szCs w:val="21"/>
              </w:rPr>
              <w:t>国内汽车</w:t>
            </w:r>
          </w:p>
        </w:tc>
      </w:tr>
      <w:tr w14:paraId="184F9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ACA6434">
            <w:pPr>
              <w:spacing w:line="320" w:lineRule="exact"/>
              <w:jc w:val="center"/>
              <w:rPr>
                <w:szCs w:val="21"/>
                <w:lang w:val="pt-BR"/>
              </w:rPr>
            </w:pPr>
          </w:p>
        </w:tc>
        <w:tc>
          <w:tcPr>
            <w:tcW w:w="649" w:type="pct"/>
            <w:vAlign w:val="center"/>
          </w:tcPr>
          <w:p w14:paraId="0FB5D455">
            <w:pPr>
              <w:widowControl/>
              <w:snapToGrid w:val="0"/>
              <w:jc w:val="center"/>
              <w:rPr>
                <w:rFonts w:hint="default" w:eastAsia="宋体"/>
                <w:szCs w:val="21"/>
                <w:highlight w:val="black"/>
                <w:lang w:val="en-US" w:eastAsia="zh-CN"/>
              </w:rPr>
            </w:pPr>
            <w:r>
              <w:rPr>
                <w:rFonts w:hint="eastAsia"/>
                <w:szCs w:val="21"/>
                <w:highlight w:val="black"/>
                <w:lang w:val="en-US" w:eastAsia="zh-CN"/>
              </w:rPr>
              <w:t xml:space="preserve">      </w:t>
            </w:r>
          </w:p>
        </w:tc>
        <w:tc>
          <w:tcPr>
            <w:tcW w:w="1210" w:type="pct"/>
            <w:vAlign w:val="center"/>
          </w:tcPr>
          <w:p w14:paraId="3E9A49FE">
            <w:pPr>
              <w:snapToGrid w:val="0"/>
              <w:jc w:val="center"/>
              <w:rPr>
                <w:rFonts w:hint="default" w:eastAsia="宋体"/>
                <w:szCs w:val="21"/>
                <w:highlight w:val="black"/>
                <w:lang w:val="en-US" w:eastAsia="zh-CN"/>
              </w:rPr>
            </w:pPr>
            <w:r>
              <w:rPr>
                <w:rFonts w:hint="eastAsia"/>
                <w:szCs w:val="21"/>
                <w:highlight w:val="black"/>
                <w:lang w:val="en-US" w:eastAsia="zh-CN"/>
              </w:rPr>
              <w:t xml:space="preserve">         </w:t>
            </w:r>
          </w:p>
        </w:tc>
        <w:tc>
          <w:tcPr>
            <w:tcW w:w="528" w:type="pct"/>
            <w:vAlign w:val="center"/>
          </w:tcPr>
          <w:p w14:paraId="567C1AD4">
            <w:pPr>
              <w:snapToGrid w:val="0"/>
              <w:jc w:val="center"/>
              <w:rPr>
                <w:szCs w:val="21"/>
              </w:rPr>
            </w:pPr>
            <w:r>
              <w:rPr>
                <w:szCs w:val="21"/>
              </w:rPr>
              <w:t>2</w:t>
            </w:r>
          </w:p>
        </w:tc>
        <w:tc>
          <w:tcPr>
            <w:tcW w:w="528" w:type="pct"/>
            <w:vAlign w:val="center"/>
          </w:tcPr>
          <w:p w14:paraId="1357337A">
            <w:pPr>
              <w:snapToGrid w:val="0"/>
              <w:jc w:val="center"/>
              <w:rPr>
                <w:szCs w:val="21"/>
              </w:rPr>
            </w:pPr>
            <w:r>
              <w:rPr>
                <w:szCs w:val="21"/>
              </w:rPr>
              <w:t>2</w:t>
            </w:r>
          </w:p>
        </w:tc>
        <w:tc>
          <w:tcPr>
            <w:tcW w:w="516" w:type="pct"/>
            <w:vAlign w:val="center"/>
          </w:tcPr>
          <w:p w14:paraId="02F69DE7">
            <w:pPr>
              <w:spacing w:line="320" w:lineRule="exact"/>
              <w:jc w:val="center"/>
              <w:rPr>
                <w:szCs w:val="21"/>
              </w:rPr>
            </w:pPr>
            <w:r>
              <w:rPr>
                <w:szCs w:val="21"/>
              </w:rPr>
              <w:t>0</w:t>
            </w:r>
          </w:p>
        </w:tc>
        <w:tc>
          <w:tcPr>
            <w:tcW w:w="816" w:type="pct"/>
            <w:vAlign w:val="center"/>
          </w:tcPr>
          <w:p w14:paraId="0E823332">
            <w:pPr>
              <w:snapToGrid w:val="0"/>
              <w:jc w:val="center"/>
              <w:rPr>
                <w:szCs w:val="21"/>
              </w:rPr>
            </w:pPr>
            <w:r>
              <w:rPr>
                <w:szCs w:val="21"/>
              </w:rPr>
              <w:t>0.2，箱装</w:t>
            </w:r>
          </w:p>
        </w:tc>
        <w:tc>
          <w:tcPr>
            <w:tcW w:w="382" w:type="pct"/>
            <w:vAlign w:val="center"/>
          </w:tcPr>
          <w:p w14:paraId="4CD51F4E">
            <w:pPr>
              <w:snapToGrid w:val="0"/>
              <w:jc w:val="center"/>
              <w:rPr>
                <w:szCs w:val="21"/>
              </w:rPr>
            </w:pPr>
            <w:r>
              <w:rPr>
                <w:szCs w:val="21"/>
              </w:rPr>
              <w:t>国内汽车</w:t>
            </w:r>
          </w:p>
        </w:tc>
      </w:tr>
      <w:tr w14:paraId="3FEE8B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9D659D3">
            <w:pPr>
              <w:spacing w:line="320" w:lineRule="exact"/>
              <w:jc w:val="center"/>
              <w:rPr>
                <w:szCs w:val="21"/>
                <w:lang w:val="pt-BR"/>
              </w:rPr>
            </w:pPr>
          </w:p>
        </w:tc>
        <w:tc>
          <w:tcPr>
            <w:tcW w:w="649" w:type="pct"/>
            <w:vAlign w:val="center"/>
          </w:tcPr>
          <w:p w14:paraId="65E8CAAA">
            <w:pPr>
              <w:widowControl/>
              <w:snapToGrid w:val="0"/>
              <w:ind w:firstLine="420" w:firstLineChars="200"/>
              <w:jc w:val="both"/>
              <w:rPr>
                <w:rFonts w:hint="default" w:eastAsia="宋体"/>
                <w:szCs w:val="21"/>
                <w:highlight w:val="black"/>
                <w:lang w:val="en-US" w:eastAsia="zh-CN"/>
              </w:rPr>
            </w:pPr>
            <w:r>
              <w:rPr>
                <w:rFonts w:hint="eastAsia"/>
                <w:szCs w:val="21"/>
                <w:highlight w:val="black"/>
                <w:lang w:val="en-US" w:eastAsia="zh-CN"/>
              </w:rPr>
              <w:t xml:space="preserve"> 你      </w:t>
            </w:r>
          </w:p>
        </w:tc>
        <w:tc>
          <w:tcPr>
            <w:tcW w:w="1210" w:type="pct"/>
            <w:vAlign w:val="center"/>
          </w:tcPr>
          <w:p w14:paraId="0FF925FF">
            <w:pPr>
              <w:snapToGrid w:val="0"/>
              <w:jc w:val="both"/>
              <w:rPr>
                <w:rFonts w:hint="default" w:eastAsia="宋体"/>
                <w:szCs w:val="21"/>
                <w:highlight w:val="black"/>
                <w:lang w:val="en-US" w:eastAsia="zh-CN"/>
              </w:rPr>
            </w:pPr>
            <w:r>
              <w:rPr>
                <w:rFonts w:hint="eastAsia"/>
                <w:szCs w:val="21"/>
                <w:highlight w:val="black"/>
                <w:lang w:val="en-US" w:eastAsia="zh-CN"/>
              </w:rPr>
              <w:t xml:space="preserve">                            </w:t>
            </w:r>
          </w:p>
        </w:tc>
        <w:tc>
          <w:tcPr>
            <w:tcW w:w="528" w:type="pct"/>
            <w:vAlign w:val="center"/>
          </w:tcPr>
          <w:p w14:paraId="650AC4B1">
            <w:pPr>
              <w:snapToGrid w:val="0"/>
              <w:jc w:val="center"/>
              <w:rPr>
                <w:szCs w:val="21"/>
              </w:rPr>
            </w:pPr>
            <w:r>
              <w:rPr>
                <w:szCs w:val="21"/>
              </w:rPr>
              <w:t>4</w:t>
            </w:r>
          </w:p>
        </w:tc>
        <w:tc>
          <w:tcPr>
            <w:tcW w:w="528" w:type="pct"/>
            <w:vAlign w:val="center"/>
          </w:tcPr>
          <w:p w14:paraId="55894A5A">
            <w:pPr>
              <w:snapToGrid w:val="0"/>
              <w:jc w:val="center"/>
              <w:rPr>
                <w:szCs w:val="21"/>
              </w:rPr>
            </w:pPr>
            <w:r>
              <w:rPr>
                <w:szCs w:val="21"/>
              </w:rPr>
              <w:t>4</w:t>
            </w:r>
          </w:p>
        </w:tc>
        <w:tc>
          <w:tcPr>
            <w:tcW w:w="516" w:type="pct"/>
            <w:vAlign w:val="center"/>
          </w:tcPr>
          <w:p w14:paraId="28FAACEF">
            <w:pPr>
              <w:spacing w:line="320" w:lineRule="exact"/>
              <w:jc w:val="center"/>
              <w:rPr>
                <w:szCs w:val="21"/>
              </w:rPr>
            </w:pPr>
            <w:r>
              <w:rPr>
                <w:szCs w:val="21"/>
              </w:rPr>
              <w:t>0</w:t>
            </w:r>
          </w:p>
        </w:tc>
        <w:tc>
          <w:tcPr>
            <w:tcW w:w="816" w:type="pct"/>
            <w:vAlign w:val="center"/>
          </w:tcPr>
          <w:p w14:paraId="1C5FEC86">
            <w:pPr>
              <w:snapToGrid w:val="0"/>
              <w:jc w:val="center"/>
              <w:rPr>
                <w:szCs w:val="21"/>
              </w:rPr>
            </w:pPr>
            <w:r>
              <w:rPr>
                <w:szCs w:val="21"/>
              </w:rPr>
              <w:t>0.3，桶装</w:t>
            </w:r>
          </w:p>
        </w:tc>
        <w:tc>
          <w:tcPr>
            <w:tcW w:w="382" w:type="pct"/>
            <w:vAlign w:val="center"/>
          </w:tcPr>
          <w:p w14:paraId="2C87F4DE">
            <w:pPr>
              <w:snapToGrid w:val="0"/>
              <w:jc w:val="center"/>
              <w:rPr>
                <w:szCs w:val="21"/>
              </w:rPr>
            </w:pPr>
            <w:r>
              <w:rPr>
                <w:szCs w:val="21"/>
              </w:rPr>
              <w:t>国内汽车</w:t>
            </w:r>
          </w:p>
        </w:tc>
      </w:tr>
      <w:tr w14:paraId="6B884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866C517">
            <w:pPr>
              <w:spacing w:line="320" w:lineRule="exact"/>
              <w:jc w:val="center"/>
              <w:rPr>
                <w:szCs w:val="21"/>
                <w:lang w:val="pt-BR"/>
              </w:rPr>
            </w:pPr>
          </w:p>
        </w:tc>
        <w:tc>
          <w:tcPr>
            <w:tcW w:w="649" w:type="pct"/>
            <w:vAlign w:val="center"/>
          </w:tcPr>
          <w:p w14:paraId="3D16BC08">
            <w:pPr>
              <w:widowControl/>
              <w:snapToGrid w:val="0"/>
              <w:jc w:val="center"/>
              <w:rPr>
                <w:szCs w:val="21"/>
              </w:rPr>
            </w:pPr>
            <w:r>
              <w:rPr>
                <w:szCs w:val="21"/>
              </w:rPr>
              <w:t>电泳涂料</w:t>
            </w:r>
          </w:p>
        </w:tc>
        <w:tc>
          <w:tcPr>
            <w:tcW w:w="1210" w:type="pct"/>
            <w:vAlign w:val="center"/>
          </w:tcPr>
          <w:p w14:paraId="4BF4EF42">
            <w:pPr>
              <w:snapToGrid w:val="0"/>
              <w:jc w:val="center"/>
              <w:rPr>
                <w:szCs w:val="21"/>
              </w:rPr>
            </w:pPr>
            <w:r>
              <w:rPr>
                <w:szCs w:val="21"/>
              </w:rPr>
              <w:t>环氧树脂50%，聚氨酯树脂1%，丙烯酸酯树脂0.2%，高岭土11%，炭黑1%，丁基氧化锡1%，异丙醇15%，丙二醇单乙醚3%、乙二醇单丁醚2%、水15.8%</w:t>
            </w:r>
          </w:p>
        </w:tc>
        <w:tc>
          <w:tcPr>
            <w:tcW w:w="528" w:type="pct"/>
            <w:vAlign w:val="center"/>
          </w:tcPr>
          <w:p w14:paraId="38D1F68E">
            <w:pPr>
              <w:snapToGrid w:val="0"/>
              <w:jc w:val="center"/>
              <w:rPr>
                <w:szCs w:val="21"/>
              </w:rPr>
            </w:pPr>
            <w:r>
              <w:rPr>
                <w:szCs w:val="21"/>
              </w:rPr>
              <w:t>15</w:t>
            </w:r>
          </w:p>
        </w:tc>
        <w:tc>
          <w:tcPr>
            <w:tcW w:w="528" w:type="pct"/>
            <w:vAlign w:val="center"/>
          </w:tcPr>
          <w:p w14:paraId="466F41B1">
            <w:pPr>
              <w:snapToGrid w:val="0"/>
              <w:jc w:val="center"/>
              <w:rPr>
                <w:szCs w:val="21"/>
              </w:rPr>
            </w:pPr>
            <w:r>
              <w:rPr>
                <w:szCs w:val="21"/>
              </w:rPr>
              <w:t>15</w:t>
            </w:r>
          </w:p>
        </w:tc>
        <w:tc>
          <w:tcPr>
            <w:tcW w:w="516" w:type="pct"/>
            <w:vAlign w:val="center"/>
          </w:tcPr>
          <w:p w14:paraId="65BE84C0">
            <w:pPr>
              <w:spacing w:line="320" w:lineRule="exact"/>
              <w:jc w:val="center"/>
              <w:rPr>
                <w:szCs w:val="21"/>
              </w:rPr>
            </w:pPr>
            <w:r>
              <w:rPr>
                <w:szCs w:val="21"/>
              </w:rPr>
              <w:t>0</w:t>
            </w:r>
          </w:p>
        </w:tc>
        <w:tc>
          <w:tcPr>
            <w:tcW w:w="816" w:type="pct"/>
            <w:vAlign w:val="center"/>
          </w:tcPr>
          <w:p w14:paraId="25328B6E">
            <w:pPr>
              <w:snapToGrid w:val="0"/>
              <w:jc w:val="center"/>
              <w:rPr>
                <w:szCs w:val="21"/>
              </w:rPr>
            </w:pPr>
            <w:r>
              <w:rPr>
                <w:szCs w:val="21"/>
              </w:rPr>
              <w:t>1，桶装</w:t>
            </w:r>
          </w:p>
        </w:tc>
        <w:tc>
          <w:tcPr>
            <w:tcW w:w="382" w:type="pct"/>
            <w:vAlign w:val="center"/>
          </w:tcPr>
          <w:p w14:paraId="6350852A">
            <w:pPr>
              <w:snapToGrid w:val="0"/>
              <w:jc w:val="center"/>
              <w:rPr>
                <w:szCs w:val="21"/>
              </w:rPr>
            </w:pPr>
            <w:r>
              <w:rPr>
                <w:szCs w:val="21"/>
              </w:rPr>
              <w:t>国内汽车</w:t>
            </w:r>
          </w:p>
        </w:tc>
      </w:tr>
      <w:tr w14:paraId="79C5C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vAlign w:val="center"/>
          </w:tcPr>
          <w:p w14:paraId="462CD5AF">
            <w:pPr>
              <w:spacing w:line="320" w:lineRule="exact"/>
              <w:jc w:val="center"/>
              <w:rPr>
                <w:szCs w:val="21"/>
              </w:rPr>
            </w:pPr>
            <w:r>
              <w:rPr>
                <w:szCs w:val="21"/>
              </w:rPr>
              <w:t>新能源汽车橡胶配套功能件</w:t>
            </w:r>
          </w:p>
        </w:tc>
        <w:tc>
          <w:tcPr>
            <w:tcW w:w="649" w:type="pct"/>
            <w:vAlign w:val="center"/>
          </w:tcPr>
          <w:p w14:paraId="79A7430B">
            <w:pPr>
              <w:widowControl/>
              <w:snapToGrid w:val="0"/>
              <w:jc w:val="center"/>
              <w:rPr>
                <w:szCs w:val="21"/>
              </w:rPr>
            </w:pPr>
            <w:r>
              <w:rPr>
                <w:szCs w:val="21"/>
              </w:rPr>
              <w:t>氢化丁腈橡胶</w:t>
            </w:r>
          </w:p>
        </w:tc>
        <w:tc>
          <w:tcPr>
            <w:tcW w:w="1210" w:type="pct"/>
            <w:vAlign w:val="center"/>
          </w:tcPr>
          <w:p w14:paraId="337623E7">
            <w:pPr>
              <w:snapToGrid w:val="0"/>
              <w:jc w:val="center"/>
              <w:rPr>
                <w:szCs w:val="21"/>
              </w:rPr>
            </w:pPr>
            <w:r>
              <w:rPr>
                <w:kern w:val="0"/>
                <w:szCs w:val="21"/>
              </w:rPr>
              <w:t>ZP2010，丁二烯与丙烯腈的共聚物加氢处理后的高度饱和的弹性体，丙烯腈含量34.9-37.5%</w:t>
            </w:r>
          </w:p>
        </w:tc>
        <w:tc>
          <w:tcPr>
            <w:tcW w:w="528" w:type="pct"/>
            <w:vAlign w:val="center"/>
          </w:tcPr>
          <w:p w14:paraId="311D8F34">
            <w:pPr>
              <w:snapToGrid w:val="0"/>
              <w:jc w:val="center"/>
              <w:rPr>
                <w:szCs w:val="21"/>
              </w:rPr>
            </w:pPr>
            <w:r>
              <w:rPr>
                <w:szCs w:val="21"/>
              </w:rPr>
              <w:t>0</w:t>
            </w:r>
          </w:p>
        </w:tc>
        <w:tc>
          <w:tcPr>
            <w:tcW w:w="528" w:type="pct"/>
            <w:vAlign w:val="center"/>
          </w:tcPr>
          <w:p w14:paraId="60BDDB78">
            <w:pPr>
              <w:snapToGrid w:val="0"/>
              <w:jc w:val="center"/>
              <w:rPr>
                <w:szCs w:val="21"/>
              </w:rPr>
            </w:pPr>
            <w:r>
              <w:rPr>
                <w:szCs w:val="21"/>
              </w:rPr>
              <w:t>220</w:t>
            </w:r>
          </w:p>
        </w:tc>
        <w:tc>
          <w:tcPr>
            <w:tcW w:w="516" w:type="pct"/>
            <w:vAlign w:val="center"/>
          </w:tcPr>
          <w:p w14:paraId="70295AD7">
            <w:pPr>
              <w:spacing w:line="320" w:lineRule="exact"/>
              <w:jc w:val="center"/>
              <w:rPr>
                <w:szCs w:val="21"/>
              </w:rPr>
            </w:pPr>
            <w:r>
              <w:rPr>
                <w:szCs w:val="21"/>
              </w:rPr>
              <w:t>+220</w:t>
            </w:r>
          </w:p>
        </w:tc>
        <w:tc>
          <w:tcPr>
            <w:tcW w:w="816" w:type="pct"/>
            <w:vAlign w:val="center"/>
          </w:tcPr>
          <w:p w14:paraId="016945DD">
            <w:pPr>
              <w:snapToGrid w:val="0"/>
              <w:jc w:val="center"/>
              <w:rPr>
                <w:szCs w:val="21"/>
              </w:rPr>
            </w:pPr>
            <w:r>
              <w:rPr>
                <w:szCs w:val="21"/>
              </w:rPr>
              <w:t>10，车间堆放</w:t>
            </w:r>
          </w:p>
        </w:tc>
        <w:tc>
          <w:tcPr>
            <w:tcW w:w="382" w:type="pct"/>
            <w:vAlign w:val="center"/>
          </w:tcPr>
          <w:p w14:paraId="279FB1D6">
            <w:pPr>
              <w:snapToGrid w:val="0"/>
              <w:jc w:val="center"/>
              <w:rPr>
                <w:szCs w:val="21"/>
              </w:rPr>
            </w:pPr>
            <w:r>
              <w:rPr>
                <w:szCs w:val="21"/>
              </w:rPr>
              <w:t>国内汽车</w:t>
            </w:r>
          </w:p>
        </w:tc>
      </w:tr>
      <w:tr w14:paraId="31875B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027B25C7">
            <w:pPr>
              <w:spacing w:line="320" w:lineRule="exact"/>
              <w:jc w:val="center"/>
              <w:rPr>
                <w:szCs w:val="21"/>
                <w:lang w:val="pt-BR"/>
              </w:rPr>
            </w:pPr>
          </w:p>
        </w:tc>
        <w:tc>
          <w:tcPr>
            <w:tcW w:w="649" w:type="pct"/>
            <w:vAlign w:val="center"/>
          </w:tcPr>
          <w:p w14:paraId="510B2AD8">
            <w:pPr>
              <w:widowControl/>
              <w:snapToGrid w:val="0"/>
              <w:jc w:val="center"/>
              <w:rPr>
                <w:szCs w:val="21"/>
              </w:rPr>
            </w:pPr>
            <w:r>
              <w:rPr>
                <w:szCs w:val="21"/>
              </w:rPr>
              <w:t>三元乙丙橡胶</w:t>
            </w:r>
          </w:p>
        </w:tc>
        <w:tc>
          <w:tcPr>
            <w:tcW w:w="1210" w:type="pct"/>
            <w:vAlign w:val="center"/>
          </w:tcPr>
          <w:p w14:paraId="031431C7">
            <w:pPr>
              <w:widowControl/>
              <w:snapToGrid w:val="0"/>
              <w:jc w:val="center"/>
              <w:rPr>
                <w:szCs w:val="21"/>
              </w:rPr>
            </w:pPr>
            <w:r>
              <w:rPr>
                <w:szCs w:val="21"/>
              </w:rPr>
              <w:t>K509×100，乙烯、丙烯和少量的非共轭二烯烃的共聚物，</w:t>
            </w:r>
          </w:p>
          <w:p w14:paraId="5C105863">
            <w:pPr>
              <w:snapToGrid w:val="0"/>
              <w:jc w:val="center"/>
              <w:rPr>
                <w:szCs w:val="21"/>
              </w:rPr>
            </w:pPr>
            <w:r>
              <w:rPr>
                <w:szCs w:val="21"/>
              </w:rPr>
              <w:t>乙烯含量56.0-62.0%</w:t>
            </w:r>
          </w:p>
        </w:tc>
        <w:tc>
          <w:tcPr>
            <w:tcW w:w="528" w:type="pct"/>
            <w:vAlign w:val="center"/>
          </w:tcPr>
          <w:p w14:paraId="5B582004">
            <w:pPr>
              <w:snapToGrid w:val="0"/>
              <w:jc w:val="center"/>
              <w:rPr>
                <w:szCs w:val="21"/>
              </w:rPr>
            </w:pPr>
            <w:r>
              <w:rPr>
                <w:szCs w:val="21"/>
              </w:rPr>
              <w:t>0</w:t>
            </w:r>
          </w:p>
        </w:tc>
        <w:tc>
          <w:tcPr>
            <w:tcW w:w="528" w:type="pct"/>
            <w:vAlign w:val="center"/>
          </w:tcPr>
          <w:p w14:paraId="63821FE1">
            <w:pPr>
              <w:snapToGrid w:val="0"/>
              <w:jc w:val="center"/>
              <w:rPr>
                <w:szCs w:val="21"/>
              </w:rPr>
            </w:pPr>
            <w:r>
              <w:rPr>
                <w:szCs w:val="21"/>
              </w:rPr>
              <w:t>130</w:t>
            </w:r>
          </w:p>
        </w:tc>
        <w:tc>
          <w:tcPr>
            <w:tcW w:w="516" w:type="pct"/>
            <w:vAlign w:val="center"/>
          </w:tcPr>
          <w:p w14:paraId="2F3E09EF">
            <w:pPr>
              <w:spacing w:line="320" w:lineRule="exact"/>
              <w:jc w:val="center"/>
              <w:rPr>
                <w:szCs w:val="21"/>
              </w:rPr>
            </w:pPr>
            <w:r>
              <w:rPr>
                <w:szCs w:val="21"/>
              </w:rPr>
              <w:t>+130</w:t>
            </w:r>
          </w:p>
        </w:tc>
        <w:tc>
          <w:tcPr>
            <w:tcW w:w="816" w:type="pct"/>
            <w:vAlign w:val="center"/>
          </w:tcPr>
          <w:p w14:paraId="6D7D2427">
            <w:pPr>
              <w:snapToGrid w:val="0"/>
              <w:jc w:val="center"/>
              <w:rPr>
                <w:szCs w:val="21"/>
              </w:rPr>
            </w:pPr>
            <w:r>
              <w:rPr>
                <w:szCs w:val="21"/>
              </w:rPr>
              <w:t>20，车间堆放</w:t>
            </w:r>
          </w:p>
        </w:tc>
        <w:tc>
          <w:tcPr>
            <w:tcW w:w="382" w:type="pct"/>
            <w:vAlign w:val="center"/>
          </w:tcPr>
          <w:p w14:paraId="37087837">
            <w:pPr>
              <w:snapToGrid w:val="0"/>
              <w:jc w:val="center"/>
              <w:rPr>
                <w:szCs w:val="21"/>
              </w:rPr>
            </w:pPr>
            <w:r>
              <w:rPr>
                <w:szCs w:val="21"/>
              </w:rPr>
              <w:t>国内汽车</w:t>
            </w:r>
          </w:p>
        </w:tc>
      </w:tr>
      <w:tr w14:paraId="15046A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04CA54E9">
            <w:pPr>
              <w:spacing w:line="320" w:lineRule="exact"/>
              <w:jc w:val="center"/>
              <w:rPr>
                <w:szCs w:val="21"/>
                <w:lang w:val="pt-BR"/>
              </w:rPr>
            </w:pPr>
          </w:p>
        </w:tc>
        <w:tc>
          <w:tcPr>
            <w:tcW w:w="649" w:type="pct"/>
            <w:vAlign w:val="center"/>
          </w:tcPr>
          <w:p w14:paraId="060FFA11">
            <w:pPr>
              <w:widowControl/>
              <w:snapToGrid w:val="0"/>
              <w:jc w:val="center"/>
              <w:rPr>
                <w:szCs w:val="21"/>
              </w:rPr>
            </w:pPr>
            <w:r>
              <w:rPr>
                <w:szCs w:val="21"/>
              </w:rPr>
              <w:t>丁腈橡胶</w:t>
            </w:r>
          </w:p>
        </w:tc>
        <w:tc>
          <w:tcPr>
            <w:tcW w:w="1210" w:type="pct"/>
            <w:vAlign w:val="center"/>
          </w:tcPr>
          <w:p w14:paraId="21C74732">
            <w:pPr>
              <w:snapToGrid w:val="0"/>
              <w:jc w:val="center"/>
              <w:rPr>
                <w:szCs w:val="21"/>
              </w:rPr>
            </w:pPr>
            <w:r>
              <w:rPr>
                <w:kern w:val="0"/>
                <w:szCs w:val="21"/>
              </w:rPr>
              <w:t>N1052，丁二烯与丙烯腈的共聚物，其中丙烯腈含量40.0-43.0%</w:t>
            </w:r>
          </w:p>
        </w:tc>
        <w:tc>
          <w:tcPr>
            <w:tcW w:w="528" w:type="pct"/>
            <w:vAlign w:val="center"/>
          </w:tcPr>
          <w:p w14:paraId="08BB1E06">
            <w:pPr>
              <w:snapToGrid w:val="0"/>
              <w:jc w:val="center"/>
              <w:rPr>
                <w:szCs w:val="21"/>
              </w:rPr>
            </w:pPr>
            <w:r>
              <w:rPr>
                <w:szCs w:val="21"/>
              </w:rPr>
              <w:t>0</w:t>
            </w:r>
          </w:p>
        </w:tc>
        <w:tc>
          <w:tcPr>
            <w:tcW w:w="528" w:type="pct"/>
            <w:vAlign w:val="center"/>
          </w:tcPr>
          <w:p w14:paraId="7B96CCE2">
            <w:pPr>
              <w:snapToGrid w:val="0"/>
              <w:jc w:val="center"/>
              <w:rPr>
                <w:szCs w:val="21"/>
              </w:rPr>
            </w:pPr>
            <w:r>
              <w:rPr>
                <w:szCs w:val="21"/>
              </w:rPr>
              <w:t>50</w:t>
            </w:r>
          </w:p>
        </w:tc>
        <w:tc>
          <w:tcPr>
            <w:tcW w:w="516" w:type="pct"/>
            <w:vAlign w:val="center"/>
          </w:tcPr>
          <w:p w14:paraId="72D6E1F9">
            <w:pPr>
              <w:snapToGrid w:val="0"/>
              <w:jc w:val="center"/>
              <w:rPr>
                <w:szCs w:val="21"/>
              </w:rPr>
            </w:pPr>
            <w:r>
              <w:rPr>
                <w:szCs w:val="21"/>
              </w:rPr>
              <w:t>+50</w:t>
            </w:r>
          </w:p>
        </w:tc>
        <w:tc>
          <w:tcPr>
            <w:tcW w:w="816" w:type="pct"/>
            <w:vAlign w:val="center"/>
          </w:tcPr>
          <w:p w14:paraId="0340CEEE">
            <w:pPr>
              <w:snapToGrid w:val="0"/>
              <w:jc w:val="center"/>
              <w:rPr>
                <w:szCs w:val="21"/>
              </w:rPr>
            </w:pPr>
            <w:r>
              <w:rPr>
                <w:szCs w:val="21"/>
              </w:rPr>
              <w:t>5，车间堆放</w:t>
            </w:r>
          </w:p>
        </w:tc>
        <w:tc>
          <w:tcPr>
            <w:tcW w:w="382" w:type="pct"/>
            <w:vAlign w:val="center"/>
          </w:tcPr>
          <w:p w14:paraId="428BB4E9">
            <w:pPr>
              <w:snapToGrid w:val="0"/>
              <w:jc w:val="center"/>
              <w:rPr>
                <w:szCs w:val="21"/>
              </w:rPr>
            </w:pPr>
            <w:r>
              <w:rPr>
                <w:szCs w:val="21"/>
              </w:rPr>
              <w:t>国内汽车</w:t>
            </w:r>
          </w:p>
        </w:tc>
      </w:tr>
      <w:tr w14:paraId="5E8244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44317B42">
            <w:pPr>
              <w:spacing w:line="320" w:lineRule="exact"/>
              <w:jc w:val="center"/>
              <w:rPr>
                <w:szCs w:val="21"/>
                <w:lang w:val="pt-BR"/>
              </w:rPr>
            </w:pPr>
          </w:p>
        </w:tc>
        <w:tc>
          <w:tcPr>
            <w:tcW w:w="649" w:type="pct"/>
            <w:vAlign w:val="center"/>
          </w:tcPr>
          <w:p w14:paraId="35B2C50A">
            <w:pPr>
              <w:widowControl/>
              <w:snapToGrid w:val="0"/>
              <w:jc w:val="center"/>
              <w:rPr>
                <w:szCs w:val="21"/>
              </w:rPr>
            </w:pPr>
            <w:bookmarkStart w:id="42" w:name="OLE_LINK90"/>
            <w:bookmarkStart w:id="43" w:name="OLE_LINK89"/>
            <w:r>
              <w:rPr>
                <w:szCs w:val="21"/>
              </w:rPr>
              <w:t>丙烯酸酯橡胶</w:t>
            </w:r>
            <w:bookmarkEnd w:id="42"/>
            <w:bookmarkEnd w:id="43"/>
          </w:p>
        </w:tc>
        <w:tc>
          <w:tcPr>
            <w:tcW w:w="1210" w:type="pct"/>
            <w:vAlign w:val="center"/>
          </w:tcPr>
          <w:p w14:paraId="58B74485">
            <w:pPr>
              <w:snapToGrid w:val="0"/>
              <w:jc w:val="center"/>
              <w:rPr>
                <w:szCs w:val="21"/>
              </w:rPr>
            </w:pPr>
            <w:r>
              <w:rPr>
                <w:szCs w:val="21"/>
              </w:rPr>
              <w:t>丙烯酸酯橡胶50-90%、炭黑10-45%、助剂2-5%</w:t>
            </w:r>
          </w:p>
        </w:tc>
        <w:tc>
          <w:tcPr>
            <w:tcW w:w="528" w:type="pct"/>
            <w:vAlign w:val="center"/>
          </w:tcPr>
          <w:p w14:paraId="35D60C78">
            <w:pPr>
              <w:snapToGrid w:val="0"/>
              <w:jc w:val="center"/>
              <w:rPr>
                <w:szCs w:val="21"/>
              </w:rPr>
            </w:pPr>
            <w:r>
              <w:rPr>
                <w:szCs w:val="21"/>
              </w:rPr>
              <w:t>0</w:t>
            </w:r>
          </w:p>
        </w:tc>
        <w:tc>
          <w:tcPr>
            <w:tcW w:w="528" w:type="pct"/>
            <w:vAlign w:val="center"/>
          </w:tcPr>
          <w:p w14:paraId="5EAFA61D">
            <w:pPr>
              <w:snapToGrid w:val="0"/>
              <w:jc w:val="center"/>
              <w:rPr>
                <w:szCs w:val="21"/>
              </w:rPr>
            </w:pPr>
            <w:r>
              <w:rPr>
                <w:szCs w:val="21"/>
              </w:rPr>
              <w:t>25</w:t>
            </w:r>
          </w:p>
        </w:tc>
        <w:tc>
          <w:tcPr>
            <w:tcW w:w="516" w:type="pct"/>
            <w:vAlign w:val="center"/>
          </w:tcPr>
          <w:p w14:paraId="35066BE8">
            <w:pPr>
              <w:snapToGrid w:val="0"/>
              <w:jc w:val="center"/>
              <w:rPr>
                <w:szCs w:val="21"/>
              </w:rPr>
            </w:pPr>
            <w:r>
              <w:rPr>
                <w:szCs w:val="21"/>
              </w:rPr>
              <w:t>+25</w:t>
            </w:r>
          </w:p>
        </w:tc>
        <w:tc>
          <w:tcPr>
            <w:tcW w:w="816" w:type="pct"/>
            <w:vAlign w:val="center"/>
          </w:tcPr>
          <w:p w14:paraId="5FCAC2EC">
            <w:pPr>
              <w:snapToGrid w:val="0"/>
              <w:jc w:val="center"/>
              <w:rPr>
                <w:szCs w:val="21"/>
              </w:rPr>
            </w:pPr>
            <w:r>
              <w:rPr>
                <w:szCs w:val="21"/>
              </w:rPr>
              <w:t>5，车间堆放</w:t>
            </w:r>
          </w:p>
        </w:tc>
        <w:tc>
          <w:tcPr>
            <w:tcW w:w="382" w:type="pct"/>
            <w:vAlign w:val="center"/>
          </w:tcPr>
          <w:p w14:paraId="48DE689C">
            <w:pPr>
              <w:snapToGrid w:val="0"/>
              <w:jc w:val="center"/>
              <w:rPr>
                <w:szCs w:val="21"/>
              </w:rPr>
            </w:pPr>
            <w:r>
              <w:rPr>
                <w:szCs w:val="21"/>
              </w:rPr>
              <w:t>国内汽车</w:t>
            </w:r>
          </w:p>
        </w:tc>
      </w:tr>
      <w:tr w14:paraId="538C7D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5A6589BE">
            <w:pPr>
              <w:spacing w:line="320" w:lineRule="exact"/>
              <w:jc w:val="center"/>
              <w:rPr>
                <w:szCs w:val="21"/>
                <w:lang w:val="pt-BR"/>
              </w:rPr>
            </w:pPr>
          </w:p>
        </w:tc>
        <w:tc>
          <w:tcPr>
            <w:tcW w:w="649" w:type="pct"/>
            <w:vAlign w:val="center"/>
          </w:tcPr>
          <w:p w14:paraId="71FD5E7D">
            <w:pPr>
              <w:widowControl/>
              <w:snapToGrid w:val="0"/>
              <w:jc w:val="center"/>
              <w:rPr>
                <w:szCs w:val="21"/>
              </w:rPr>
            </w:pPr>
            <w:r>
              <w:rPr>
                <w:szCs w:val="21"/>
              </w:rPr>
              <w:t>氟橡胶</w:t>
            </w:r>
          </w:p>
        </w:tc>
        <w:tc>
          <w:tcPr>
            <w:tcW w:w="1210" w:type="pct"/>
            <w:vAlign w:val="center"/>
          </w:tcPr>
          <w:p w14:paraId="20D2C311">
            <w:pPr>
              <w:snapToGrid w:val="0"/>
              <w:jc w:val="center"/>
              <w:rPr>
                <w:szCs w:val="21"/>
              </w:rPr>
            </w:pPr>
            <w:r>
              <w:rPr>
                <w:kern w:val="0"/>
                <w:szCs w:val="21"/>
              </w:rPr>
              <w:t>四氟乙烯与丙烯的共聚物</w:t>
            </w:r>
          </w:p>
        </w:tc>
        <w:tc>
          <w:tcPr>
            <w:tcW w:w="528" w:type="pct"/>
            <w:vAlign w:val="center"/>
          </w:tcPr>
          <w:p w14:paraId="02371F92">
            <w:pPr>
              <w:snapToGrid w:val="0"/>
              <w:jc w:val="center"/>
              <w:rPr>
                <w:szCs w:val="21"/>
              </w:rPr>
            </w:pPr>
            <w:r>
              <w:rPr>
                <w:szCs w:val="21"/>
              </w:rPr>
              <w:t>0</w:t>
            </w:r>
          </w:p>
        </w:tc>
        <w:tc>
          <w:tcPr>
            <w:tcW w:w="528" w:type="pct"/>
            <w:vAlign w:val="center"/>
          </w:tcPr>
          <w:p w14:paraId="4C00F21B">
            <w:pPr>
              <w:snapToGrid w:val="0"/>
              <w:jc w:val="center"/>
              <w:rPr>
                <w:szCs w:val="21"/>
              </w:rPr>
            </w:pPr>
            <w:r>
              <w:rPr>
                <w:szCs w:val="21"/>
              </w:rPr>
              <w:t>20</w:t>
            </w:r>
          </w:p>
        </w:tc>
        <w:tc>
          <w:tcPr>
            <w:tcW w:w="516" w:type="pct"/>
            <w:vAlign w:val="center"/>
          </w:tcPr>
          <w:p w14:paraId="512D0F64">
            <w:pPr>
              <w:snapToGrid w:val="0"/>
              <w:jc w:val="center"/>
              <w:rPr>
                <w:szCs w:val="21"/>
              </w:rPr>
            </w:pPr>
            <w:r>
              <w:rPr>
                <w:szCs w:val="21"/>
              </w:rPr>
              <w:t>+20</w:t>
            </w:r>
          </w:p>
        </w:tc>
        <w:tc>
          <w:tcPr>
            <w:tcW w:w="816" w:type="pct"/>
            <w:vAlign w:val="center"/>
          </w:tcPr>
          <w:p w14:paraId="77828D01">
            <w:pPr>
              <w:snapToGrid w:val="0"/>
              <w:jc w:val="center"/>
              <w:rPr>
                <w:szCs w:val="21"/>
              </w:rPr>
            </w:pPr>
            <w:r>
              <w:rPr>
                <w:szCs w:val="21"/>
              </w:rPr>
              <w:t>5，车间堆放</w:t>
            </w:r>
          </w:p>
        </w:tc>
        <w:tc>
          <w:tcPr>
            <w:tcW w:w="382" w:type="pct"/>
            <w:vAlign w:val="center"/>
          </w:tcPr>
          <w:p w14:paraId="6B416E62">
            <w:pPr>
              <w:snapToGrid w:val="0"/>
              <w:jc w:val="center"/>
              <w:rPr>
                <w:szCs w:val="21"/>
              </w:rPr>
            </w:pPr>
            <w:r>
              <w:rPr>
                <w:szCs w:val="21"/>
              </w:rPr>
              <w:t>国内汽车</w:t>
            </w:r>
          </w:p>
        </w:tc>
      </w:tr>
      <w:tr w14:paraId="53191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33312B46">
            <w:pPr>
              <w:spacing w:line="320" w:lineRule="exact"/>
              <w:jc w:val="center"/>
              <w:rPr>
                <w:szCs w:val="21"/>
                <w:lang w:val="pt-BR"/>
              </w:rPr>
            </w:pPr>
          </w:p>
        </w:tc>
        <w:tc>
          <w:tcPr>
            <w:tcW w:w="649" w:type="pct"/>
            <w:vAlign w:val="center"/>
          </w:tcPr>
          <w:p w14:paraId="586DAB36">
            <w:pPr>
              <w:widowControl/>
              <w:snapToGrid w:val="0"/>
              <w:jc w:val="center"/>
              <w:rPr>
                <w:szCs w:val="21"/>
              </w:rPr>
            </w:pPr>
            <w:bookmarkStart w:id="44" w:name="OLE_LINK92"/>
            <w:bookmarkStart w:id="45" w:name="OLE_LINK91"/>
            <w:r>
              <w:rPr>
                <w:szCs w:val="21"/>
              </w:rPr>
              <w:t>硅橡胶</w:t>
            </w:r>
            <w:bookmarkEnd w:id="44"/>
            <w:bookmarkEnd w:id="45"/>
          </w:p>
        </w:tc>
        <w:tc>
          <w:tcPr>
            <w:tcW w:w="1210" w:type="pct"/>
            <w:vAlign w:val="center"/>
          </w:tcPr>
          <w:p w14:paraId="465C8F88">
            <w:pPr>
              <w:snapToGrid w:val="0"/>
              <w:jc w:val="center"/>
              <w:rPr>
                <w:szCs w:val="21"/>
              </w:rPr>
            </w:pPr>
            <w:r>
              <w:rPr>
                <w:szCs w:val="21"/>
              </w:rPr>
              <w:t>二氧化硅10-20%、聚硅氧烷30-50%、低聚硅氧烷5-10%、阻燃填料20-55%</w:t>
            </w:r>
          </w:p>
        </w:tc>
        <w:tc>
          <w:tcPr>
            <w:tcW w:w="528" w:type="pct"/>
            <w:vAlign w:val="center"/>
          </w:tcPr>
          <w:p w14:paraId="1E825250">
            <w:pPr>
              <w:snapToGrid w:val="0"/>
              <w:jc w:val="center"/>
              <w:rPr>
                <w:szCs w:val="21"/>
              </w:rPr>
            </w:pPr>
            <w:r>
              <w:rPr>
                <w:szCs w:val="21"/>
              </w:rPr>
              <w:t>0</w:t>
            </w:r>
          </w:p>
        </w:tc>
        <w:tc>
          <w:tcPr>
            <w:tcW w:w="528" w:type="pct"/>
            <w:vAlign w:val="center"/>
          </w:tcPr>
          <w:p w14:paraId="6B9F0FF4">
            <w:pPr>
              <w:snapToGrid w:val="0"/>
              <w:jc w:val="center"/>
              <w:rPr>
                <w:szCs w:val="21"/>
              </w:rPr>
            </w:pPr>
            <w:r>
              <w:rPr>
                <w:szCs w:val="21"/>
              </w:rPr>
              <w:t>5</w:t>
            </w:r>
          </w:p>
        </w:tc>
        <w:tc>
          <w:tcPr>
            <w:tcW w:w="516" w:type="pct"/>
            <w:vAlign w:val="center"/>
          </w:tcPr>
          <w:p w14:paraId="76B86966">
            <w:pPr>
              <w:snapToGrid w:val="0"/>
              <w:jc w:val="center"/>
              <w:rPr>
                <w:szCs w:val="21"/>
              </w:rPr>
            </w:pPr>
            <w:r>
              <w:rPr>
                <w:szCs w:val="21"/>
              </w:rPr>
              <w:t>+5</w:t>
            </w:r>
          </w:p>
        </w:tc>
        <w:tc>
          <w:tcPr>
            <w:tcW w:w="816" w:type="pct"/>
            <w:vAlign w:val="center"/>
          </w:tcPr>
          <w:p w14:paraId="26577394">
            <w:pPr>
              <w:snapToGrid w:val="0"/>
              <w:jc w:val="center"/>
              <w:rPr>
                <w:szCs w:val="21"/>
              </w:rPr>
            </w:pPr>
            <w:r>
              <w:rPr>
                <w:szCs w:val="21"/>
              </w:rPr>
              <w:t>1，车间堆放</w:t>
            </w:r>
          </w:p>
        </w:tc>
        <w:tc>
          <w:tcPr>
            <w:tcW w:w="382" w:type="pct"/>
            <w:vAlign w:val="center"/>
          </w:tcPr>
          <w:p w14:paraId="36C117E2">
            <w:pPr>
              <w:snapToGrid w:val="0"/>
              <w:jc w:val="center"/>
              <w:rPr>
                <w:szCs w:val="21"/>
              </w:rPr>
            </w:pPr>
            <w:r>
              <w:rPr>
                <w:szCs w:val="21"/>
              </w:rPr>
              <w:t>国内汽车</w:t>
            </w:r>
          </w:p>
        </w:tc>
      </w:tr>
      <w:tr w14:paraId="3D6D56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040E6C14">
            <w:pPr>
              <w:spacing w:line="320" w:lineRule="exact"/>
              <w:jc w:val="center"/>
              <w:rPr>
                <w:szCs w:val="21"/>
                <w:lang w:val="pt-BR"/>
              </w:rPr>
            </w:pPr>
          </w:p>
        </w:tc>
        <w:tc>
          <w:tcPr>
            <w:tcW w:w="649" w:type="pct"/>
            <w:vAlign w:val="center"/>
          </w:tcPr>
          <w:p w14:paraId="16C79FF2">
            <w:pPr>
              <w:widowControl/>
              <w:snapToGrid w:val="0"/>
              <w:jc w:val="center"/>
              <w:rPr>
                <w:szCs w:val="21"/>
              </w:rPr>
            </w:pPr>
            <w:r>
              <w:rPr>
                <w:szCs w:val="21"/>
              </w:rPr>
              <w:t>炭黑</w:t>
            </w:r>
          </w:p>
        </w:tc>
        <w:tc>
          <w:tcPr>
            <w:tcW w:w="1210" w:type="pct"/>
            <w:vAlign w:val="center"/>
          </w:tcPr>
          <w:p w14:paraId="5508C20B">
            <w:pPr>
              <w:snapToGrid w:val="0"/>
              <w:jc w:val="center"/>
              <w:rPr>
                <w:szCs w:val="21"/>
              </w:rPr>
            </w:pPr>
            <w:r>
              <w:rPr>
                <w:szCs w:val="21"/>
              </w:rPr>
              <w:t>N330</w:t>
            </w:r>
          </w:p>
          <w:p w14:paraId="3E869074">
            <w:pPr>
              <w:snapToGrid w:val="0"/>
              <w:jc w:val="center"/>
              <w:rPr>
                <w:szCs w:val="21"/>
              </w:rPr>
            </w:pPr>
            <w:r>
              <w:rPr>
                <w:szCs w:val="21"/>
              </w:rPr>
              <w:t>吸碘值77-87g/kg</w:t>
            </w:r>
          </w:p>
        </w:tc>
        <w:tc>
          <w:tcPr>
            <w:tcW w:w="528" w:type="pct"/>
            <w:vAlign w:val="center"/>
          </w:tcPr>
          <w:p w14:paraId="616A790E">
            <w:pPr>
              <w:snapToGrid w:val="0"/>
              <w:jc w:val="center"/>
              <w:rPr>
                <w:szCs w:val="21"/>
              </w:rPr>
            </w:pPr>
            <w:r>
              <w:rPr>
                <w:szCs w:val="21"/>
              </w:rPr>
              <w:t>0</w:t>
            </w:r>
          </w:p>
        </w:tc>
        <w:tc>
          <w:tcPr>
            <w:tcW w:w="528" w:type="pct"/>
            <w:vAlign w:val="center"/>
          </w:tcPr>
          <w:p w14:paraId="27C30BF4">
            <w:pPr>
              <w:snapToGrid w:val="0"/>
              <w:jc w:val="center"/>
              <w:rPr>
                <w:szCs w:val="21"/>
              </w:rPr>
            </w:pPr>
            <w:r>
              <w:rPr>
                <w:szCs w:val="21"/>
              </w:rPr>
              <w:t>200</w:t>
            </w:r>
          </w:p>
        </w:tc>
        <w:tc>
          <w:tcPr>
            <w:tcW w:w="516" w:type="pct"/>
            <w:vAlign w:val="center"/>
          </w:tcPr>
          <w:p w14:paraId="28423586">
            <w:pPr>
              <w:snapToGrid w:val="0"/>
              <w:jc w:val="center"/>
              <w:rPr>
                <w:szCs w:val="21"/>
              </w:rPr>
            </w:pPr>
            <w:r>
              <w:rPr>
                <w:szCs w:val="21"/>
              </w:rPr>
              <w:t>+200</w:t>
            </w:r>
          </w:p>
        </w:tc>
        <w:tc>
          <w:tcPr>
            <w:tcW w:w="816" w:type="pct"/>
            <w:vAlign w:val="center"/>
          </w:tcPr>
          <w:p w14:paraId="705E30C0">
            <w:pPr>
              <w:snapToGrid w:val="0"/>
              <w:jc w:val="center"/>
              <w:rPr>
                <w:szCs w:val="21"/>
              </w:rPr>
            </w:pPr>
            <w:r>
              <w:rPr>
                <w:szCs w:val="21"/>
              </w:rPr>
              <w:t>20，桶装</w:t>
            </w:r>
          </w:p>
        </w:tc>
        <w:tc>
          <w:tcPr>
            <w:tcW w:w="382" w:type="pct"/>
            <w:vAlign w:val="center"/>
          </w:tcPr>
          <w:p w14:paraId="55C66F7C">
            <w:pPr>
              <w:snapToGrid w:val="0"/>
              <w:jc w:val="center"/>
              <w:rPr>
                <w:szCs w:val="21"/>
              </w:rPr>
            </w:pPr>
            <w:r>
              <w:rPr>
                <w:szCs w:val="21"/>
              </w:rPr>
              <w:t>国内汽车</w:t>
            </w:r>
          </w:p>
        </w:tc>
      </w:tr>
      <w:tr w14:paraId="0229C6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6D117925">
            <w:pPr>
              <w:spacing w:line="320" w:lineRule="exact"/>
              <w:jc w:val="center"/>
              <w:rPr>
                <w:szCs w:val="21"/>
                <w:lang w:val="pt-BR"/>
              </w:rPr>
            </w:pPr>
          </w:p>
        </w:tc>
        <w:tc>
          <w:tcPr>
            <w:tcW w:w="649" w:type="pct"/>
            <w:vAlign w:val="center"/>
          </w:tcPr>
          <w:p w14:paraId="6FA1AE36">
            <w:pPr>
              <w:widowControl/>
              <w:snapToGrid w:val="0"/>
              <w:jc w:val="center"/>
              <w:rPr>
                <w:szCs w:val="21"/>
              </w:rPr>
            </w:pPr>
            <w:bookmarkStart w:id="46" w:name="OLE_LINK94"/>
            <w:r>
              <w:rPr>
                <w:szCs w:val="21"/>
              </w:rPr>
              <w:t>硫化剂</w:t>
            </w:r>
            <w:bookmarkEnd w:id="46"/>
          </w:p>
        </w:tc>
        <w:tc>
          <w:tcPr>
            <w:tcW w:w="1210" w:type="pct"/>
            <w:vAlign w:val="center"/>
          </w:tcPr>
          <w:p w14:paraId="5F0FF2A6">
            <w:pPr>
              <w:snapToGrid w:val="0"/>
              <w:jc w:val="center"/>
              <w:rPr>
                <w:szCs w:val="21"/>
              </w:rPr>
            </w:pPr>
            <w:r>
              <w:rPr>
                <w:szCs w:val="21"/>
              </w:rPr>
              <w:t>过氧化二异丙苯</w:t>
            </w:r>
          </w:p>
        </w:tc>
        <w:tc>
          <w:tcPr>
            <w:tcW w:w="528" w:type="pct"/>
            <w:vAlign w:val="center"/>
          </w:tcPr>
          <w:p w14:paraId="23BD6772">
            <w:pPr>
              <w:snapToGrid w:val="0"/>
              <w:jc w:val="center"/>
              <w:rPr>
                <w:szCs w:val="21"/>
              </w:rPr>
            </w:pPr>
            <w:r>
              <w:rPr>
                <w:szCs w:val="21"/>
              </w:rPr>
              <w:t>0</w:t>
            </w:r>
          </w:p>
        </w:tc>
        <w:tc>
          <w:tcPr>
            <w:tcW w:w="528" w:type="pct"/>
            <w:vAlign w:val="center"/>
          </w:tcPr>
          <w:p w14:paraId="3CC78D8F">
            <w:pPr>
              <w:snapToGrid w:val="0"/>
              <w:jc w:val="center"/>
              <w:rPr>
                <w:szCs w:val="21"/>
              </w:rPr>
            </w:pPr>
            <w:r>
              <w:rPr>
                <w:szCs w:val="21"/>
              </w:rPr>
              <w:t>40</w:t>
            </w:r>
          </w:p>
        </w:tc>
        <w:tc>
          <w:tcPr>
            <w:tcW w:w="516" w:type="pct"/>
            <w:vAlign w:val="center"/>
          </w:tcPr>
          <w:p w14:paraId="0B007B6A">
            <w:pPr>
              <w:snapToGrid w:val="0"/>
              <w:jc w:val="center"/>
              <w:rPr>
                <w:szCs w:val="21"/>
              </w:rPr>
            </w:pPr>
            <w:r>
              <w:rPr>
                <w:szCs w:val="21"/>
              </w:rPr>
              <w:t>+40</w:t>
            </w:r>
          </w:p>
        </w:tc>
        <w:tc>
          <w:tcPr>
            <w:tcW w:w="816" w:type="pct"/>
            <w:vAlign w:val="center"/>
          </w:tcPr>
          <w:p w14:paraId="1064C60C">
            <w:pPr>
              <w:snapToGrid w:val="0"/>
              <w:jc w:val="center"/>
              <w:rPr>
                <w:szCs w:val="21"/>
              </w:rPr>
            </w:pPr>
            <w:r>
              <w:rPr>
                <w:szCs w:val="21"/>
              </w:rPr>
              <w:t>2，袋装</w:t>
            </w:r>
          </w:p>
        </w:tc>
        <w:tc>
          <w:tcPr>
            <w:tcW w:w="382" w:type="pct"/>
            <w:vAlign w:val="center"/>
          </w:tcPr>
          <w:p w14:paraId="4B545BC9">
            <w:pPr>
              <w:snapToGrid w:val="0"/>
              <w:jc w:val="center"/>
              <w:rPr>
                <w:szCs w:val="21"/>
              </w:rPr>
            </w:pPr>
            <w:r>
              <w:rPr>
                <w:szCs w:val="21"/>
              </w:rPr>
              <w:t>国内汽车</w:t>
            </w:r>
          </w:p>
        </w:tc>
      </w:tr>
      <w:tr w14:paraId="4F0CFD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5CDCDDD">
            <w:pPr>
              <w:spacing w:line="320" w:lineRule="exact"/>
              <w:jc w:val="center"/>
              <w:rPr>
                <w:szCs w:val="21"/>
                <w:lang w:val="pt-BR"/>
              </w:rPr>
            </w:pPr>
          </w:p>
        </w:tc>
        <w:tc>
          <w:tcPr>
            <w:tcW w:w="649" w:type="pct"/>
            <w:vAlign w:val="center"/>
          </w:tcPr>
          <w:p w14:paraId="4FF253B6">
            <w:pPr>
              <w:widowControl/>
              <w:snapToGrid w:val="0"/>
              <w:jc w:val="center"/>
              <w:rPr>
                <w:szCs w:val="21"/>
              </w:rPr>
            </w:pPr>
            <w:bookmarkStart w:id="47" w:name="OLE_LINK93"/>
            <w:r>
              <w:rPr>
                <w:szCs w:val="21"/>
              </w:rPr>
              <w:t>交联剂</w:t>
            </w:r>
            <w:bookmarkEnd w:id="47"/>
          </w:p>
        </w:tc>
        <w:tc>
          <w:tcPr>
            <w:tcW w:w="1210" w:type="pct"/>
            <w:vAlign w:val="center"/>
          </w:tcPr>
          <w:p w14:paraId="69BE080F">
            <w:pPr>
              <w:snapToGrid w:val="0"/>
              <w:jc w:val="center"/>
              <w:rPr>
                <w:szCs w:val="21"/>
              </w:rPr>
            </w:pPr>
            <w:r>
              <w:rPr>
                <w:szCs w:val="21"/>
              </w:rPr>
              <w:t>过氧化氢二叔丁基异丙基苯38-42%，石油加氢轻馏分0-3%、溶剂精制轻石蜡馏分0-2%、1,1-二甲基乙基甲基-1-1-[3-（1-甲基乙烯基）苯基]乙基过氧化&lt;2%，其余为碳酸钙</w:t>
            </w:r>
          </w:p>
        </w:tc>
        <w:tc>
          <w:tcPr>
            <w:tcW w:w="528" w:type="pct"/>
            <w:vAlign w:val="center"/>
          </w:tcPr>
          <w:p w14:paraId="0C690E30">
            <w:pPr>
              <w:snapToGrid w:val="0"/>
              <w:jc w:val="center"/>
              <w:rPr>
                <w:szCs w:val="21"/>
              </w:rPr>
            </w:pPr>
            <w:r>
              <w:rPr>
                <w:szCs w:val="21"/>
              </w:rPr>
              <w:t>0</w:t>
            </w:r>
          </w:p>
        </w:tc>
        <w:tc>
          <w:tcPr>
            <w:tcW w:w="528" w:type="pct"/>
            <w:vAlign w:val="center"/>
          </w:tcPr>
          <w:p w14:paraId="4DF36D55">
            <w:pPr>
              <w:snapToGrid w:val="0"/>
              <w:jc w:val="center"/>
              <w:rPr>
                <w:szCs w:val="21"/>
              </w:rPr>
            </w:pPr>
            <w:r>
              <w:rPr>
                <w:szCs w:val="21"/>
              </w:rPr>
              <w:t>35</w:t>
            </w:r>
          </w:p>
        </w:tc>
        <w:tc>
          <w:tcPr>
            <w:tcW w:w="516" w:type="pct"/>
            <w:vAlign w:val="center"/>
          </w:tcPr>
          <w:p w14:paraId="5CB327C8">
            <w:pPr>
              <w:snapToGrid w:val="0"/>
              <w:jc w:val="center"/>
              <w:rPr>
                <w:szCs w:val="21"/>
              </w:rPr>
            </w:pPr>
            <w:r>
              <w:rPr>
                <w:szCs w:val="21"/>
              </w:rPr>
              <w:t>+35</w:t>
            </w:r>
          </w:p>
        </w:tc>
        <w:tc>
          <w:tcPr>
            <w:tcW w:w="816" w:type="pct"/>
            <w:vAlign w:val="center"/>
          </w:tcPr>
          <w:p w14:paraId="241B9D52">
            <w:pPr>
              <w:snapToGrid w:val="0"/>
              <w:jc w:val="center"/>
              <w:rPr>
                <w:szCs w:val="21"/>
              </w:rPr>
            </w:pPr>
            <w:r>
              <w:rPr>
                <w:szCs w:val="21"/>
              </w:rPr>
              <w:t>2，袋装</w:t>
            </w:r>
          </w:p>
        </w:tc>
        <w:tc>
          <w:tcPr>
            <w:tcW w:w="382" w:type="pct"/>
            <w:vAlign w:val="center"/>
          </w:tcPr>
          <w:p w14:paraId="59F8BF83">
            <w:pPr>
              <w:snapToGrid w:val="0"/>
              <w:jc w:val="center"/>
              <w:rPr>
                <w:szCs w:val="21"/>
              </w:rPr>
            </w:pPr>
            <w:r>
              <w:rPr>
                <w:szCs w:val="21"/>
              </w:rPr>
              <w:t>国内汽车</w:t>
            </w:r>
          </w:p>
        </w:tc>
      </w:tr>
      <w:tr w14:paraId="2CCE9C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74E15F9">
            <w:pPr>
              <w:spacing w:line="320" w:lineRule="exact"/>
              <w:jc w:val="center"/>
              <w:rPr>
                <w:szCs w:val="21"/>
                <w:lang w:val="pt-BR"/>
              </w:rPr>
            </w:pPr>
          </w:p>
        </w:tc>
        <w:tc>
          <w:tcPr>
            <w:tcW w:w="649" w:type="pct"/>
            <w:vAlign w:val="center"/>
          </w:tcPr>
          <w:p w14:paraId="696EA0EF">
            <w:pPr>
              <w:widowControl/>
              <w:snapToGrid w:val="0"/>
              <w:jc w:val="center"/>
              <w:rPr>
                <w:szCs w:val="21"/>
              </w:rPr>
            </w:pPr>
            <w:bookmarkStart w:id="48" w:name="OLE_LINK95"/>
            <w:bookmarkStart w:id="49" w:name="OLE_LINK96"/>
            <w:r>
              <w:rPr>
                <w:szCs w:val="21"/>
              </w:rPr>
              <w:t>防老剂</w:t>
            </w:r>
            <w:bookmarkEnd w:id="48"/>
            <w:bookmarkEnd w:id="49"/>
          </w:p>
        </w:tc>
        <w:tc>
          <w:tcPr>
            <w:tcW w:w="1210" w:type="pct"/>
            <w:vAlign w:val="center"/>
          </w:tcPr>
          <w:p w14:paraId="0B516699">
            <w:pPr>
              <w:snapToGrid w:val="0"/>
              <w:jc w:val="center"/>
              <w:rPr>
                <w:szCs w:val="21"/>
              </w:rPr>
            </w:pPr>
            <w:r>
              <w:rPr>
                <w:szCs w:val="21"/>
              </w:rPr>
              <w:t>RD</w:t>
            </w:r>
          </w:p>
          <w:p w14:paraId="1E0FFD7B">
            <w:pPr>
              <w:snapToGrid w:val="0"/>
              <w:jc w:val="center"/>
              <w:rPr>
                <w:szCs w:val="21"/>
              </w:rPr>
            </w:pPr>
            <w:r>
              <w:rPr>
                <w:kern w:val="0"/>
              </w:rPr>
              <w:t>2,2,4-三甲基-1,2-二氢喹啉聚合体</w:t>
            </w:r>
          </w:p>
        </w:tc>
        <w:tc>
          <w:tcPr>
            <w:tcW w:w="528" w:type="pct"/>
            <w:vAlign w:val="center"/>
          </w:tcPr>
          <w:p w14:paraId="025A8253">
            <w:pPr>
              <w:snapToGrid w:val="0"/>
              <w:jc w:val="center"/>
              <w:rPr>
                <w:szCs w:val="21"/>
              </w:rPr>
            </w:pPr>
            <w:r>
              <w:rPr>
                <w:szCs w:val="21"/>
              </w:rPr>
              <w:t>0</w:t>
            </w:r>
          </w:p>
        </w:tc>
        <w:tc>
          <w:tcPr>
            <w:tcW w:w="528" w:type="pct"/>
            <w:vAlign w:val="center"/>
          </w:tcPr>
          <w:p w14:paraId="23946F45">
            <w:pPr>
              <w:snapToGrid w:val="0"/>
              <w:jc w:val="center"/>
              <w:rPr>
                <w:szCs w:val="21"/>
              </w:rPr>
            </w:pPr>
            <w:r>
              <w:rPr>
                <w:szCs w:val="21"/>
              </w:rPr>
              <w:t>50</w:t>
            </w:r>
          </w:p>
        </w:tc>
        <w:tc>
          <w:tcPr>
            <w:tcW w:w="516" w:type="pct"/>
            <w:vAlign w:val="center"/>
          </w:tcPr>
          <w:p w14:paraId="20CB2EB2">
            <w:pPr>
              <w:snapToGrid w:val="0"/>
              <w:jc w:val="center"/>
              <w:rPr>
                <w:szCs w:val="21"/>
              </w:rPr>
            </w:pPr>
            <w:r>
              <w:rPr>
                <w:szCs w:val="21"/>
              </w:rPr>
              <w:t>+50</w:t>
            </w:r>
          </w:p>
        </w:tc>
        <w:tc>
          <w:tcPr>
            <w:tcW w:w="816" w:type="pct"/>
            <w:vAlign w:val="center"/>
          </w:tcPr>
          <w:p w14:paraId="12590AB0">
            <w:pPr>
              <w:snapToGrid w:val="0"/>
              <w:jc w:val="center"/>
              <w:rPr>
                <w:szCs w:val="21"/>
              </w:rPr>
            </w:pPr>
            <w:r>
              <w:rPr>
                <w:szCs w:val="21"/>
              </w:rPr>
              <w:t>2，袋装</w:t>
            </w:r>
          </w:p>
        </w:tc>
        <w:tc>
          <w:tcPr>
            <w:tcW w:w="382" w:type="pct"/>
            <w:vAlign w:val="center"/>
          </w:tcPr>
          <w:p w14:paraId="7D7A1E00">
            <w:pPr>
              <w:snapToGrid w:val="0"/>
              <w:jc w:val="center"/>
              <w:rPr>
                <w:szCs w:val="21"/>
              </w:rPr>
            </w:pPr>
            <w:r>
              <w:rPr>
                <w:szCs w:val="21"/>
              </w:rPr>
              <w:t>国内汽车</w:t>
            </w:r>
          </w:p>
        </w:tc>
      </w:tr>
      <w:tr w14:paraId="4A8596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869D502">
            <w:pPr>
              <w:spacing w:line="320" w:lineRule="exact"/>
              <w:jc w:val="center"/>
              <w:rPr>
                <w:szCs w:val="21"/>
                <w:lang w:val="pt-BR"/>
              </w:rPr>
            </w:pPr>
          </w:p>
        </w:tc>
        <w:tc>
          <w:tcPr>
            <w:tcW w:w="649" w:type="pct"/>
            <w:vAlign w:val="center"/>
          </w:tcPr>
          <w:p w14:paraId="3F74A80C">
            <w:pPr>
              <w:snapToGrid w:val="0"/>
              <w:jc w:val="center"/>
              <w:rPr>
                <w:szCs w:val="21"/>
              </w:rPr>
            </w:pPr>
            <w:r>
              <w:rPr>
                <w:szCs w:val="21"/>
              </w:rPr>
              <w:t>氧化锌</w:t>
            </w:r>
          </w:p>
        </w:tc>
        <w:tc>
          <w:tcPr>
            <w:tcW w:w="1210" w:type="pct"/>
            <w:vAlign w:val="center"/>
          </w:tcPr>
          <w:p w14:paraId="13C5EEE7">
            <w:pPr>
              <w:snapToGrid w:val="0"/>
              <w:jc w:val="center"/>
              <w:rPr>
                <w:szCs w:val="21"/>
              </w:rPr>
            </w:pPr>
            <w:r>
              <w:rPr>
                <w:szCs w:val="21"/>
              </w:rPr>
              <w:t>ZnO</w:t>
            </w:r>
          </w:p>
          <w:p w14:paraId="25A670A9">
            <w:pPr>
              <w:snapToGrid w:val="0"/>
              <w:jc w:val="center"/>
              <w:rPr>
                <w:szCs w:val="21"/>
              </w:rPr>
            </w:pPr>
            <w:r>
              <w:rPr>
                <w:szCs w:val="21"/>
              </w:rPr>
              <w:t>密度2.7±0.05g/cm</w:t>
            </w:r>
            <w:r>
              <w:rPr>
                <w:szCs w:val="21"/>
                <w:vertAlign w:val="superscript"/>
              </w:rPr>
              <w:t>3</w:t>
            </w:r>
          </w:p>
        </w:tc>
        <w:tc>
          <w:tcPr>
            <w:tcW w:w="528" w:type="pct"/>
            <w:vAlign w:val="center"/>
          </w:tcPr>
          <w:p w14:paraId="72866183">
            <w:pPr>
              <w:snapToGrid w:val="0"/>
              <w:jc w:val="center"/>
              <w:rPr>
                <w:szCs w:val="21"/>
              </w:rPr>
            </w:pPr>
            <w:r>
              <w:rPr>
                <w:szCs w:val="21"/>
              </w:rPr>
              <w:t>0</w:t>
            </w:r>
          </w:p>
        </w:tc>
        <w:tc>
          <w:tcPr>
            <w:tcW w:w="528" w:type="pct"/>
            <w:vAlign w:val="center"/>
          </w:tcPr>
          <w:p w14:paraId="29637532">
            <w:pPr>
              <w:snapToGrid w:val="0"/>
              <w:jc w:val="center"/>
              <w:rPr>
                <w:szCs w:val="21"/>
              </w:rPr>
            </w:pPr>
            <w:r>
              <w:rPr>
                <w:szCs w:val="21"/>
              </w:rPr>
              <w:t>79</w:t>
            </w:r>
          </w:p>
        </w:tc>
        <w:tc>
          <w:tcPr>
            <w:tcW w:w="516" w:type="pct"/>
            <w:vAlign w:val="center"/>
          </w:tcPr>
          <w:p w14:paraId="5309B2A3">
            <w:pPr>
              <w:snapToGrid w:val="0"/>
              <w:jc w:val="center"/>
              <w:rPr>
                <w:szCs w:val="21"/>
              </w:rPr>
            </w:pPr>
            <w:r>
              <w:rPr>
                <w:szCs w:val="21"/>
              </w:rPr>
              <w:t>+79</w:t>
            </w:r>
          </w:p>
        </w:tc>
        <w:tc>
          <w:tcPr>
            <w:tcW w:w="816" w:type="pct"/>
            <w:vAlign w:val="center"/>
          </w:tcPr>
          <w:p w14:paraId="05BD0F6A">
            <w:pPr>
              <w:snapToGrid w:val="0"/>
              <w:jc w:val="center"/>
              <w:rPr>
                <w:szCs w:val="21"/>
              </w:rPr>
            </w:pPr>
            <w:r>
              <w:rPr>
                <w:szCs w:val="21"/>
              </w:rPr>
              <w:t>3，袋装</w:t>
            </w:r>
          </w:p>
        </w:tc>
        <w:tc>
          <w:tcPr>
            <w:tcW w:w="382" w:type="pct"/>
            <w:vAlign w:val="center"/>
          </w:tcPr>
          <w:p w14:paraId="3D921E94">
            <w:pPr>
              <w:snapToGrid w:val="0"/>
              <w:jc w:val="center"/>
              <w:rPr>
                <w:szCs w:val="21"/>
              </w:rPr>
            </w:pPr>
            <w:r>
              <w:rPr>
                <w:szCs w:val="21"/>
              </w:rPr>
              <w:t>国内汽车</w:t>
            </w:r>
          </w:p>
        </w:tc>
      </w:tr>
      <w:tr w14:paraId="24E8E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2210A742">
            <w:pPr>
              <w:spacing w:line="320" w:lineRule="exact"/>
              <w:jc w:val="center"/>
              <w:rPr>
                <w:szCs w:val="21"/>
                <w:lang w:val="pt-BR"/>
              </w:rPr>
            </w:pPr>
          </w:p>
        </w:tc>
        <w:tc>
          <w:tcPr>
            <w:tcW w:w="649" w:type="pct"/>
            <w:vAlign w:val="center"/>
          </w:tcPr>
          <w:p w14:paraId="5BC2CD52">
            <w:pPr>
              <w:widowControl/>
              <w:snapToGrid w:val="0"/>
              <w:jc w:val="center"/>
              <w:rPr>
                <w:szCs w:val="21"/>
              </w:rPr>
            </w:pPr>
            <w:bookmarkStart w:id="50" w:name="OLE_LINK98"/>
            <w:bookmarkStart w:id="51" w:name="OLE_LINK97"/>
            <w:r>
              <w:rPr>
                <w:szCs w:val="21"/>
              </w:rPr>
              <w:t>石蜡油</w:t>
            </w:r>
            <w:bookmarkEnd w:id="50"/>
            <w:bookmarkEnd w:id="51"/>
          </w:p>
        </w:tc>
        <w:tc>
          <w:tcPr>
            <w:tcW w:w="1210" w:type="pct"/>
            <w:vAlign w:val="center"/>
          </w:tcPr>
          <w:p w14:paraId="089DD30E">
            <w:pPr>
              <w:snapToGrid w:val="0"/>
              <w:jc w:val="center"/>
              <w:rPr>
                <w:szCs w:val="21"/>
              </w:rPr>
            </w:pPr>
            <w:r>
              <w:rPr>
                <w:szCs w:val="21"/>
              </w:rPr>
              <w:t>300＃</w:t>
            </w:r>
          </w:p>
          <w:p w14:paraId="0435D509">
            <w:pPr>
              <w:snapToGrid w:val="0"/>
              <w:jc w:val="center"/>
              <w:rPr>
                <w:szCs w:val="21"/>
              </w:rPr>
            </w:pPr>
            <w:r>
              <w:rPr>
                <w:szCs w:val="21"/>
              </w:rPr>
              <w:t>运动粘度38-51mm</w:t>
            </w:r>
            <w:r>
              <w:rPr>
                <w:szCs w:val="21"/>
                <w:vertAlign w:val="superscript"/>
              </w:rPr>
              <w:t>2</w:t>
            </w:r>
            <w:r>
              <w:rPr>
                <w:szCs w:val="21"/>
              </w:rPr>
              <w:t>/s</w:t>
            </w:r>
          </w:p>
        </w:tc>
        <w:tc>
          <w:tcPr>
            <w:tcW w:w="528" w:type="pct"/>
            <w:vAlign w:val="center"/>
          </w:tcPr>
          <w:p w14:paraId="6A5BE37C">
            <w:pPr>
              <w:snapToGrid w:val="0"/>
              <w:jc w:val="center"/>
              <w:rPr>
                <w:szCs w:val="21"/>
              </w:rPr>
            </w:pPr>
            <w:r>
              <w:rPr>
                <w:szCs w:val="21"/>
              </w:rPr>
              <w:t>0</w:t>
            </w:r>
          </w:p>
        </w:tc>
        <w:tc>
          <w:tcPr>
            <w:tcW w:w="528" w:type="pct"/>
            <w:vAlign w:val="center"/>
          </w:tcPr>
          <w:p w14:paraId="6B836966">
            <w:pPr>
              <w:snapToGrid w:val="0"/>
              <w:jc w:val="center"/>
              <w:rPr>
                <w:szCs w:val="21"/>
              </w:rPr>
            </w:pPr>
            <w:r>
              <w:rPr>
                <w:szCs w:val="21"/>
              </w:rPr>
              <w:t>50</w:t>
            </w:r>
          </w:p>
        </w:tc>
        <w:tc>
          <w:tcPr>
            <w:tcW w:w="516" w:type="pct"/>
            <w:vAlign w:val="center"/>
          </w:tcPr>
          <w:p w14:paraId="248B6EA9">
            <w:pPr>
              <w:snapToGrid w:val="0"/>
              <w:jc w:val="center"/>
              <w:rPr>
                <w:szCs w:val="21"/>
              </w:rPr>
            </w:pPr>
            <w:r>
              <w:rPr>
                <w:szCs w:val="21"/>
              </w:rPr>
              <w:t>+50</w:t>
            </w:r>
          </w:p>
        </w:tc>
        <w:tc>
          <w:tcPr>
            <w:tcW w:w="816" w:type="pct"/>
            <w:vAlign w:val="center"/>
          </w:tcPr>
          <w:p w14:paraId="250923C7">
            <w:pPr>
              <w:snapToGrid w:val="0"/>
              <w:jc w:val="center"/>
              <w:rPr>
                <w:szCs w:val="21"/>
              </w:rPr>
            </w:pPr>
            <w:r>
              <w:rPr>
                <w:szCs w:val="21"/>
              </w:rPr>
              <w:t>2，桶装</w:t>
            </w:r>
          </w:p>
        </w:tc>
        <w:tc>
          <w:tcPr>
            <w:tcW w:w="382" w:type="pct"/>
            <w:vAlign w:val="center"/>
          </w:tcPr>
          <w:p w14:paraId="0F7064DE">
            <w:pPr>
              <w:snapToGrid w:val="0"/>
              <w:jc w:val="center"/>
              <w:rPr>
                <w:szCs w:val="21"/>
              </w:rPr>
            </w:pPr>
            <w:r>
              <w:rPr>
                <w:szCs w:val="21"/>
              </w:rPr>
              <w:t>国内汽车</w:t>
            </w:r>
          </w:p>
        </w:tc>
      </w:tr>
      <w:tr w14:paraId="592E39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14A9D99">
            <w:pPr>
              <w:spacing w:line="320" w:lineRule="exact"/>
              <w:jc w:val="center"/>
              <w:rPr>
                <w:szCs w:val="21"/>
                <w:lang w:val="pt-BR"/>
              </w:rPr>
            </w:pPr>
          </w:p>
        </w:tc>
        <w:tc>
          <w:tcPr>
            <w:tcW w:w="649" w:type="pct"/>
            <w:vAlign w:val="center"/>
          </w:tcPr>
          <w:p w14:paraId="2EBA93F2">
            <w:pPr>
              <w:widowControl/>
              <w:snapToGrid w:val="0"/>
              <w:jc w:val="center"/>
              <w:rPr>
                <w:szCs w:val="21"/>
              </w:rPr>
            </w:pPr>
            <w:r>
              <w:rPr>
                <w:szCs w:val="21"/>
              </w:rPr>
              <w:t>四氟棒</w:t>
            </w:r>
          </w:p>
        </w:tc>
        <w:tc>
          <w:tcPr>
            <w:tcW w:w="1210" w:type="pct"/>
            <w:vAlign w:val="center"/>
          </w:tcPr>
          <w:p w14:paraId="47ACF5AB">
            <w:pPr>
              <w:snapToGrid w:val="0"/>
              <w:jc w:val="center"/>
              <w:rPr>
                <w:szCs w:val="21"/>
              </w:rPr>
            </w:pPr>
            <w:r>
              <w:rPr>
                <w:szCs w:val="21"/>
              </w:rPr>
              <w:t>聚四氟乙烯</w:t>
            </w:r>
          </w:p>
        </w:tc>
        <w:tc>
          <w:tcPr>
            <w:tcW w:w="528" w:type="pct"/>
            <w:vAlign w:val="center"/>
          </w:tcPr>
          <w:p w14:paraId="5579E139">
            <w:pPr>
              <w:snapToGrid w:val="0"/>
              <w:jc w:val="center"/>
              <w:rPr>
                <w:szCs w:val="21"/>
              </w:rPr>
            </w:pPr>
            <w:r>
              <w:rPr>
                <w:szCs w:val="21"/>
              </w:rPr>
              <w:t>0</w:t>
            </w:r>
          </w:p>
        </w:tc>
        <w:tc>
          <w:tcPr>
            <w:tcW w:w="528" w:type="pct"/>
            <w:vAlign w:val="center"/>
          </w:tcPr>
          <w:p w14:paraId="79B2F2E8">
            <w:pPr>
              <w:snapToGrid w:val="0"/>
              <w:jc w:val="center"/>
              <w:rPr>
                <w:szCs w:val="21"/>
              </w:rPr>
            </w:pPr>
            <w:r>
              <w:rPr>
                <w:szCs w:val="21"/>
              </w:rPr>
              <w:t>6</w:t>
            </w:r>
          </w:p>
        </w:tc>
        <w:tc>
          <w:tcPr>
            <w:tcW w:w="516" w:type="pct"/>
            <w:vAlign w:val="center"/>
          </w:tcPr>
          <w:p w14:paraId="2A43133F">
            <w:pPr>
              <w:snapToGrid w:val="0"/>
              <w:jc w:val="center"/>
              <w:rPr>
                <w:szCs w:val="21"/>
              </w:rPr>
            </w:pPr>
            <w:r>
              <w:rPr>
                <w:szCs w:val="21"/>
              </w:rPr>
              <w:t>+6</w:t>
            </w:r>
          </w:p>
        </w:tc>
        <w:tc>
          <w:tcPr>
            <w:tcW w:w="816" w:type="pct"/>
            <w:vAlign w:val="center"/>
          </w:tcPr>
          <w:p w14:paraId="507DD611">
            <w:pPr>
              <w:snapToGrid w:val="0"/>
              <w:jc w:val="center"/>
              <w:rPr>
                <w:szCs w:val="21"/>
              </w:rPr>
            </w:pPr>
            <w:r>
              <w:rPr>
                <w:szCs w:val="21"/>
              </w:rPr>
              <w:t>1，车间堆放</w:t>
            </w:r>
          </w:p>
        </w:tc>
        <w:tc>
          <w:tcPr>
            <w:tcW w:w="382" w:type="pct"/>
            <w:vAlign w:val="center"/>
          </w:tcPr>
          <w:p w14:paraId="196EEC25">
            <w:pPr>
              <w:snapToGrid w:val="0"/>
              <w:jc w:val="center"/>
              <w:rPr>
                <w:szCs w:val="21"/>
              </w:rPr>
            </w:pPr>
            <w:r>
              <w:rPr>
                <w:szCs w:val="21"/>
              </w:rPr>
              <w:t>国内汽车</w:t>
            </w:r>
          </w:p>
        </w:tc>
      </w:tr>
      <w:tr w14:paraId="7085A3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EC38A61">
            <w:pPr>
              <w:spacing w:line="320" w:lineRule="exact"/>
              <w:jc w:val="center"/>
              <w:rPr>
                <w:szCs w:val="21"/>
                <w:lang w:val="pt-BR"/>
              </w:rPr>
            </w:pPr>
          </w:p>
        </w:tc>
        <w:tc>
          <w:tcPr>
            <w:tcW w:w="649" w:type="pct"/>
            <w:vAlign w:val="center"/>
          </w:tcPr>
          <w:p w14:paraId="7A003EE6">
            <w:pPr>
              <w:widowControl/>
              <w:snapToGrid w:val="0"/>
              <w:jc w:val="center"/>
              <w:rPr>
                <w:szCs w:val="21"/>
              </w:rPr>
            </w:pPr>
            <w:r>
              <w:rPr>
                <w:szCs w:val="21"/>
              </w:rPr>
              <w:t>金属嵌件</w:t>
            </w:r>
          </w:p>
        </w:tc>
        <w:tc>
          <w:tcPr>
            <w:tcW w:w="1210" w:type="pct"/>
            <w:vAlign w:val="center"/>
          </w:tcPr>
          <w:p w14:paraId="16C0E0A0">
            <w:pPr>
              <w:snapToGrid w:val="0"/>
              <w:jc w:val="center"/>
              <w:rPr>
                <w:szCs w:val="21"/>
              </w:rPr>
            </w:pPr>
            <w:r>
              <w:rPr>
                <w:kern w:val="0"/>
                <w:szCs w:val="21"/>
              </w:rPr>
              <w:t>Fe</w:t>
            </w:r>
          </w:p>
        </w:tc>
        <w:tc>
          <w:tcPr>
            <w:tcW w:w="528" w:type="pct"/>
            <w:vAlign w:val="center"/>
          </w:tcPr>
          <w:p w14:paraId="2A54AFCD">
            <w:pPr>
              <w:snapToGrid w:val="0"/>
              <w:jc w:val="center"/>
              <w:rPr>
                <w:szCs w:val="21"/>
              </w:rPr>
            </w:pPr>
            <w:r>
              <w:rPr>
                <w:szCs w:val="21"/>
              </w:rPr>
              <w:t>0</w:t>
            </w:r>
          </w:p>
        </w:tc>
        <w:tc>
          <w:tcPr>
            <w:tcW w:w="528" w:type="pct"/>
            <w:vAlign w:val="center"/>
          </w:tcPr>
          <w:p w14:paraId="730C8299">
            <w:pPr>
              <w:snapToGrid w:val="0"/>
              <w:jc w:val="center"/>
              <w:rPr>
                <w:szCs w:val="21"/>
              </w:rPr>
            </w:pPr>
            <w:r>
              <w:rPr>
                <w:szCs w:val="21"/>
              </w:rPr>
              <w:t>1000万只</w:t>
            </w:r>
          </w:p>
        </w:tc>
        <w:tc>
          <w:tcPr>
            <w:tcW w:w="516" w:type="pct"/>
            <w:vAlign w:val="center"/>
          </w:tcPr>
          <w:p w14:paraId="12F1E428">
            <w:pPr>
              <w:snapToGrid w:val="0"/>
              <w:jc w:val="center"/>
              <w:rPr>
                <w:szCs w:val="21"/>
              </w:rPr>
            </w:pPr>
            <w:r>
              <w:rPr>
                <w:szCs w:val="21"/>
              </w:rPr>
              <w:t>+1000万只</w:t>
            </w:r>
          </w:p>
        </w:tc>
        <w:tc>
          <w:tcPr>
            <w:tcW w:w="816" w:type="pct"/>
            <w:vAlign w:val="center"/>
          </w:tcPr>
          <w:p w14:paraId="3CD4857C">
            <w:pPr>
              <w:snapToGrid w:val="0"/>
              <w:jc w:val="center"/>
              <w:rPr>
                <w:szCs w:val="21"/>
              </w:rPr>
            </w:pPr>
            <w:r>
              <w:rPr>
                <w:szCs w:val="21"/>
              </w:rPr>
              <w:t>100万只，车间堆放</w:t>
            </w:r>
          </w:p>
        </w:tc>
        <w:tc>
          <w:tcPr>
            <w:tcW w:w="382" w:type="pct"/>
            <w:vAlign w:val="center"/>
          </w:tcPr>
          <w:p w14:paraId="4FBE0C4A">
            <w:pPr>
              <w:snapToGrid w:val="0"/>
              <w:jc w:val="center"/>
              <w:rPr>
                <w:szCs w:val="21"/>
              </w:rPr>
            </w:pPr>
            <w:r>
              <w:rPr>
                <w:szCs w:val="21"/>
              </w:rPr>
              <w:t>国内汽车</w:t>
            </w:r>
          </w:p>
        </w:tc>
      </w:tr>
      <w:tr w14:paraId="6AF2BB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9AB53EF">
            <w:pPr>
              <w:spacing w:line="320" w:lineRule="exact"/>
              <w:jc w:val="center"/>
              <w:rPr>
                <w:szCs w:val="21"/>
                <w:lang w:val="pt-BR"/>
              </w:rPr>
            </w:pPr>
          </w:p>
        </w:tc>
        <w:tc>
          <w:tcPr>
            <w:tcW w:w="649" w:type="pct"/>
            <w:vAlign w:val="center"/>
          </w:tcPr>
          <w:p w14:paraId="6EA55B53">
            <w:pPr>
              <w:widowControl/>
              <w:snapToGrid w:val="0"/>
              <w:jc w:val="center"/>
              <w:rPr>
                <w:rFonts w:hint="default" w:eastAsia="宋体"/>
                <w:szCs w:val="21"/>
                <w:highlight w:val="black"/>
                <w:lang w:val="en-US" w:eastAsia="zh-CN"/>
              </w:rPr>
            </w:pPr>
            <w:r>
              <w:rPr>
                <w:rFonts w:hint="eastAsia"/>
                <w:szCs w:val="21"/>
                <w:highlight w:val="black"/>
                <w:lang w:val="en-US" w:eastAsia="zh-CN"/>
              </w:rPr>
              <w:t xml:space="preserve">      </w:t>
            </w:r>
          </w:p>
        </w:tc>
        <w:tc>
          <w:tcPr>
            <w:tcW w:w="1210" w:type="pct"/>
            <w:vAlign w:val="center"/>
          </w:tcPr>
          <w:p w14:paraId="68446AE6">
            <w:pPr>
              <w:snapToGrid w:val="0"/>
              <w:jc w:val="center"/>
              <w:rPr>
                <w:rFonts w:hint="default" w:eastAsia="宋体"/>
                <w:kern w:val="0"/>
                <w:szCs w:val="21"/>
                <w:highlight w:val="black"/>
                <w:lang w:val="en-US" w:eastAsia="zh-CN"/>
              </w:rPr>
            </w:pPr>
            <w:r>
              <w:rPr>
                <w:rFonts w:hint="eastAsia"/>
                <w:kern w:val="0"/>
                <w:szCs w:val="21"/>
                <w:highlight w:val="black"/>
                <w:lang w:val="en-US" w:eastAsia="zh-CN"/>
              </w:rPr>
              <w:t xml:space="preserve">      </w:t>
            </w:r>
          </w:p>
        </w:tc>
        <w:tc>
          <w:tcPr>
            <w:tcW w:w="528" w:type="pct"/>
            <w:vAlign w:val="center"/>
          </w:tcPr>
          <w:p w14:paraId="0F9BAFCD">
            <w:pPr>
              <w:snapToGrid w:val="0"/>
              <w:jc w:val="center"/>
              <w:rPr>
                <w:szCs w:val="21"/>
              </w:rPr>
            </w:pPr>
            <w:r>
              <w:rPr>
                <w:szCs w:val="21"/>
              </w:rPr>
              <w:t>0</w:t>
            </w:r>
          </w:p>
        </w:tc>
        <w:tc>
          <w:tcPr>
            <w:tcW w:w="528" w:type="pct"/>
            <w:vAlign w:val="center"/>
          </w:tcPr>
          <w:p w14:paraId="3F31AF08">
            <w:pPr>
              <w:snapToGrid w:val="0"/>
              <w:jc w:val="center"/>
              <w:rPr>
                <w:szCs w:val="21"/>
              </w:rPr>
            </w:pPr>
            <w:r>
              <w:rPr>
                <w:szCs w:val="21"/>
              </w:rPr>
              <w:t>0.24</w:t>
            </w:r>
          </w:p>
        </w:tc>
        <w:tc>
          <w:tcPr>
            <w:tcW w:w="516" w:type="pct"/>
            <w:vAlign w:val="center"/>
          </w:tcPr>
          <w:p w14:paraId="66C5B0A7">
            <w:pPr>
              <w:snapToGrid w:val="0"/>
              <w:jc w:val="center"/>
              <w:rPr>
                <w:szCs w:val="21"/>
              </w:rPr>
            </w:pPr>
            <w:r>
              <w:rPr>
                <w:szCs w:val="21"/>
              </w:rPr>
              <w:t>+0.24</w:t>
            </w:r>
          </w:p>
        </w:tc>
        <w:tc>
          <w:tcPr>
            <w:tcW w:w="816" w:type="pct"/>
            <w:vAlign w:val="center"/>
          </w:tcPr>
          <w:p w14:paraId="2DE6B722">
            <w:pPr>
              <w:snapToGrid w:val="0"/>
              <w:jc w:val="center"/>
              <w:rPr>
                <w:szCs w:val="21"/>
              </w:rPr>
            </w:pPr>
            <w:r>
              <w:rPr>
                <w:szCs w:val="21"/>
              </w:rPr>
              <w:t>0.2，</w:t>
            </w:r>
            <w:r>
              <w:t>20kg/箱</w:t>
            </w:r>
          </w:p>
        </w:tc>
        <w:tc>
          <w:tcPr>
            <w:tcW w:w="382" w:type="pct"/>
            <w:vAlign w:val="center"/>
          </w:tcPr>
          <w:p w14:paraId="79BEA938">
            <w:pPr>
              <w:snapToGrid w:val="0"/>
              <w:jc w:val="center"/>
              <w:rPr>
                <w:szCs w:val="21"/>
              </w:rPr>
            </w:pPr>
            <w:r>
              <w:rPr>
                <w:szCs w:val="21"/>
              </w:rPr>
              <w:t>国内汽车</w:t>
            </w:r>
          </w:p>
        </w:tc>
      </w:tr>
      <w:tr w14:paraId="45956F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1FCA52D7">
            <w:pPr>
              <w:spacing w:line="320" w:lineRule="exact"/>
              <w:jc w:val="center"/>
              <w:rPr>
                <w:szCs w:val="21"/>
                <w:lang w:val="pt-BR"/>
              </w:rPr>
            </w:pPr>
          </w:p>
        </w:tc>
        <w:tc>
          <w:tcPr>
            <w:tcW w:w="649" w:type="pct"/>
            <w:vAlign w:val="center"/>
          </w:tcPr>
          <w:p w14:paraId="3016B499">
            <w:pPr>
              <w:widowControl/>
              <w:snapToGrid w:val="0"/>
              <w:jc w:val="center"/>
              <w:rPr>
                <w:rFonts w:hint="default" w:eastAsia="宋体"/>
                <w:szCs w:val="21"/>
                <w:highlight w:val="black"/>
                <w:lang w:val="en-US" w:eastAsia="zh-CN"/>
              </w:rPr>
            </w:pPr>
            <w:r>
              <w:rPr>
                <w:rFonts w:hint="eastAsia"/>
                <w:szCs w:val="21"/>
                <w:highlight w:val="black"/>
                <w:lang w:val="en-US" w:eastAsia="zh-CN"/>
              </w:rPr>
              <w:t xml:space="preserve">   </w:t>
            </w:r>
          </w:p>
        </w:tc>
        <w:tc>
          <w:tcPr>
            <w:tcW w:w="1210" w:type="pct"/>
            <w:vAlign w:val="center"/>
          </w:tcPr>
          <w:p w14:paraId="4A3AF4D9">
            <w:pPr>
              <w:snapToGrid w:val="0"/>
              <w:jc w:val="both"/>
              <w:rPr>
                <w:rFonts w:hint="default" w:eastAsia="宋体"/>
                <w:szCs w:val="21"/>
                <w:highlight w:val="black"/>
                <w:lang w:val="en-US" w:eastAsia="zh-CN"/>
              </w:rPr>
            </w:pPr>
            <w:r>
              <w:rPr>
                <w:rFonts w:hint="eastAsia"/>
                <w:szCs w:val="21"/>
                <w:highlight w:val="black"/>
                <w:lang w:val="en-US" w:eastAsia="zh-CN"/>
              </w:rPr>
              <w:t xml:space="preserve">                        </w:t>
            </w:r>
          </w:p>
        </w:tc>
        <w:tc>
          <w:tcPr>
            <w:tcW w:w="528" w:type="pct"/>
            <w:vAlign w:val="center"/>
          </w:tcPr>
          <w:p w14:paraId="55D0C800">
            <w:pPr>
              <w:snapToGrid w:val="0"/>
              <w:jc w:val="center"/>
              <w:rPr>
                <w:szCs w:val="21"/>
                <w:highlight w:val="none"/>
              </w:rPr>
            </w:pPr>
            <w:r>
              <w:rPr>
                <w:szCs w:val="21"/>
                <w:highlight w:val="none"/>
              </w:rPr>
              <w:t>0</w:t>
            </w:r>
          </w:p>
        </w:tc>
        <w:tc>
          <w:tcPr>
            <w:tcW w:w="528" w:type="pct"/>
            <w:vAlign w:val="center"/>
          </w:tcPr>
          <w:p w14:paraId="31B094AE">
            <w:pPr>
              <w:snapToGrid w:val="0"/>
              <w:jc w:val="center"/>
              <w:rPr>
                <w:szCs w:val="21"/>
              </w:rPr>
            </w:pPr>
            <w:r>
              <w:rPr>
                <w:szCs w:val="21"/>
              </w:rPr>
              <w:t>1</w:t>
            </w:r>
          </w:p>
        </w:tc>
        <w:tc>
          <w:tcPr>
            <w:tcW w:w="516" w:type="pct"/>
            <w:vAlign w:val="center"/>
          </w:tcPr>
          <w:p w14:paraId="627C5978">
            <w:pPr>
              <w:snapToGrid w:val="0"/>
              <w:jc w:val="center"/>
              <w:rPr>
                <w:szCs w:val="21"/>
              </w:rPr>
            </w:pPr>
            <w:r>
              <w:rPr>
                <w:szCs w:val="21"/>
              </w:rPr>
              <w:t>+1</w:t>
            </w:r>
          </w:p>
        </w:tc>
        <w:tc>
          <w:tcPr>
            <w:tcW w:w="816" w:type="pct"/>
            <w:vAlign w:val="center"/>
          </w:tcPr>
          <w:p w14:paraId="0D465932">
            <w:pPr>
              <w:snapToGrid w:val="0"/>
              <w:jc w:val="center"/>
              <w:rPr>
                <w:szCs w:val="21"/>
              </w:rPr>
            </w:pPr>
            <w:r>
              <w:rPr>
                <w:szCs w:val="21"/>
              </w:rPr>
              <w:t>0.3，</w:t>
            </w:r>
            <w:r>
              <w:t>25kg/桶</w:t>
            </w:r>
          </w:p>
        </w:tc>
        <w:tc>
          <w:tcPr>
            <w:tcW w:w="382" w:type="pct"/>
            <w:vAlign w:val="center"/>
          </w:tcPr>
          <w:p w14:paraId="1F7C8441">
            <w:pPr>
              <w:snapToGrid w:val="0"/>
              <w:jc w:val="center"/>
              <w:rPr>
                <w:szCs w:val="21"/>
              </w:rPr>
            </w:pPr>
            <w:r>
              <w:rPr>
                <w:szCs w:val="21"/>
              </w:rPr>
              <w:t>国内汽车</w:t>
            </w:r>
          </w:p>
        </w:tc>
      </w:tr>
      <w:tr w14:paraId="62FBD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4E2A6236">
            <w:pPr>
              <w:spacing w:line="320" w:lineRule="exact"/>
              <w:jc w:val="center"/>
              <w:rPr>
                <w:szCs w:val="21"/>
                <w:lang w:val="pt-BR"/>
              </w:rPr>
            </w:pPr>
          </w:p>
        </w:tc>
        <w:tc>
          <w:tcPr>
            <w:tcW w:w="649" w:type="pct"/>
            <w:vAlign w:val="center"/>
          </w:tcPr>
          <w:p w14:paraId="33265D73">
            <w:pPr>
              <w:widowControl/>
              <w:snapToGrid w:val="0"/>
              <w:jc w:val="center"/>
              <w:rPr>
                <w:szCs w:val="21"/>
              </w:rPr>
            </w:pPr>
            <w:r>
              <w:rPr>
                <w:szCs w:val="21"/>
              </w:rPr>
              <w:t>脱脂剂</w:t>
            </w:r>
          </w:p>
        </w:tc>
        <w:tc>
          <w:tcPr>
            <w:tcW w:w="1210" w:type="pct"/>
            <w:vAlign w:val="center"/>
          </w:tcPr>
          <w:p w14:paraId="274B57B4">
            <w:pPr>
              <w:snapToGrid w:val="0"/>
              <w:jc w:val="center"/>
              <w:rPr>
                <w:szCs w:val="21"/>
              </w:rPr>
            </w:pPr>
            <w:r>
              <w:rPr>
                <w:szCs w:val="21"/>
              </w:rPr>
              <w:t>碱类物质（碳酸钠）35%、氢氧化钠10%、硅酸盐（硅酸钠）30%、表面活性剂（烷基芳基聚醚醇）25%</w:t>
            </w:r>
          </w:p>
        </w:tc>
        <w:tc>
          <w:tcPr>
            <w:tcW w:w="528" w:type="pct"/>
            <w:vAlign w:val="center"/>
          </w:tcPr>
          <w:p w14:paraId="5381F17B">
            <w:pPr>
              <w:snapToGrid w:val="0"/>
              <w:jc w:val="center"/>
              <w:rPr>
                <w:szCs w:val="21"/>
              </w:rPr>
            </w:pPr>
            <w:r>
              <w:rPr>
                <w:szCs w:val="21"/>
              </w:rPr>
              <w:t>0</w:t>
            </w:r>
          </w:p>
        </w:tc>
        <w:tc>
          <w:tcPr>
            <w:tcW w:w="528" w:type="pct"/>
            <w:vAlign w:val="center"/>
          </w:tcPr>
          <w:p w14:paraId="75C0EBBE">
            <w:pPr>
              <w:snapToGrid w:val="0"/>
              <w:jc w:val="center"/>
              <w:rPr>
                <w:szCs w:val="21"/>
              </w:rPr>
            </w:pPr>
            <w:r>
              <w:rPr>
                <w:szCs w:val="21"/>
              </w:rPr>
              <w:t>1.5</w:t>
            </w:r>
          </w:p>
        </w:tc>
        <w:tc>
          <w:tcPr>
            <w:tcW w:w="516" w:type="pct"/>
            <w:vAlign w:val="center"/>
          </w:tcPr>
          <w:p w14:paraId="1B574CB2">
            <w:pPr>
              <w:snapToGrid w:val="0"/>
              <w:jc w:val="center"/>
              <w:rPr>
                <w:szCs w:val="21"/>
              </w:rPr>
            </w:pPr>
            <w:r>
              <w:rPr>
                <w:szCs w:val="21"/>
              </w:rPr>
              <w:t>+1.5</w:t>
            </w:r>
          </w:p>
        </w:tc>
        <w:tc>
          <w:tcPr>
            <w:tcW w:w="816" w:type="pct"/>
            <w:vAlign w:val="center"/>
          </w:tcPr>
          <w:p w14:paraId="03F5FB89">
            <w:pPr>
              <w:snapToGrid w:val="0"/>
              <w:jc w:val="center"/>
              <w:rPr>
                <w:szCs w:val="21"/>
              </w:rPr>
            </w:pPr>
            <w:r>
              <w:rPr>
                <w:szCs w:val="21"/>
              </w:rPr>
              <w:t>0.2，</w:t>
            </w:r>
            <w:r>
              <w:t>20kg/箱</w:t>
            </w:r>
          </w:p>
        </w:tc>
        <w:tc>
          <w:tcPr>
            <w:tcW w:w="382" w:type="pct"/>
            <w:vAlign w:val="center"/>
          </w:tcPr>
          <w:p w14:paraId="20DDA1B9">
            <w:pPr>
              <w:snapToGrid w:val="0"/>
              <w:jc w:val="center"/>
              <w:rPr>
                <w:szCs w:val="21"/>
              </w:rPr>
            </w:pPr>
            <w:r>
              <w:rPr>
                <w:szCs w:val="21"/>
              </w:rPr>
              <w:t>国内汽车</w:t>
            </w:r>
          </w:p>
        </w:tc>
      </w:tr>
      <w:tr w14:paraId="112EB1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4F2480EC">
            <w:pPr>
              <w:spacing w:line="320" w:lineRule="exact"/>
              <w:jc w:val="center"/>
              <w:rPr>
                <w:szCs w:val="21"/>
                <w:lang w:val="pt-BR"/>
              </w:rPr>
            </w:pPr>
          </w:p>
        </w:tc>
        <w:tc>
          <w:tcPr>
            <w:tcW w:w="649" w:type="pct"/>
            <w:vAlign w:val="center"/>
          </w:tcPr>
          <w:p w14:paraId="6B574969">
            <w:pPr>
              <w:widowControl/>
              <w:snapToGrid w:val="0"/>
              <w:jc w:val="center"/>
              <w:rPr>
                <w:szCs w:val="21"/>
              </w:rPr>
            </w:pPr>
            <w:bookmarkStart w:id="52" w:name="OLE_LINK100"/>
            <w:bookmarkStart w:id="53" w:name="OLE_LINK99"/>
            <w:r>
              <w:rPr>
                <w:szCs w:val="21"/>
              </w:rPr>
              <w:t>胶粘剂</w:t>
            </w:r>
            <w:bookmarkEnd w:id="52"/>
            <w:bookmarkEnd w:id="53"/>
          </w:p>
        </w:tc>
        <w:tc>
          <w:tcPr>
            <w:tcW w:w="1210" w:type="pct"/>
            <w:vAlign w:val="center"/>
          </w:tcPr>
          <w:p w14:paraId="7163F676">
            <w:pPr>
              <w:snapToGrid w:val="0"/>
              <w:jc w:val="center"/>
              <w:rPr>
                <w:szCs w:val="21"/>
              </w:rPr>
            </w:pPr>
            <w:r>
              <w:rPr>
                <w:rFonts w:hint="eastAsia"/>
                <w:szCs w:val="21"/>
              </w:rPr>
              <w:t>聚酰亚胺20%、锌化合物10%、炭黑5%，其余为水</w:t>
            </w:r>
          </w:p>
        </w:tc>
        <w:tc>
          <w:tcPr>
            <w:tcW w:w="528" w:type="pct"/>
            <w:vAlign w:val="center"/>
          </w:tcPr>
          <w:p w14:paraId="2858F01E">
            <w:pPr>
              <w:snapToGrid w:val="0"/>
              <w:jc w:val="center"/>
              <w:rPr>
                <w:szCs w:val="21"/>
              </w:rPr>
            </w:pPr>
            <w:r>
              <w:rPr>
                <w:szCs w:val="21"/>
              </w:rPr>
              <w:t>0</w:t>
            </w:r>
          </w:p>
        </w:tc>
        <w:tc>
          <w:tcPr>
            <w:tcW w:w="528" w:type="pct"/>
            <w:vAlign w:val="center"/>
          </w:tcPr>
          <w:p w14:paraId="0D69D20C">
            <w:pPr>
              <w:snapToGrid w:val="0"/>
              <w:jc w:val="center"/>
              <w:rPr>
                <w:szCs w:val="21"/>
              </w:rPr>
            </w:pPr>
            <w:r>
              <w:rPr>
                <w:rFonts w:hint="eastAsia"/>
                <w:szCs w:val="21"/>
              </w:rPr>
              <w:t>2</w:t>
            </w:r>
          </w:p>
        </w:tc>
        <w:tc>
          <w:tcPr>
            <w:tcW w:w="516" w:type="pct"/>
            <w:vAlign w:val="center"/>
          </w:tcPr>
          <w:p w14:paraId="7B76AC6F">
            <w:pPr>
              <w:snapToGrid w:val="0"/>
              <w:jc w:val="center"/>
              <w:rPr>
                <w:szCs w:val="21"/>
              </w:rPr>
            </w:pPr>
            <w:r>
              <w:rPr>
                <w:szCs w:val="21"/>
              </w:rPr>
              <w:t>+</w:t>
            </w:r>
            <w:r>
              <w:rPr>
                <w:rFonts w:hint="eastAsia"/>
                <w:szCs w:val="21"/>
              </w:rPr>
              <w:t>2</w:t>
            </w:r>
          </w:p>
        </w:tc>
        <w:tc>
          <w:tcPr>
            <w:tcW w:w="816" w:type="pct"/>
            <w:vAlign w:val="center"/>
          </w:tcPr>
          <w:p w14:paraId="18941E3C">
            <w:pPr>
              <w:snapToGrid w:val="0"/>
              <w:jc w:val="center"/>
              <w:rPr>
                <w:szCs w:val="21"/>
              </w:rPr>
            </w:pPr>
            <w:r>
              <w:rPr>
                <w:szCs w:val="21"/>
              </w:rPr>
              <w:t>0.2，</w:t>
            </w:r>
            <w:r>
              <w:t>25kg/桶</w:t>
            </w:r>
          </w:p>
        </w:tc>
        <w:tc>
          <w:tcPr>
            <w:tcW w:w="382" w:type="pct"/>
            <w:vAlign w:val="center"/>
          </w:tcPr>
          <w:p w14:paraId="012D8D69">
            <w:pPr>
              <w:snapToGrid w:val="0"/>
              <w:jc w:val="center"/>
              <w:rPr>
                <w:szCs w:val="21"/>
              </w:rPr>
            </w:pPr>
            <w:r>
              <w:rPr>
                <w:szCs w:val="21"/>
              </w:rPr>
              <w:t>国内汽车</w:t>
            </w:r>
          </w:p>
        </w:tc>
      </w:tr>
      <w:tr w14:paraId="318B4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60E9A31D">
            <w:pPr>
              <w:spacing w:line="320" w:lineRule="exact"/>
              <w:jc w:val="center"/>
              <w:rPr>
                <w:szCs w:val="21"/>
                <w:lang w:val="pt-BR"/>
              </w:rPr>
            </w:pPr>
          </w:p>
        </w:tc>
        <w:tc>
          <w:tcPr>
            <w:tcW w:w="649" w:type="pct"/>
            <w:vAlign w:val="center"/>
          </w:tcPr>
          <w:p w14:paraId="70E4AE08">
            <w:pPr>
              <w:widowControl/>
              <w:snapToGrid w:val="0"/>
              <w:jc w:val="center"/>
              <w:rPr>
                <w:szCs w:val="21"/>
              </w:rPr>
            </w:pPr>
            <w:r>
              <w:rPr>
                <w:szCs w:val="21"/>
              </w:rPr>
              <w:t>抛丸铁砂</w:t>
            </w:r>
          </w:p>
        </w:tc>
        <w:tc>
          <w:tcPr>
            <w:tcW w:w="1210" w:type="pct"/>
            <w:vAlign w:val="center"/>
          </w:tcPr>
          <w:p w14:paraId="4BAD0A55">
            <w:pPr>
              <w:snapToGrid w:val="0"/>
              <w:jc w:val="center"/>
              <w:rPr>
                <w:szCs w:val="21"/>
              </w:rPr>
            </w:pPr>
            <w:r>
              <w:rPr>
                <w:szCs w:val="21"/>
              </w:rPr>
              <w:t>--</w:t>
            </w:r>
          </w:p>
        </w:tc>
        <w:tc>
          <w:tcPr>
            <w:tcW w:w="528" w:type="pct"/>
            <w:vAlign w:val="center"/>
          </w:tcPr>
          <w:p w14:paraId="70ABAEE8">
            <w:pPr>
              <w:snapToGrid w:val="0"/>
              <w:jc w:val="center"/>
              <w:rPr>
                <w:szCs w:val="21"/>
              </w:rPr>
            </w:pPr>
            <w:r>
              <w:rPr>
                <w:szCs w:val="21"/>
              </w:rPr>
              <w:t>0</w:t>
            </w:r>
          </w:p>
        </w:tc>
        <w:tc>
          <w:tcPr>
            <w:tcW w:w="528" w:type="pct"/>
            <w:vAlign w:val="center"/>
          </w:tcPr>
          <w:p w14:paraId="488434F8">
            <w:pPr>
              <w:snapToGrid w:val="0"/>
              <w:jc w:val="center"/>
              <w:rPr>
                <w:szCs w:val="21"/>
              </w:rPr>
            </w:pPr>
            <w:r>
              <w:rPr>
                <w:szCs w:val="21"/>
              </w:rPr>
              <w:t>1</w:t>
            </w:r>
          </w:p>
        </w:tc>
        <w:tc>
          <w:tcPr>
            <w:tcW w:w="516" w:type="pct"/>
            <w:vAlign w:val="center"/>
          </w:tcPr>
          <w:p w14:paraId="2763B374">
            <w:pPr>
              <w:spacing w:line="320" w:lineRule="exact"/>
              <w:jc w:val="center"/>
              <w:rPr>
                <w:szCs w:val="21"/>
              </w:rPr>
            </w:pPr>
            <w:r>
              <w:rPr>
                <w:szCs w:val="21"/>
              </w:rPr>
              <w:t>+1</w:t>
            </w:r>
          </w:p>
        </w:tc>
        <w:tc>
          <w:tcPr>
            <w:tcW w:w="816" w:type="pct"/>
            <w:vAlign w:val="center"/>
          </w:tcPr>
          <w:p w14:paraId="5398E3A1">
            <w:pPr>
              <w:snapToGrid w:val="0"/>
              <w:jc w:val="center"/>
              <w:rPr>
                <w:kern w:val="0"/>
                <w:szCs w:val="21"/>
              </w:rPr>
            </w:pPr>
            <w:r>
              <w:rPr>
                <w:szCs w:val="21"/>
              </w:rPr>
              <w:t>0.3，车间堆放</w:t>
            </w:r>
          </w:p>
        </w:tc>
        <w:tc>
          <w:tcPr>
            <w:tcW w:w="382" w:type="pct"/>
            <w:vAlign w:val="center"/>
          </w:tcPr>
          <w:p w14:paraId="569A65EF">
            <w:pPr>
              <w:snapToGrid w:val="0"/>
              <w:jc w:val="center"/>
              <w:rPr>
                <w:szCs w:val="21"/>
              </w:rPr>
            </w:pPr>
            <w:r>
              <w:rPr>
                <w:szCs w:val="21"/>
              </w:rPr>
              <w:t>国内汽车</w:t>
            </w:r>
          </w:p>
        </w:tc>
      </w:tr>
      <w:tr w14:paraId="610E08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restart"/>
            <w:vAlign w:val="center"/>
          </w:tcPr>
          <w:p w14:paraId="3F7EAE41">
            <w:pPr>
              <w:spacing w:line="320" w:lineRule="exact"/>
              <w:jc w:val="center"/>
              <w:rPr>
                <w:szCs w:val="21"/>
              </w:rPr>
            </w:pPr>
            <w:r>
              <w:rPr>
                <w:szCs w:val="21"/>
              </w:rPr>
              <w:t>辅料</w:t>
            </w:r>
          </w:p>
        </w:tc>
        <w:tc>
          <w:tcPr>
            <w:tcW w:w="649" w:type="pct"/>
            <w:vAlign w:val="center"/>
          </w:tcPr>
          <w:p w14:paraId="4ACD2111">
            <w:pPr>
              <w:widowControl/>
              <w:snapToGrid w:val="0"/>
              <w:jc w:val="center"/>
              <w:rPr>
                <w:szCs w:val="21"/>
              </w:rPr>
            </w:pPr>
            <w:r>
              <w:rPr>
                <w:szCs w:val="21"/>
              </w:rPr>
              <w:t>模具清洗剂</w:t>
            </w:r>
          </w:p>
        </w:tc>
        <w:tc>
          <w:tcPr>
            <w:tcW w:w="1210" w:type="pct"/>
            <w:vAlign w:val="center"/>
          </w:tcPr>
          <w:p w14:paraId="6CCE1EC6">
            <w:pPr>
              <w:snapToGrid w:val="0"/>
              <w:jc w:val="center"/>
              <w:rPr>
                <w:szCs w:val="21"/>
              </w:rPr>
            </w:pPr>
            <w:r>
              <w:rPr>
                <w:szCs w:val="21"/>
              </w:rPr>
              <w:t>氢氧化钠10%、苛性钾1%、特殊界面活性剂（聚醚多元醇）68%、附着促进剂（乙二胺四乙酸）8%、水5%</w:t>
            </w:r>
          </w:p>
        </w:tc>
        <w:tc>
          <w:tcPr>
            <w:tcW w:w="528" w:type="pct"/>
            <w:vAlign w:val="center"/>
          </w:tcPr>
          <w:p w14:paraId="26CB3EC8">
            <w:pPr>
              <w:snapToGrid w:val="0"/>
              <w:jc w:val="center"/>
              <w:rPr>
                <w:szCs w:val="21"/>
              </w:rPr>
            </w:pPr>
            <w:r>
              <w:rPr>
                <w:szCs w:val="21"/>
              </w:rPr>
              <w:t>0</w:t>
            </w:r>
          </w:p>
        </w:tc>
        <w:tc>
          <w:tcPr>
            <w:tcW w:w="528" w:type="pct"/>
            <w:vAlign w:val="center"/>
          </w:tcPr>
          <w:p w14:paraId="23F225E5">
            <w:pPr>
              <w:snapToGrid w:val="0"/>
              <w:jc w:val="center"/>
              <w:rPr>
                <w:szCs w:val="21"/>
              </w:rPr>
            </w:pPr>
            <w:r>
              <w:rPr>
                <w:szCs w:val="21"/>
              </w:rPr>
              <w:t>3</w:t>
            </w:r>
          </w:p>
        </w:tc>
        <w:tc>
          <w:tcPr>
            <w:tcW w:w="516" w:type="pct"/>
            <w:vAlign w:val="center"/>
          </w:tcPr>
          <w:p w14:paraId="0C0287FD">
            <w:pPr>
              <w:spacing w:line="320" w:lineRule="exact"/>
              <w:jc w:val="center"/>
              <w:rPr>
                <w:szCs w:val="21"/>
              </w:rPr>
            </w:pPr>
            <w:r>
              <w:rPr>
                <w:szCs w:val="21"/>
              </w:rPr>
              <w:t>+3</w:t>
            </w:r>
          </w:p>
        </w:tc>
        <w:tc>
          <w:tcPr>
            <w:tcW w:w="816" w:type="pct"/>
            <w:vAlign w:val="center"/>
          </w:tcPr>
          <w:p w14:paraId="1DBA4523">
            <w:pPr>
              <w:snapToGrid w:val="0"/>
              <w:jc w:val="center"/>
              <w:rPr>
                <w:szCs w:val="21"/>
              </w:rPr>
            </w:pPr>
            <w:r>
              <w:rPr>
                <w:szCs w:val="21"/>
              </w:rPr>
              <w:t>0.2，</w:t>
            </w:r>
            <w:r>
              <w:t>25kg/桶</w:t>
            </w:r>
          </w:p>
        </w:tc>
        <w:tc>
          <w:tcPr>
            <w:tcW w:w="382" w:type="pct"/>
            <w:vAlign w:val="center"/>
          </w:tcPr>
          <w:p w14:paraId="3B68DC5B">
            <w:pPr>
              <w:snapToGrid w:val="0"/>
              <w:jc w:val="center"/>
              <w:rPr>
                <w:szCs w:val="21"/>
              </w:rPr>
            </w:pPr>
            <w:r>
              <w:rPr>
                <w:szCs w:val="21"/>
              </w:rPr>
              <w:t>国内汽车</w:t>
            </w:r>
          </w:p>
        </w:tc>
      </w:tr>
      <w:tr w14:paraId="03F60F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75A85D86">
            <w:pPr>
              <w:spacing w:line="320" w:lineRule="exact"/>
              <w:jc w:val="center"/>
              <w:rPr>
                <w:szCs w:val="21"/>
              </w:rPr>
            </w:pPr>
          </w:p>
        </w:tc>
        <w:tc>
          <w:tcPr>
            <w:tcW w:w="649" w:type="pct"/>
            <w:vAlign w:val="center"/>
          </w:tcPr>
          <w:p w14:paraId="17C58183">
            <w:pPr>
              <w:widowControl/>
              <w:snapToGrid w:val="0"/>
              <w:jc w:val="center"/>
              <w:rPr>
                <w:szCs w:val="21"/>
              </w:rPr>
            </w:pPr>
            <w:r>
              <w:rPr>
                <w:rFonts w:hint="eastAsia"/>
                <w:szCs w:val="21"/>
              </w:rPr>
              <w:t>片碱</w:t>
            </w:r>
          </w:p>
        </w:tc>
        <w:tc>
          <w:tcPr>
            <w:tcW w:w="1210" w:type="pct"/>
            <w:vAlign w:val="center"/>
          </w:tcPr>
          <w:p w14:paraId="631DB9BD">
            <w:pPr>
              <w:snapToGrid w:val="0"/>
              <w:jc w:val="center"/>
              <w:rPr>
                <w:szCs w:val="21"/>
              </w:rPr>
            </w:pPr>
            <w:r>
              <w:rPr>
                <w:szCs w:val="21"/>
              </w:rPr>
              <w:t>氢氧化钠</w:t>
            </w:r>
          </w:p>
        </w:tc>
        <w:tc>
          <w:tcPr>
            <w:tcW w:w="528" w:type="pct"/>
            <w:vAlign w:val="center"/>
          </w:tcPr>
          <w:p w14:paraId="46C13743">
            <w:pPr>
              <w:snapToGrid w:val="0"/>
              <w:jc w:val="center"/>
              <w:rPr>
                <w:szCs w:val="21"/>
              </w:rPr>
            </w:pPr>
            <w:r>
              <w:rPr>
                <w:szCs w:val="21"/>
              </w:rPr>
              <w:t>0</w:t>
            </w:r>
          </w:p>
        </w:tc>
        <w:tc>
          <w:tcPr>
            <w:tcW w:w="528" w:type="pct"/>
            <w:vAlign w:val="center"/>
          </w:tcPr>
          <w:p w14:paraId="1BA953C1">
            <w:pPr>
              <w:snapToGrid w:val="0"/>
              <w:jc w:val="center"/>
              <w:rPr>
                <w:szCs w:val="21"/>
              </w:rPr>
            </w:pPr>
            <w:r>
              <w:rPr>
                <w:szCs w:val="21"/>
              </w:rPr>
              <w:t>1.</w:t>
            </w:r>
            <w:r>
              <w:rPr>
                <w:rFonts w:hint="eastAsia"/>
                <w:szCs w:val="21"/>
              </w:rPr>
              <w:t>72</w:t>
            </w:r>
          </w:p>
        </w:tc>
        <w:tc>
          <w:tcPr>
            <w:tcW w:w="516" w:type="pct"/>
            <w:vAlign w:val="center"/>
          </w:tcPr>
          <w:p w14:paraId="232BB618">
            <w:pPr>
              <w:spacing w:line="320" w:lineRule="exact"/>
              <w:jc w:val="center"/>
              <w:rPr>
                <w:szCs w:val="21"/>
              </w:rPr>
            </w:pPr>
            <w:r>
              <w:rPr>
                <w:szCs w:val="21"/>
              </w:rPr>
              <w:t>+1.</w:t>
            </w:r>
            <w:r>
              <w:rPr>
                <w:rFonts w:hint="eastAsia"/>
                <w:szCs w:val="21"/>
              </w:rPr>
              <w:t>72</w:t>
            </w:r>
          </w:p>
        </w:tc>
        <w:tc>
          <w:tcPr>
            <w:tcW w:w="816" w:type="pct"/>
            <w:vAlign w:val="center"/>
          </w:tcPr>
          <w:p w14:paraId="53515137">
            <w:pPr>
              <w:snapToGrid w:val="0"/>
              <w:jc w:val="center"/>
              <w:rPr>
                <w:szCs w:val="21"/>
              </w:rPr>
            </w:pPr>
            <w:r>
              <w:rPr>
                <w:szCs w:val="21"/>
              </w:rPr>
              <w:t>0.2，20kg/袋</w:t>
            </w:r>
          </w:p>
        </w:tc>
        <w:tc>
          <w:tcPr>
            <w:tcW w:w="382" w:type="pct"/>
            <w:vAlign w:val="center"/>
          </w:tcPr>
          <w:p w14:paraId="2443A501">
            <w:pPr>
              <w:snapToGrid w:val="0"/>
              <w:jc w:val="center"/>
              <w:rPr>
                <w:szCs w:val="21"/>
              </w:rPr>
            </w:pPr>
            <w:r>
              <w:rPr>
                <w:szCs w:val="21"/>
              </w:rPr>
              <w:t>国内汽车</w:t>
            </w:r>
          </w:p>
        </w:tc>
      </w:tr>
      <w:tr w14:paraId="33E7E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Merge w:val="continue"/>
            <w:vAlign w:val="center"/>
          </w:tcPr>
          <w:p w14:paraId="36440F40">
            <w:pPr>
              <w:spacing w:line="320" w:lineRule="exact"/>
              <w:jc w:val="center"/>
              <w:rPr>
                <w:szCs w:val="21"/>
              </w:rPr>
            </w:pPr>
          </w:p>
        </w:tc>
        <w:tc>
          <w:tcPr>
            <w:tcW w:w="649" w:type="pct"/>
            <w:vAlign w:val="center"/>
          </w:tcPr>
          <w:p w14:paraId="2924AC17">
            <w:pPr>
              <w:widowControl/>
              <w:adjustRightInd w:val="0"/>
              <w:snapToGrid w:val="0"/>
              <w:jc w:val="center"/>
              <w:textAlignment w:val="center"/>
              <w:rPr>
                <w:szCs w:val="21"/>
              </w:rPr>
            </w:pPr>
            <w:r>
              <w:rPr>
                <w:szCs w:val="21"/>
              </w:rPr>
              <w:t>切削液</w:t>
            </w:r>
          </w:p>
        </w:tc>
        <w:tc>
          <w:tcPr>
            <w:tcW w:w="1210" w:type="pct"/>
            <w:vAlign w:val="center"/>
          </w:tcPr>
          <w:p w14:paraId="57A80DB2">
            <w:pPr>
              <w:adjustRightInd w:val="0"/>
              <w:snapToGrid w:val="0"/>
              <w:jc w:val="center"/>
              <w:rPr>
                <w:szCs w:val="21"/>
              </w:rPr>
            </w:pPr>
            <w:r>
              <w:t>基础油60-80%、表面活性剂10-20%、防锈剂0-5%、合成添加剂3%</w:t>
            </w:r>
          </w:p>
        </w:tc>
        <w:tc>
          <w:tcPr>
            <w:tcW w:w="528" w:type="pct"/>
            <w:vAlign w:val="center"/>
          </w:tcPr>
          <w:p w14:paraId="6B0FEB15">
            <w:pPr>
              <w:adjustRightInd w:val="0"/>
              <w:snapToGrid w:val="0"/>
              <w:jc w:val="center"/>
              <w:rPr>
                <w:szCs w:val="21"/>
              </w:rPr>
            </w:pPr>
            <w:r>
              <w:rPr>
                <w:szCs w:val="21"/>
              </w:rPr>
              <w:t>0</w:t>
            </w:r>
          </w:p>
        </w:tc>
        <w:tc>
          <w:tcPr>
            <w:tcW w:w="528" w:type="pct"/>
            <w:vAlign w:val="center"/>
          </w:tcPr>
          <w:p w14:paraId="7B4AF67D">
            <w:pPr>
              <w:adjustRightInd w:val="0"/>
              <w:snapToGrid w:val="0"/>
              <w:jc w:val="center"/>
              <w:rPr>
                <w:szCs w:val="21"/>
              </w:rPr>
            </w:pPr>
            <w:r>
              <w:t>0.34</w:t>
            </w:r>
          </w:p>
        </w:tc>
        <w:tc>
          <w:tcPr>
            <w:tcW w:w="516" w:type="pct"/>
            <w:vAlign w:val="center"/>
          </w:tcPr>
          <w:p w14:paraId="21AEE1C1">
            <w:pPr>
              <w:pStyle w:val="76"/>
              <w:adjustRightInd w:val="0"/>
              <w:snapToGrid w:val="0"/>
              <w:rPr>
                <w:rFonts w:eastAsia="宋体"/>
              </w:rPr>
            </w:pPr>
            <w:r>
              <w:rPr>
                <w:rFonts w:eastAsia="宋体"/>
              </w:rPr>
              <w:t>+0.34</w:t>
            </w:r>
          </w:p>
        </w:tc>
        <w:tc>
          <w:tcPr>
            <w:tcW w:w="816" w:type="pct"/>
            <w:vAlign w:val="center"/>
          </w:tcPr>
          <w:p w14:paraId="15BE4968">
            <w:pPr>
              <w:pStyle w:val="76"/>
              <w:adjustRightInd w:val="0"/>
              <w:snapToGrid w:val="0"/>
              <w:rPr>
                <w:rFonts w:eastAsia="宋体"/>
              </w:rPr>
            </w:pPr>
            <w:r>
              <w:rPr>
                <w:rFonts w:eastAsia="宋体"/>
              </w:rPr>
              <w:t>0.17，170kg/桶</w:t>
            </w:r>
          </w:p>
        </w:tc>
        <w:tc>
          <w:tcPr>
            <w:tcW w:w="382" w:type="pct"/>
            <w:vAlign w:val="center"/>
          </w:tcPr>
          <w:p w14:paraId="2ECD4AB4">
            <w:pPr>
              <w:pStyle w:val="76"/>
              <w:adjustRightInd w:val="0"/>
              <w:snapToGrid w:val="0"/>
              <w:rPr>
                <w:rFonts w:eastAsia="宋体"/>
              </w:rPr>
            </w:pPr>
            <w:r>
              <w:rPr>
                <w:rFonts w:eastAsia="宋体"/>
              </w:rPr>
              <w:t>国内汽车</w:t>
            </w:r>
          </w:p>
        </w:tc>
      </w:tr>
      <w:tr w14:paraId="0CC0C9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DAE7E50">
            <w:pPr>
              <w:adjustRightInd w:val="0"/>
              <w:snapToGrid w:val="0"/>
              <w:rPr>
                <w:b/>
                <w:bCs/>
                <w:szCs w:val="21"/>
              </w:rPr>
            </w:pPr>
            <w:r>
              <w:rPr>
                <w:b/>
                <w:bCs/>
                <w:szCs w:val="21"/>
              </w:rPr>
              <w:t>备注*：</w:t>
            </w:r>
          </w:p>
          <w:p w14:paraId="30DFD03D">
            <w:pPr>
              <w:adjustRightInd w:val="0"/>
              <w:snapToGrid w:val="0"/>
              <w:ind w:firstLine="422" w:firstLineChars="200"/>
            </w:pPr>
            <w:r>
              <w:rPr>
                <w:b/>
                <w:bCs/>
                <w:szCs w:val="21"/>
              </w:rPr>
              <w:t>①水性</w:t>
            </w:r>
            <w:r>
              <w:rPr>
                <w:b/>
                <w:bCs/>
              </w:rPr>
              <w:t>胶黏剂使用合规性分析：</w:t>
            </w:r>
          </w:p>
          <w:p w14:paraId="64F7735F">
            <w:pPr>
              <w:pStyle w:val="76"/>
              <w:adjustRightInd w:val="0"/>
              <w:snapToGrid w:val="0"/>
              <w:ind w:firstLine="420" w:firstLineChars="200"/>
              <w:jc w:val="left"/>
              <w:rPr>
                <w:rFonts w:eastAsia="宋体"/>
                <w:bCs/>
                <w:kern w:val="0"/>
              </w:rPr>
            </w:pPr>
            <w:r>
              <w:rPr>
                <w:rFonts w:eastAsia="宋体"/>
              </w:rPr>
              <w:t>根据厂家提供的VOC检测报告</w:t>
            </w:r>
            <w:r>
              <w:rPr>
                <w:rFonts w:hint="eastAsia" w:eastAsia="宋体"/>
              </w:rPr>
              <w:t>（A2250505511101001C）</w:t>
            </w:r>
            <w:r>
              <w:rPr>
                <w:rFonts w:eastAsia="宋体"/>
              </w:rPr>
              <w:t>，</w:t>
            </w:r>
            <w:r>
              <w:rPr>
                <w:rFonts w:hint="eastAsia" w:eastAsia="宋体"/>
              </w:rPr>
              <w:t>胶粘</w:t>
            </w:r>
            <w:r>
              <w:rPr>
                <w:rFonts w:eastAsia="宋体"/>
              </w:rPr>
              <w:t>剂中VOC含量为</w:t>
            </w:r>
            <w:r>
              <w:rPr>
                <w:rFonts w:hint="eastAsia" w:eastAsia="宋体"/>
              </w:rPr>
              <w:t>ND（未检出）</w:t>
            </w:r>
            <w:r>
              <w:rPr>
                <w:rFonts w:eastAsia="宋体"/>
              </w:rPr>
              <w:t>，能够满足《胶粘剂挥发性有机化合物限量》（GB33372-2020）中要求限值，即水基型胶粘剂VOC含量≤</w:t>
            </w:r>
            <w:r>
              <w:rPr>
                <w:rFonts w:hint="eastAsia" w:eastAsia="宋体"/>
              </w:rPr>
              <w:t>50</w:t>
            </w:r>
            <w:r>
              <w:rPr>
                <w:rFonts w:eastAsia="宋体"/>
              </w:rPr>
              <w:t>g/L。</w:t>
            </w:r>
          </w:p>
          <w:p w14:paraId="49F8C3A4">
            <w:pPr>
              <w:pStyle w:val="76"/>
              <w:adjustRightInd w:val="0"/>
              <w:snapToGrid w:val="0"/>
              <w:ind w:firstLine="422" w:firstLineChars="200"/>
              <w:jc w:val="left"/>
              <w:rPr>
                <w:rFonts w:hint="eastAsia" w:eastAsia="宋体"/>
                <w:b/>
                <w:bCs/>
                <w:highlight w:val="black"/>
                <w:lang w:val="en-US" w:eastAsia="zh-CN"/>
              </w:rPr>
            </w:pPr>
            <w:r>
              <w:rPr>
                <w:rFonts w:hint="eastAsia" w:eastAsia="宋体"/>
                <w:b/>
                <w:bCs/>
                <w:highlight w:val="black"/>
                <w:lang w:val="en-US" w:eastAsia="zh-CN"/>
              </w:rPr>
              <w:t xml:space="preserve">                                                                                                                           </w:t>
            </w:r>
          </w:p>
          <w:p w14:paraId="465C9F37">
            <w:pPr>
              <w:pStyle w:val="76"/>
              <w:adjustRightInd w:val="0"/>
              <w:snapToGrid w:val="0"/>
              <w:ind w:firstLine="422" w:firstLineChars="200"/>
              <w:jc w:val="left"/>
              <w:rPr>
                <w:rFonts w:hint="default" w:eastAsia="宋体"/>
                <w:b/>
                <w:bCs/>
                <w:highlight w:val="black"/>
                <w:lang w:val="en-US" w:eastAsia="zh-CN"/>
              </w:rPr>
            </w:pPr>
            <w:r>
              <w:rPr>
                <w:rFonts w:hint="eastAsia" w:eastAsia="宋体"/>
                <w:b/>
                <w:bCs/>
                <w:highlight w:val="black"/>
                <w:lang w:val="en-US" w:eastAsia="zh-CN"/>
              </w:rPr>
              <w:t xml:space="preserve">                                       </w:t>
            </w:r>
          </w:p>
        </w:tc>
      </w:tr>
      <w:bookmarkEnd w:id="41"/>
    </w:tbl>
    <w:p w14:paraId="62E54586"/>
    <w:p w14:paraId="0CFA5F98">
      <w:pPr>
        <w:sectPr>
          <w:pgSz w:w="16838" w:h="11906" w:orient="landscape"/>
          <w:pgMar w:top="1531" w:right="1701" w:bottom="1531" w:left="1701" w:header="851" w:footer="851" w:gutter="0"/>
          <w:cols w:space="720" w:num="1"/>
          <w:docGrid w:linePitch="312" w:charSpace="0"/>
        </w:sectPr>
      </w:pP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605"/>
      </w:tblGrid>
      <w:tr w14:paraId="0A651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dxa"/>
            <w:vAlign w:val="center"/>
          </w:tcPr>
          <w:p w14:paraId="444BA03E">
            <w:pPr>
              <w:pStyle w:val="21"/>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建设内容</w:t>
            </w:r>
          </w:p>
        </w:tc>
        <w:tc>
          <w:tcPr>
            <w:tcW w:w="8602" w:type="dxa"/>
          </w:tcPr>
          <w:p w14:paraId="3628586E">
            <w:pPr>
              <w:pStyle w:val="53"/>
              <w:adjustRightInd w:val="0"/>
              <w:snapToGrid w:val="0"/>
              <w:spacing w:beforeLines="50" w:afterLines="0"/>
              <w:rPr>
                <w:rFonts w:eastAsia="宋体"/>
                <w:sz w:val="21"/>
                <w:szCs w:val="21"/>
              </w:rPr>
            </w:pPr>
            <w:r>
              <w:rPr>
                <w:rFonts w:eastAsia="宋体"/>
                <w:sz w:val="21"/>
                <w:szCs w:val="21"/>
              </w:rPr>
              <w:t>表2-5  项目原辅材料理化性质表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014"/>
              <w:gridCol w:w="4981"/>
              <w:gridCol w:w="532"/>
              <w:gridCol w:w="1859"/>
            </w:tblGrid>
            <w:tr w14:paraId="348B26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4F88F9FC">
                  <w:pPr>
                    <w:pStyle w:val="62"/>
                    <w:adjustRightInd w:val="0"/>
                    <w:snapToGrid w:val="0"/>
                    <w:rPr>
                      <w:rFonts w:eastAsia="宋体"/>
                      <w:kern w:val="0"/>
                    </w:rPr>
                  </w:pPr>
                  <w:r>
                    <w:rPr>
                      <w:rFonts w:eastAsia="宋体"/>
                      <w:kern w:val="0"/>
                    </w:rPr>
                    <w:t>原料名称</w:t>
                  </w:r>
                </w:p>
              </w:tc>
              <w:tc>
                <w:tcPr>
                  <w:tcW w:w="2970" w:type="pct"/>
                  <w:vAlign w:val="center"/>
                </w:tcPr>
                <w:p w14:paraId="72658263">
                  <w:pPr>
                    <w:pStyle w:val="62"/>
                    <w:adjustRightInd w:val="0"/>
                    <w:snapToGrid w:val="0"/>
                    <w:rPr>
                      <w:rFonts w:eastAsia="宋体"/>
                      <w:kern w:val="0"/>
                    </w:rPr>
                  </w:pPr>
                  <w:r>
                    <w:rPr>
                      <w:rFonts w:eastAsia="宋体"/>
                      <w:kern w:val="0"/>
                    </w:rPr>
                    <w:t>理化特性</w:t>
                  </w:r>
                </w:p>
              </w:tc>
              <w:tc>
                <w:tcPr>
                  <w:tcW w:w="317" w:type="pct"/>
                  <w:vAlign w:val="center"/>
                </w:tcPr>
                <w:p w14:paraId="25D71CC2">
                  <w:pPr>
                    <w:pStyle w:val="62"/>
                    <w:adjustRightInd w:val="0"/>
                    <w:snapToGrid w:val="0"/>
                    <w:rPr>
                      <w:rFonts w:eastAsia="宋体"/>
                      <w:kern w:val="0"/>
                    </w:rPr>
                  </w:pPr>
                  <w:r>
                    <w:rPr>
                      <w:rFonts w:eastAsia="宋体"/>
                      <w:kern w:val="0"/>
                    </w:rPr>
                    <w:t>燃烧爆炸性</w:t>
                  </w:r>
                </w:p>
              </w:tc>
              <w:tc>
                <w:tcPr>
                  <w:tcW w:w="1108" w:type="pct"/>
                  <w:vAlign w:val="center"/>
                </w:tcPr>
                <w:p w14:paraId="1BA2BBC5">
                  <w:pPr>
                    <w:pStyle w:val="62"/>
                    <w:adjustRightInd w:val="0"/>
                    <w:snapToGrid w:val="0"/>
                    <w:rPr>
                      <w:rFonts w:eastAsia="宋体"/>
                      <w:kern w:val="0"/>
                    </w:rPr>
                  </w:pPr>
                  <w:r>
                    <w:rPr>
                      <w:rFonts w:eastAsia="宋体"/>
                      <w:kern w:val="0"/>
                    </w:rPr>
                    <w:t>毒性毒理</w:t>
                  </w:r>
                </w:p>
              </w:tc>
            </w:tr>
            <w:tr w14:paraId="7F71E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02C96B75">
                  <w:pPr>
                    <w:adjustRightInd w:val="0"/>
                    <w:snapToGrid w:val="0"/>
                    <w:jc w:val="center"/>
                    <w:rPr>
                      <w:kern w:val="0"/>
                      <w:szCs w:val="21"/>
                    </w:rPr>
                  </w:pPr>
                  <w:bookmarkStart w:id="54" w:name="_Toc71671770"/>
                  <w:r>
                    <w:rPr>
                      <w:kern w:val="0"/>
                      <w:szCs w:val="21"/>
                    </w:rPr>
                    <w:t>丁腈橡胶</w:t>
                  </w:r>
                </w:p>
              </w:tc>
              <w:tc>
                <w:tcPr>
                  <w:tcW w:w="2970" w:type="pct"/>
                  <w:vAlign w:val="center"/>
                </w:tcPr>
                <w:p w14:paraId="1E130DC6">
                  <w:pPr>
                    <w:adjustRightInd w:val="0"/>
                    <w:snapToGrid w:val="0"/>
                    <w:jc w:val="center"/>
                    <w:rPr>
                      <w:kern w:val="0"/>
                      <w:szCs w:val="21"/>
                      <w:shd w:val="clear" w:color="auto" w:fill="FFFFFF"/>
                    </w:rPr>
                  </w:pPr>
                  <w:r>
                    <w:rPr>
                      <w:kern w:val="0"/>
                      <w:szCs w:val="21"/>
                      <w:shd w:val="clear" w:color="auto" w:fill="FFFFFF"/>
                    </w:rPr>
                    <w:t>由丙烯腈与丁二烯单体聚合物而成的共聚物，黄棕色固体，有轻微芳香气味，密度0.98kg/L（20℃），燃点&gt;300℃，不溶于水。具有稳定性，不完全燃烧产生的有毒废气主要为CO、CO</w:t>
                  </w:r>
                  <w:r>
                    <w:rPr>
                      <w:kern w:val="0"/>
                      <w:szCs w:val="21"/>
                      <w:shd w:val="clear" w:color="auto" w:fill="FFFFFF"/>
                      <w:vertAlign w:val="subscript"/>
                    </w:rPr>
                    <w:t>2</w:t>
                  </w:r>
                  <w:r>
                    <w:rPr>
                      <w:kern w:val="0"/>
                      <w:szCs w:val="21"/>
                      <w:shd w:val="clear" w:color="auto" w:fill="FFFFFF"/>
                    </w:rPr>
                    <w:t>，并会形成聚合物的降解产物及他们的附属物。具有良好的耐水性、气密性及优良的粘结性能。</w:t>
                  </w:r>
                </w:p>
              </w:tc>
              <w:tc>
                <w:tcPr>
                  <w:tcW w:w="317" w:type="pct"/>
                  <w:vAlign w:val="center"/>
                </w:tcPr>
                <w:p w14:paraId="4C06F84D">
                  <w:pPr>
                    <w:adjustRightInd w:val="0"/>
                    <w:snapToGrid w:val="0"/>
                    <w:jc w:val="center"/>
                    <w:rPr>
                      <w:kern w:val="0"/>
                      <w:szCs w:val="21"/>
                    </w:rPr>
                  </w:pPr>
                  <w:r>
                    <w:rPr>
                      <w:kern w:val="0"/>
                      <w:szCs w:val="21"/>
                    </w:rPr>
                    <w:t>可燃</w:t>
                  </w:r>
                </w:p>
              </w:tc>
              <w:tc>
                <w:tcPr>
                  <w:tcW w:w="1108" w:type="pct"/>
                  <w:vAlign w:val="center"/>
                </w:tcPr>
                <w:p w14:paraId="067AF779">
                  <w:pPr>
                    <w:pStyle w:val="19"/>
                    <w:adjustRightInd w:val="0"/>
                    <w:snapToGrid w:val="0"/>
                    <w:ind w:left="0" w:firstLine="0" w:firstLineChars="0"/>
                    <w:jc w:val="center"/>
                    <w:rPr>
                      <w:kern w:val="0"/>
                      <w:szCs w:val="21"/>
                    </w:rPr>
                  </w:pPr>
                  <w:r>
                    <w:rPr>
                      <w:kern w:val="0"/>
                      <w:szCs w:val="21"/>
                    </w:rPr>
                    <w:t>无毒</w:t>
                  </w:r>
                </w:p>
              </w:tc>
            </w:tr>
            <w:tr w14:paraId="0AE149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4743F263">
                  <w:pPr>
                    <w:adjustRightInd w:val="0"/>
                    <w:snapToGrid w:val="0"/>
                    <w:jc w:val="center"/>
                    <w:rPr>
                      <w:kern w:val="0"/>
                      <w:szCs w:val="21"/>
                    </w:rPr>
                  </w:pPr>
                  <w:r>
                    <w:rPr>
                      <w:kern w:val="0"/>
                      <w:szCs w:val="21"/>
                    </w:rPr>
                    <w:t>三元乙丙橡胶</w:t>
                  </w:r>
                </w:p>
              </w:tc>
              <w:tc>
                <w:tcPr>
                  <w:tcW w:w="2970" w:type="pct"/>
                  <w:vAlign w:val="center"/>
                </w:tcPr>
                <w:p w14:paraId="2294D57F">
                  <w:pPr>
                    <w:adjustRightInd w:val="0"/>
                    <w:snapToGrid w:val="0"/>
                    <w:jc w:val="center"/>
                    <w:rPr>
                      <w:kern w:val="0"/>
                      <w:szCs w:val="21"/>
                    </w:rPr>
                  </w:pPr>
                  <w:r>
                    <w:rPr>
                      <w:kern w:val="0"/>
                      <w:szCs w:val="21"/>
                    </w:rPr>
                    <w:t>乙烯、丙烯和少量的非共轭二烯烃的共聚物，对极性溶液和化学物具有抗性，吸水率低，具有良好的绝缘性、耐老化性、耐天候、耐臭氧、耐日光、耐热、耐水、耐水蒸气、耐紫外线、耐辐射等老化性能。</w:t>
                  </w:r>
                </w:p>
              </w:tc>
              <w:tc>
                <w:tcPr>
                  <w:tcW w:w="317" w:type="pct"/>
                  <w:vAlign w:val="center"/>
                </w:tcPr>
                <w:p w14:paraId="0B1AD206">
                  <w:pPr>
                    <w:adjustRightInd w:val="0"/>
                    <w:snapToGrid w:val="0"/>
                    <w:jc w:val="center"/>
                    <w:rPr>
                      <w:kern w:val="0"/>
                      <w:szCs w:val="21"/>
                    </w:rPr>
                  </w:pPr>
                  <w:r>
                    <w:rPr>
                      <w:kern w:val="0"/>
                      <w:szCs w:val="21"/>
                    </w:rPr>
                    <w:t>可燃</w:t>
                  </w:r>
                </w:p>
              </w:tc>
              <w:tc>
                <w:tcPr>
                  <w:tcW w:w="1108" w:type="pct"/>
                  <w:vAlign w:val="center"/>
                </w:tcPr>
                <w:p w14:paraId="0548CBBF">
                  <w:pPr>
                    <w:pStyle w:val="48"/>
                    <w:snapToGrid w:val="0"/>
                    <w:spacing w:line="240" w:lineRule="auto"/>
                    <w:jc w:val="center"/>
                    <w:rPr>
                      <w:rFonts w:eastAsia="宋体"/>
                      <w:spacing w:val="0"/>
                      <w:szCs w:val="21"/>
                    </w:rPr>
                  </w:pPr>
                  <w:r>
                    <w:rPr>
                      <w:rFonts w:eastAsia="宋体"/>
                      <w:spacing w:val="0"/>
                      <w:szCs w:val="21"/>
                    </w:rPr>
                    <w:t>无毒</w:t>
                  </w:r>
                </w:p>
              </w:tc>
            </w:tr>
            <w:tr w14:paraId="6C15F1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7DBF71EB">
                  <w:pPr>
                    <w:adjustRightInd w:val="0"/>
                    <w:snapToGrid w:val="0"/>
                    <w:jc w:val="center"/>
                    <w:rPr>
                      <w:kern w:val="0"/>
                      <w:szCs w:val="21"/>
                    </w:rPr>
                  </w:pPr>
                  <w:r>
                    <w:rPr>
                      <w:kern w:val="0"/>
                      <w:szCs w:val="21"/>
                    </w:rPr>
                    <w:t>氟橡胶</w:t>
                  </w:r>
                </w:p>
              </w:tc>
              <w:tc>
                <w:tcPr>
                  <w:tcW w:w="2970" w:type="pct"/>
                  <w:vAlign w:val="center"/>
                </w:tcPr>
                <w:p w14:paraId="0D5B6F52">
                  <w:pPr>
                    <w:pStyle w:val="48"/>
                    <w:snapToGrid w:val="0"/>
                    <w:spacing w:line="240" w:lineRule="auto"/>
                    <w:jc w:val="center"/>
                    <w:rPr>
                      <w:rFonts w:eastAsia="宋体"/>
                      <w:snapToGrid w:val="0"/>
                      <w:spacing w:val="0"/>
                      <w:szCs w:val="21"/>
                      <w:shd w:val="clear" w:color="auto" w:fill="FFFFFF"/>
                    </w:rPr>
                  </w:pPr>
                  <w:r>
                    <w:rPr>
                      <w:rFonts w:eastAsia="宋体"/>
                      <w:snapToGrid w:val="0"/>
                      <w:spacing w:val="0"/>
                      <w:szCs w:val="21"/>
                      <w:shd w:val="clear" w:color="auto" w:fill="FFFFFF"/>
                    </w:rPr>
                    <w:t>CAS：9011-17-0，分子式：C</w:t>
                  </w:r>
                  <w:r>
                    <w:rPr>
                      <w:rFonts w:eastAsia="宋体"/>
                      <w:snapToGrid w:val="0"/>
                      <w:spacing w:val="0"/>
                      <w:szCs w:val="21"/>
                      <w:shd w:val="clear" w:color="auto" w:fill="FFFFFF"/>
                      <w:vertAlign w:val="subscript"/>
                    </w:rPr>
                    <w:t>21</w:t>
                  </w:r>
                  <w:r>
                    <w:rPr>
                      <w:rFonts w:eastAsia="宋体"/>
                      <w:snapToGrid w:val="0"/>
                      <w:spacing w:val="0"/>
                      <w:szCs w:val="21"/>
                      <w:shd w:val="clear" w:color="auto" w:fill="FFFFFF"/>
                    </w:rPr>
                    <w:t>H</w:t>
                  </w:r>
                  <w:r>
                    <w:rPr>
                      <w:rFonts w:eastAsia="宋体"/>
                      <w:snapToGrid w:val="0"/>
                      <w:spacing w:val="0"/>
                      <w:szCs w:val="21"/>
                      <w:shd w:val="clear" w:color="auto" w:fill="FFFFFF"/>
                      <w:vertAlign w:val="subscript"/>
                    </w:rPr>
                    <w:t>22</w:t>
                  </w:r>
                  <w:r>
                    <w:rPr>
                      <w:rFonts w:eastAsia="宋体"/>
                      <w:snapToGrid w:val="0"/>
                      <w:spacing w:val="0"/>
                      <w:szCs w:val="21"/>
                      <w:shd w:val="clear" w:color="auto" w:fill="FFFFFF"/>
                    </w:rPr>
                    <w:t>Cl</w:t>
                  </w:r>
                  <w:r>
                    <w:rPr>
                      <w:rFonts w:eastAsia="宋体"/>
                      <w:snapToGrid w:val="0"/>
                      <w:spacing w:val="0"/>
                      <w:szCs w:val="21"/>
                      <w:shd w:val="clear" w:color="auto" w:fill="FFFFFF"/>
                      <w:vertAlign w:val="subscript"/>
                    </w:rPr>
                    <w:t>9</w:t>
                  </w:r>
                  <w:r>
                    <w:rPr>
                      <w:rFonts w:eastAsia="宋体"/>
                      <w:snapToGrid w:val="0"/>
                      <w:spacing w:val="0"/>
                      <w:szCs w:val="21"/>
                      <w:shd w:val="clear" w:color="auto" w:fill="FFFFFF"/>
                    </w:rPr>
                    <w:t>N</w:t>
                  </w:r>
                  <w:r>
                    <w:rPr>
                      <w:rFonts w:eastAsia="宋体"/>
                      <w:snapToGrid w:val="0"/>
                      <w:spacing w:val="0"/>
                      <w:szCs w:val="21"/>
                      <w:shd w:val="clear" w:color="auto" w:fill="FFFFFF"/>
                      <w:vertAlign w:val="subscript"/>
                    </w:rPr>
                    <w:t>3</w:t>
                  </w:r>
                  <w:r>
                    <w:rPr>
                      <w:rFonts w:eastAsia="宋体"/>
                      <w:snapToGrid w:val="0"/>
                      <w:spacing w:val="0"/>
                      <w:szCs w:val="21"/>
                      <w:shd w:val="clear" w:color="auto" w:fill="FFFFFF"/>
                    </w:rPr>
                    <w:t>O</w:t>
                  </w:r>
                  <w:r>
                    <w:rPr>
                      <w:rFonts w:eastAsia="宋体"/>
                      <w:snapToGrid w:val="0"/>
                      <w:spacing w:val="0"/>
                      <w:szCs w:val="21"/>
                      <w:shd w:val="clear" w:color="auto" w:fill="FFFFFF"/>
                      <w:vertAlign w:val="subscript"/>
                    </w:rPr>
                    <w:t>2</w:t>
                  </w:r>
                  <w:r>
                    <w:rPr>
                      <w:rFonts w:eastAsia="宋体"/>
                      <w:snapToGrid w:val="0"/>
                      <w:spacing w:val="0"/>
                      <w:szCs w:val="21"/>
                      <w:shd w:val="clear" w:color="auto" w:fill="FFFFFF"/>
                    </w:rPr>
                    <w:t>，白色或微黄色片状胶片，密度1.75-1.90</w:t>
                  </w:r>
                  <w:r>
                    <w:rPr>
                      <w:rFonts w:eastAsia="宋体"/>
                      <w:snapToGrid w:val="0"/>
                      <w:spacing w:val="0"/>
                      <w:szCs w:val="21"/>
                    </w:rPr>
                    <w:t>g/cm</w:t>
                  </w:r>
                  <w:r>
                    <w:rPr>
                      <w:rFonts w:eastAsia="宋体"/>
                      <w:snapToGrid w:val="0"/>
                      <w:spacing w:val="0"/>
                      <w:szCs w:val="21"/>
                      <w:vertAlign w:val="superscript"/>
                    </w:rPr>
                    <w:t>3</w:t>
                  </w:r>
                  <w:r>
                    <w:rPr>
                      <w:rFonts w:eastAsia="宋体"/>
                      <w:snapToGrid w:val="0"/>
                      <w:spacing w:val="0"/>
                      <w:szCs w:val="21"/>
                      <w:shd w:val="clear" w:color="auto" w:fill="FFFFFF"/>
                    </w:rPr>
                    <w:t>，闪点</w:t>
                  </w:r>
                  <w:r>
                    <w:rPr>
                      <w:rFonts w:eastAsia="宋体"/>
                      <w:spacing w:val="0"/>
                      <w:szCs w:val="21"/>
                      <w:shd w:val="clear" w:color="auto" w:fill="FFFFFF"/>
                    </w:rPr>
                    <w:t>&gt;204</w:t>
                  </w:r>
                  <w:r>
                    <w:rPr>
                      <w:rFonts w:eastAsia="宋体"/>
                      <w:snapToGrid w:val="0"/>
                      <w:spacing w:val="0"/>
                      <w:szCs w:val="21"/>
                      <w:shd w:val="clear" w:color="auto" w:fill="FFFFFF"/>
                    </w:rPr>
                    <w:t>℃。燃烧产物为碳酰氟、氟化氢、氟取代的烃类、氟化烯烃，燃烧产生令人厌恶的和有毒的气体。</w:t>
                  </w:r>
                </w:p>
              </w:tc>
              <w:tc>
                <w:tcPr>
                  <w:tcW w:w="317" w:type="pct"/>
                  <w:vAlign w:val="center"/>
                </w:tcPr>
                <w:p w14:paraId="67289221">
                  <w:pPr>
                    <w:pStyle w:val="48"/>
                    <w:snapToGrid w:val="0"/>
                    <w:spacing w:line="240" w:lineRule="auto"/>
                    <w:jc w:val="center"/>
                    <w:rPr>
                      <w:rFonts w:eastAsia="宋体"/>
                      <w:snapToGrid w:val="0"/>
                      <w:spacing w:val="0"/>
                      <w:szCs w:val="21"/>
                    </w:rPr>
                  </w:pPr>
                  <w:r>
                    <w:rPr>
                      <w:rFonts w:eastAsia="宋体"/>
                      <w:snapToGrid w:val="0"/>
                      <w:spacing w:val="0"/>
                      <w:szCs w:val="21"/>
                    </w:rPr>
                    <w:t>可燃</w:t>
                  </w:r>
                </w:p>
              </w:tc>
              <w:tc>
                <w:tcPr>
                  <w:tcW w:w="1108" w:type="pct"/>
                  <w:vAlign w:val="center"/>
                </w:tcPr>
                <w:p w14:paraId="0E15D056">
                  <w:pPr>
                    <w:pStyle w:val="48"/>
                    <w:snapToGrid w:val="0"/>
                    <w:spacing w:line="240" w:lineRule="auto"/>
                    <w:jc w:val="center"/>
                    <w:rPr>
                      <w:rFonts w:eastAsia="宋体"/>
                      <w:snapToGrid w:val="0"/>
                      <w:spacing w:val="0"/>
                      <w:szCs w:val="21"/>
                      <w:shd w:val="clear" w:color="auto" w:fill="FFFFFF"/>
                    </w:rPr>
                  </w:pPr>
                  <w:r>
                    <w:rPr>
                      <w:rFonts w:eastAsia="宋体"/>
                      <w:snapToGrid w:val="0"/>
                      <w:spacing w:val="0"/>
                      <w:szCs w:val="21"/>
                    </w:rPr>
                    <w:t>LD</w:t>
                  </w:r>
                  <w:r>
                    <w:rPr>
                      <w:rFonts w:eastAsia="宋体"/>
                      <w:snapToGrid w:val="0"/>
                      <w:spacing w:val="0"/>
                      <w:szCs w:val="21"/>
                      <w:vertAlign w:val="subscript"/>
                    </w:rPr>
                    <w:t>50</w:t>
                  </w:r>
                  <w:r>
                    <w:rPr>
                      <w:rFonts w:eastAsia="宋体"/>
                      <w:snapToGrid w:val="0"/>
                      <w:spacing w:val="0"/>
                      <w:szCs w:val="21"/>
                    </w:rPr>
                    <w:t>：</w:t>
                  </w:r>
                  <w:r>
                    <w:rPr>
                      <w:rFonts w:eastAsia="宋体"/>
                      <w:spacing w:val="0"/>
                      <w:szCs w:val="21"/>
                      <w:shd w:val="clear" w:color="auto" w:fill="FFFFFF"/>
                    </w:rPr>
                    <w:t>&gt;5000</w:t>
                  </w:r>
                  <w:r>
                    <w:rPr>
                      <w:rFonts w:eastAsia="宋体"/>
                      <w:snapToGrid w:val="0"/>
                      <w:spacing w:val="0"/>
                      <w:szCs w:val="21"/>
                      <w:shd w:val="clear" w:color="auto" w:fill="FFFFFF"/>
                    </w:rPr>
                    <w:t>mg/kg</w:t>
                  </w:r>
                </w:p>
                <w:p w14:paraId="614A8D09">
                  <w:pPr>
                    <w:pStyle w:val="48"/>
                    <w:snapToGrid w:val="0"/>
                    <w:spacing w:line="240" w:lineRule="auto"/>
                    <w:jc w:val="center"/>
                    <w:rPr>
                      <w:rFonts w:eastAsia="宋体"/>
                      <w:snapToGrid w:val="0"/>
                      <w:spacing w:val="0"/>
                      <w:szCs w:val="21"/>
                    </w:rPr>
                  </w:pPr>
                  <w:r>
                    <w:rPr>
                      <w:rFonts w:eastAsia="宋体"/>
                      <w:snapToGrid w:val="0"/>
                      <w:spacing w:val="0"/>
                      <w:szCs w:val="21"/>
                      <w:shd w:val="clear" w:color="auto" w:fill="FFFFFF"/>
                    </w:rPr>
                    <w:t>（大鼠经口）</w:t>
                  </w:r>
                </w:p>
              </w:tc>
            </w:tr>
            <w:tr w14:paraId="354455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42A550E3">
                  <w:pPr>
                    <w:adjustRightInd w:val="0"/>
                    <w:snapToGrid w:val="0"/>
                    <w:jc w:val="center"/>
                    <w:rPr>
                      <w:kern w:val="0"/>
                      <w:szCs w:val="21"/>
                    </w:rPr>
                  </w:pPr>
                  <w:r>
                    <w:rPr>
                      <w:kern w:val="0"/>
                      <w:szCs w:val="21"/>
                    </w:rPr>
                    <w:t>氢化丁腈胶</w:t>
                  </w:r>
                </w:p>
              </w:tc>
              <w:tc>
                <w:tcPr>
                  <w:tcW w:w="2970" w:type="pct"/>
                  <w:vAlign w:val="center"/>
                </w:tcPr>
                <w:p w14:paraId="311C9264">
                  <w:pPr>
                    <w:pStyle w:val="48"/>
                    <w:snapToGrid w:val="0"/>
                    <w:spacing w:line="240" w:lineRule="auto"/>
                    <w:jc w:val="center"/>
                    <w:rPr>
                      <w:rFonts w:eastAsia="宋体"/>
                      <w:snapToGrid w:val="0"/>
                      <w:spacing w:val="0"/>
                      <w:szCs w:val="21"/>
                      <w:shd w:val="clear" w:color="auto" w:fill="FFFFFF"/>
                    </w:rPr>
                  </w:pPr>
                  <w:r>
                    <w:rPr>
                      <w:rFonts w:eastAsia="宋体"/>
                      <w:snapToGrid w:val="0"/>
                      <w:spacing w:val="0"/>
                      <w:szCs w:val="21"/>
                      <w:shd w:val="clear" w:color="auto" w:fill="FFFFFF"/>
                    </w:rPr>
                    <w:t>浅棕色胶包，略微含有气味，密度0.95</w:t>
                  </w:r>
                  <w:r>
                    <w:rPr>
                      <w:rFonts w:eastAsia="宋体"/>
                      <w:snapToGrid w:val="0"/>
                      <w:spacing w:val="0"/>
                      <w:szCs w:val="21"/>
                    </w:rPr>
                    <w:t>g/cm</w:t>
                  </w:r>
                  <w:r>
                    <w:rPr>
                      <w:rFonts w:eastAsia="宋体"/>
                      <w:snapToGrid w:val="0"/>
                      <w:spacing w:val="0"/>
                      <w:szCs w:val="21"/>
                      <w:vertAlign w:val="superscript"/>
                    </w:rPr>
                    <w:t>3</w:t>
                  </w:r>
                  <w:r>
                    <w:rPr>
                      <w:rFonts w:eastAsia="宋体"/>
                      <w:snapToGrid w:val="0"/>
                      <w:spacing w:val="0"/>
                      <w:szCs w:val="21"/>
                      <w:shd w:val="clear" w:color="auto" w:fill="FFFFFF"/>
                    </w:rPr>
                    <w:t>，不溶于水，着火温度</w:t>
                  </w:r>
                  <w:r>
                    <w:rPr>
                      <w:rFonts w:eastAsia="宋体"/>
                      <w:spacing w:val="0"/>
                      <w:szCs w:val="21"/>
                      <w:shd w:val="clear" w:color="auto" w:fill="FFFFFF"/>
                    </w:rPr>
                    <w:t>&gt;300</w:t>
                  </w:r>
                  <w:r>
                    <w:rPr>
                      <w:rFonts w:eastAsia="宋体"/>
                      <w:snapToGrid w:val="0"/>
                      <w:spacing w:val="0"/>
                      <w:szCs w:val="21"/>
                      <w:shd w:val="clear" w:color="auto" w:fill="FFFFFF"/>
                    </w:rPr>
                    <w:t>℃，分解温度</w:t>
                  </w:r>
                  <w:r>
                    <w:rPr>
                      <w:rFonts w:eastAsia="宋体"/>
                      <w:spacing w:val="0"/>
                      <w:szCs w:val="21"/>
                      <w:shd w:val="clear" w:color="auto" w:fill="FFFFFF"/>
                    </w:rPr>
                    <w:t>&gt;300</w:t>
                  </w:r>
                  <w:r>
                    <w:rPr>
                      <w:rFonts w:eastAsia="宋体"/>
                      <w:snapToGrid w:val="0"/>
                      <w:spacing w:val="0"/>
                      <w:szCs w:val="21"/>
                      <w:shd w:val="clear" w:color="auto" w:fill="FFFFFF"/>
                    </w:rPr>
                    <w:t>℃。燃烧产物为</w:t>
                  </w:r>
                  <w:r>
                    <w:rPr>
                      <w:rFonts w:eastAsia="宋体"/>
                      <w:spacing w:val="0"/>
                      <w:szCs w:val="21"/>
                    </w:rPr>
                    <w:t>CO、CO</w:t>
                  </w:r>
                  <w:r>
                    <w:rPr>
                      <w:rFonts w:eastAsia="宋体"/>
                      <w:spacing w:val="0"/>
                      <w:szCs w:val="21"/>
                      <w:vertAlign w:val="subscript"/>
                    </w:rPr>
                    <w:t>2</w:t>
                  </w:r>
                  <w:r>
                    <w:rPr>
                      <w:rFonts w:eastAsia="宋体"/>
                      <w:spacing w:val="0"/>
                      <w:szCs w:val="21"/>
                    </w:rPr>
                    <w:t>、NOx。</w:t>
                  </w:r>
                </w:p>
              </w:tc>
              <w:tc>
                <w:tcPr>
                  <w:tcW w:w="317" w:type="pct"/>
                  <w:vAlign w:val="center"/>
                </w:tcPr>
                <w:p w14:paraId="58B46172">
                  <w:pPr>
                    <w:pStyle w:val="48"/>
                    <w:snapToGrid w:val="0"/>
                    <w:spacing w:line="240" w:lineRule="auto"/>
                    <w:jc w:val="center"/>
                    <w:rPr>
                      <w:rFonts w:eastAsia="宋体"/>
                      <w:snapToGrid w:val="0"/>
                      <w:spacing w:val="0"/>
                      <w:szCs w:val="21"/>
                    </w:rPr>
                  </w:pPr>
                  <w:r>
                    <w:rPr>
                      <w:rFonts w:eastAsia="宋体"/>
                      <w:snapToGrid w:val="0"/>
                      <w:spacing w:val="0"/>
                      <w:szCs w:val="21"/>
                    </w:rPr>
                    <w:t>可燃</w:t>
                  </w:r>
                </w:p>
              </w:tc>
              <w:tc>
                <w:tcPr>
                  <w:tcW w:w="1108" w:type="pct"/>
                  <w:vAlign w:val="center"/>
                </w:tcPr>
                <w:p w14:paraId="596DF031">
                  <w:pPr>
                    <w:pStyle w:val="48"/>
                    <w:snapToGrid w:val="0"/>
                    <w:spacing w:line="240" w:lineRule="auto"/>
                    <w:jc w:val="center"/>
                    <w:rPr>
                      <w:rFonts w:eastAsia="宋体"/>
                      <w:snapToGrid w:val="0"/>
                      <w:spacing w:val="0"/>
                      <w:szCs w:val="21"/>
                    </w:rPr>
                  </w:pPr>
                  <w:r>
                    <w:rPr>
                      <w:rFonts w:eastAsia="宋体"/>
                      <w:snapToGrid w:val="0"/>
                      <w:spacing w:val="0"/>
                      <w:szCs w:val="21"/>
                    </w:rPr>
                    <w:t>LD</w:t>
                  </w:r>
                  <w:r>
                    <w:rPr>
                      <w:rFonts w:eastAsia="宋体"/>
                      <w:snapToGrid w:val="0"/>
                      <w:spacing w:val="0"/>
                      <w:szCs w:val="21"/>
                      <w:vertAlign w:val="subscript"/>
                    </w:rPr>
                    <w:t>50</w:t>
                  </w:r>
                  <w:r>
                    <w:rPr>
                      <w:rFonts w:eastAsia="宋体"/>
                      <w:snapToGrid w:val="0"/>
                      <w:spacing w:val="0"/>
                      <w:szCs w:val="21"/>
                    </w:rPr>
                    <w:t>：</w:t>
                  </w:r>
                  <w:r>
                    <w:rPr>
                      <w:rFonts w:eastAsia="宋体"/>
                      <w:spacing w:val="0"/>
                      <w:szCs w:val="21"/>
                      <w:shd w:val="clear" w:color="auto" w:fill="FFFFFF"/>
                    </w:rPr>
                    <w:t>&gt;5000</w:t>
                  </w:r>
                  <w:r>
                    <w:rPr>
                      <w:rFonts w:eastAsia="宋体"/>
                      <w:snapToGrid w:val="0"/>
                      <w:spacing w:val="0"/>
                      <w:szCs w:val="21"/>
                      <w:shd w:val="clear" w:color="auto" w:fill="FFFFFF"/>
                    </w:rPr>
                    <w:t>mg/kg（大鼠）</w:t>
                  </w:r>
                </w:p>
              </w:tc>
            </w:tr>
            <w:tr w14:paraId="7F2399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7D9DBB8C">
                  <w:pPr>
                    <w:adjustRightInd w:val="0"/>
                    <w:snapToGrid w:val="0"/>
                    <w:jc w:val="center"/>
                    <w:rPr>
                      <w:kern w:val="0"/>
                      <w:szCs w:val="21"/>
                    </w:rPr>
                  </w:pPr>
                  <w:r>
                    <w:rPr>
                      <w:szCs w:val="21"/>
                    </w:rPr>
                    <w:t>丙烯酸酯橡胶</w:t>
                  </w:r>
                </w:p>
              </w:tc>
              <w:tc>
                <w:tcPr>
                  <w:tcW w:w="2970" w:type="pct"/>
                  <w:vAlign w:val="center"/>
                </w:tcPr>
                <w:p w14:paraId="58099743">
                  <w:pPr>
                    <w:pStyle w:val="48"/>
                    <w:snapToGrid w:val="0"/>
                    <w:spacing w:line="240" w:lineRule="auto"/>
                    <w:jc w:val="center"/>
                    <w:rPr>
                      <w:rFonts w:eastAsia="宋体"/>
                      <w:snapToGrid w:val="0"/>
                      <w:spacing w:val="0"/>
                      <w:szCs w:val="21"/>
                      <w:shd w:val="clear" w:color="auto" w:fill="FFFFFF"/>
                    </w:rPr>
                  </w:pPr>
                  <w:r>
                    <w:rPr>
                      <w:rFonts w:eastAsia="宋体"/>
                      <w:snapToGrid w:val="0"/>
                      <w:spacing w:val="0"/>
                      <w:szCs w:val="21"/>
                      <w:shd w:val="clear" w:color="auto" w:fill="FFFFFF"/>
                    </w:rPr>
                    <w:t>黑色，橡胶状固体，无气味，密度1.26</w:t>
                  </w:r>
                  <w:r>
                    <w:rPr>
                      <w:rFonts w:eastAsia="宋体"/>
                      <w:snapToGrid w:val="0"/>
                      <w:spacing w:val="0"/>
                      <w:szCs w:val="21"/>
                    </w:rPr>
                    <w:t>g/cm</w:t>
                  </w:r>
                  <w:r>
                    <w:rPr>
                      <w:rFonts w:eastAsia="宋体"/>
                      <w:snapToGrid w:val="0"/>
                      <w:spacing w:val="0"/>
                      <w:szCs w:val="21"/>
                      <w:vertAlign w:val="superscript"/>
                    </w:rPr>
                    <w:t>3</w:t>
                  </w:r>
                  <w:r>
                    <w:rPr>
                      <w:rFonts w:eastAsia="宋体"/>
                      <w:snapToGrid w:val="0"/>
                      <w:spacing w:val="0"/>
                      <w:szCs w:val="21"/>
                      <w:shd w:val="clear" w:color="auto" w:fill="FFFFFF"/>
                    </w:rPr>
                    <w:t>，不溶于水，有害分解产物为CO、CO</w:t>
                  </w:r>
                  <w:r>
                    <w:rPr>
                      <w:rFonts w:eastAsia="宋体"/>
                      <w:snapToGrid w:val="0"/>
                      <w:spacing w:val="0"/>
                      <w:szCs w:val="21"/>
                      <w:shd w:val="clear" w:color="auto" w:fill="FFFFFF"/>
                      <w:vertAlign w:val="subscript"/>
                    </w:rPr>
                    <w:t>2</w:t>
                  </w:r>
                  <w:r>
                    <w:rPr>
                      <w:rFonts w:eastAsia="宋体"/>
                      <w:snapToGrid w:val="0"/>
                      <w:spacing w:val="0"/>
                      <w:szCs w:val="21"/>
                      <w:shd w:val="clear" w:color="auto" w:fill="FFFFFF"/>
                    </w:rPr>
                    <w:t>、氟化氢、有毒蒸汽、气体和颗粒。</w:t>
                  </w:r>
                </w:p>
              </w:tc>
              <w:tc>
                <w:tcPr>
                  <w:tcW w:w="317" w:type="pct"/>
                  <w:vAlign w:val="center"/>
                </w:tcPr>
                <w:p w14:paraId="7F26C12E">
                  <w:pPr>
                    <w:pStyle w:val="48"/>
                    <w:snapToGrid w:val="0"/>
                    <w:spacing w:line="240" w:lineRule="auto"/>
                    <w:jc w:val="center"/>
                    <w:rPr>
                      <w:rFonts w:eastAsia="宋体"/>
                      <w:snapToGrid w:val="0"/>
                      <w:spacing w:val="0"/>
                      <w:szCs w:val="21"/>
                    </w:rPr>
                  </w:pPr>
                  <w:r>
                    <w:rPr>
                      <w:rFonts w:eastAsia="宋体"/>
                      <w:snapToGrid w:val="0"/>
                      <w:spacing w:val="0"/>
                      <w:szCs w:val="21"/>
                    </w:rPr>
                    <w:t>可燃</w:t>
                  </w:r>
                </w:p>
              </w:tc>
              <w:tc>
                <w:tcPr>
                  <w:tcW w:w="1108" w:type="pct"/>
                  <w:vAlign w:val="center"/>
                </w:tcPr>
                <w:p w14:paraId="4630086E">
                  <w:pPr>
                    <w:pStyle w:val="48"/>
                    <w:snapToGrid w:val="0"/>
                    <w:spacing w:line="240" w:lineRule="auto"/>
                    <w:jc w:val="center"/>
                    <w:rPr>
                      <w:rFonts w:eastAsia="宋体"/>
                      <w:snapToGrid w:val="0"/>
                      <w:spacing w:val="0"/>
                      <w:szCs w:val="21"/>
                    </w:rPr>
                  </w:pPr>
                  <w:r>
                    <w:rPr>
                      <w:rFonts w:eastAsia="宋体"/>
                      <w:snapToGrid w:val="0"/>
                      <w:spacing w:val="0"/>
                      <w:szCs w:val="21"/>
                    </w:rPr>
                    <w:t>/</w:t>
                  </w:r>
                </w:p>
              </w:tc>
            </w:tr>
            <w:tr w14:paraId="0A924C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1BC25462">
                  <w:pPr>
                    <w:adjustRightInd w:val="0"/>
                    <w:snapToGrid w:val="0"/>
                    <w:jc w:val="center"/>
                    <w:rPr>
                      <w:szCs w:val="21"/>
                    </w:rPr>
                  </w:pPr>
                  <w:r>
                    <w:rPr>
                      <w:kern w:val="0"/>
                      <w:szCs w:val="21"/>
                    </w:rPr>
                    <w:t>二氧化硅</w:t>
                  </w:r>
                </w:p>
              </w:tc>
              <w:tc>
                <w:tcPr>
                  <w:tcW w:w="2970" w:type="pct"/>
                  <w:vAlign w:val="center"/>
                </w:tcPr>
                <w:p w14:paraId="40B07A24">
                  <w:pPr>
                    <w:adjustRightInd w:val="0"/>
                    <w:snapToGrid w:val="0"/>
                    <w:jc w:val="center"/>
                    <w:rPr>
                      <w:snapToGrid w:val="0"/>
                      <w:szCs w:val="21"/>
                      <w:shd w:val="clear" w:color="auto" w:fill="FFFFFF"/>
                    </w:rPr>
                  </w:pPr>
                  <w:r>
                    <w:rPr>
                      <w:snapToGrid w:val="0"/>
                      <w:kern w:val="0"/>
                      <w:szCs w:val="21"/>
                      <w:shd w:val="clear" w:color="auto" w:fill="FFFFFF"/>
                    </w:rPr>
                    <w:t>CAS：7631-86-9，分子式：O</w:t>
                  </w:r>
                  <w:r>
                    <w:rPr>
                      <w:snapToGrid w:val="0"/>
                      <w:kern w:val="0"/>
                      <w:szCs w:val="21"/>
                      <w:shd w:val="clear" w:color="auto" w:fill="FFFFFF"/>
                      <w:vertAlign w:val="subscript"/>
                    </w:rPr>
                    <w:t>2</w:t>
                  </w:r>
                  <w:r>
                    <w:rPr>
                      <w:snapToGrid w:val="0"/>
                      <w:kern w:val="0"/>
                      <w:szCs w:val="21"/>
                      <w:shd w:val="clear" w:color="auto" w:fill="FFFFFF"/>
                    </w:rPr>
                    <w:t>Si，白色晶体或粉末，密度2.54-2.83</w:t>
                  </w:r>
                  <w:r>
                    <w:rPr>
                      <w:snapToGrid w:val="0"/>
                      <w:kern w:val="0"/>
                      <w:szCs w:val="21"/>
                    </w:rPr>
                    <w:t>g/cm</w:t>
                  </w:r>
                  <w:r>
                    <w:rPr>
                      <w:snapToGrid w:val="0"/>
                      <w:kern w:val="0"/>
                      <w:szCs w:val="21"/>
                      <w:vertAlign w:val="superscript"/>
                    </w:rPr>
                    <w:t>3</w:t>
                  </w:r>
                  <w:r>
                    <w:rPr>
                      <w:snapToGrid w:val="0"/>
                      <w:kern w:val="0"/>
                      <w:szCs w:val="21"/>
                      <w:shd w:val="clear" w:color="auto" w:fill="FFFFFF"/>
                    </w:rPr>
                    <w:t>，熔点1830-1850℃，闪点2230.9℃。有吸水性，吸潮后形成聚合细颗粒；有较高的绝缘性，高温不分解。不溶于水和无机酸（氢氟酸除外），溶于苛性碱溶液，能与熔融的苛性碱或碳酸碱生成可溶性的硅酸盐。</w:t>
                  </w:r>
                </w:p>
              </w:tc>
              <w:tc>
                <w:tcPr>
                  <w:tcW w:w="317" w:type="pct"/>
                  <w:vAlign w:val="center"/>
                </w:tcPr>
                <w:p w14:paraId="740673CB">
                  <w:pPr>
                    <w:pStyle w:val="48"/>
                    <w:snapToGrid w:val="0"/>
                    <w:spacing w:line="240" w:lineRule="auto"/>
                    <w:jc w:val="center"/>
                    <w:rPr>
                      <w:rFonts w:eastAsia="宋体"/>
                      <w:snapToGrid w:val="0"/>
                      <w:spacing w:val="0"/>
                      <w:szCs w:val="21"/>
                    </w:rPr>
                  </w:pPr>
                  <w:r>
                    <w:rPr>
                      <w:rFonts w:eastAsia="宋体"/>
                      <w:snapToGrid w:val="0"/>
                      <w:spacing w:val="0"/>
                      <w:szCs w:val="21"/>
                    </w:rPr>
                    <w:t>不燃</w:t>
                  </w:r>
                </w:p>
              </w:tc>
              <w:tc>
                <w:tcPr>
                  <w:tcW w:w="1108" w:type="pct"/>
                  <w:vAlign w:val="center"/>
                </w:tcPr>
                <w:p w14:paraId="2384CF8F">
                  <w:pPr>
                    <w:pStyle w:val="48"/>
                    <w:snapToGrid w:val="0"/>
                    <w:spacing w:line="240" w:lineRule="auto"/>
                    <w:jc w:val="center"/>
                    <w:rPr>
                      <w:rFonts w:eastAsia="宋体"/>
                      <w:snapToGrid w:val="0"/>
                      <w:spacing w:val="0"/>
                      <w:szCs w:val="21"/>
                    </w:rPr>
                  </w:pPr>
                  <w:r>
                    <w:rPr>
                      <w:rFonts w:eastAsia="宋体"/>
                      <w:snapToGrid w:val="0"/>
                      <w:spacing w:val="0"/>
                      <w:szCs w:val="21"/>
                    </w:rPr>
                    <w:t>/</w:t>
                  </w:r>
                </w:p>
              </w:tc>
            </w:tr>
            <w:tr w14:paraId="04DF32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7462AB4C">
                  <w:pPr>
                    <w:adjustRightInd w:val="0"/>
                    <w:snapToGrid w:val="0"/>
                    <w:jc w:val="center"/>
                    <w:rPr>
                      <w:szCs w:val="21"/>
                    </w:rPr>
                  </w:pPr>
                  <w:r>
                    <w:rPr>
                      <w:kern w:val="0"/>
                      <w:szCs w:val="21"/>
                    </w:rPr>
                    <w:t>聚硅氧烷</w:t>
                  </w:r>
                </w:p>
              </w:tc>
              <w:tc>
                <w:tcPr>
                  <w:tcW w:w="2970" w:type="pct"/>
                  <w:vAlign w:val="center"/>
                </w:tcPr>
                <w:p w14:paraId="78A59549">
                  <w:pPr>
                    <w:adjustRightInd w:val="0"/>
                    <w:snapToGrid w:val="0"/>
                    <w:jc w:val="center"/>
                    <w:rPr>
                      <w:snapToGrid w:val="0"/>
                      <w:szCs w:val="21"/>
                      <w:shd w:val="clear" w:color="auto" w:fill="FFFFFF"/>
                    </w:rPr>
                  </w:pPr>
                  <w:r>
                    <w:rPr>
                      <w:snapToGrid w:val="0"/>
                      <w:kern w:val="0"/>
                      <w:szCs w:val="21"/>
                      <w:shd w:val="clear" w:color="auto" w:fill="FFFFFF"/>
                    </w:rPr>
                    <w:t>CAS：68083-18-1，分子式：C</w:t>
                  </w:r>
                  <w:r>
                    <w:rPr>
                      <w:snapToGrid w:val="0"/>
                      <w:kern w:val="0"/>
                      <w:szCs w:val="21"/>
                      <w:shd w:val="clear" w:color="auto" w:fill="FFFFFF"/>
                      <w:vertAlign w:val="subscript"/>
                    </w:rPr>
                    <w:t>13</w:t>
                  </w:r>
                  <w:r>
                    <w:rPr>
                      <w:snapToGrid w:val="0"/>
                      <w:kern w:val="0"/>
                      <w:szCs w:val="21"/>
                      <w:shd w:val="clear" w:color="auto" w:fill="FFFFFF"/>
                    </w:rPr>
                    <w:t>H</w:t>
                  </w:r>
                  <w:r>
                    <w:rPr>
                      <w:snapToGrid w:val="0"/>
                      <w:kern w:val="0"/>
                      <w:szCs w:val="21"/>
                      <w:shd w:val="clear" w:color="auto" w:fill="FFFFFF"/>
                      <w:vertAlign w:val="subscript"/>
                    </w:rPr>
                    <w:t>30</w:t>
                  </w:r>
                  <w:r>
                    <w:rPr>
                      <w:snapToGrid w:val="0"/>
                      <w:kern w:val="0"/>
                      <w:szCs w:val="21"/>
                      <w:shd w:val="clear" w:color="auto" w:fill="FFFFFF"/>
                    </w:rPr>
                    <w:t>O</w:t>
                  </w:r>
                  <w:r>
                    <w:rPr>
                      <w:snapToGrid w:val="0"/>
                      <w:kern w:val="0"/>
                      <w:szCs w:val="21"/>
                      <w:shd w:val="clear" w:color="auto" w:fill="FFFFFF"/>
                      <w:vertAlign w:val="subscript"/>
                    </w:rPr>
                    <w:t>3</w:t>
                  </w:r>
                  <w:r>
                    <w:rPr>
                      <w:snapToGrid w:val="0"/>
                      <w:kern w:val="0"/>
                      <w:szCs w:val="21"/>
                      <w:shd w:val="clear" w:color="auto" w:fill="FFFFFF"/>
                    </w:rPr>
                    <w:t>Si</w:t>
                  </w:r>
                  <w:r>
                    <w:rPr>
                      <w:snapToGrid w:val="0"/>
                      <w:kern w:val="0"/>
                      <w:szCs w:val="21"/>
                      <w:shd w:val="clear" w:color="auto" w:fill="FFFFFF"/>
                      <w:vertAlign w:val="subscript"/>
                    </w:rPr>
                    <w:t>4</w:t>
                  </w:r>
                  <w:r>
                    <w:rPr>
                      <w:snapToGrid w:val="0"/>
                      <w:kern w:val="0"/>
                      <w:szCs w:val="21"/>
                      <w:shd w:val="clear" w:color="auto" w:fill="FFFFFF"/>
                    </w:rPr>
                    <w:t>，密度0.93</w:t>
                  </w:r>
                  <w:r>
                    <w:rPr>
                      <w:snapToGrid w:val="0"/>
                      <w:kern w:val="0"/>
                      <w:szCs w:val="21"/>
                    </w:rPr>
                    <w:t>g/cm</w:t>
                  </w:r>
                  <w:r>
                    <w:rPr>
                      <w:snapToGrid w:val="0"/>
                      <w:kern w:val="0"/>
                      <w:szCs w:val="21"/>
                      <w:vertAlign w:val="superscript"/>
                    </w:rPr>
                    <w:t>3</w:t>
                  </w:r>
                  <w:r>
                    <w:rPr>
                      <w:snapToGrid w:val="0"/>
                      <w:kern w:val="0"/>
                      <w:szCs w:val="21"/>
                      <w:shd w:val="clear" w:color="auto" w:fill="FFFFFF"/>
                    </w:rPr>
                    <w:t>，沸点</w:t>
                  </w:r>
                  <w:r>
                    <w:rPr>
                      <w:kern w:val="0"/>
                      <w:szCs w:val="21"/>
                      <w:shd w:val="clear" w:color="auto" w:fill="FFFFFF"/>
                    </w:rPr>
                    <w:t>&gt;</w:t>
                  </w:r>
                  <w:r>
                    <w:rPr>
                      <w:snapToGrid w:val="0"/>
                      <w:kern w:val="0"/>
                      <w:szCs w:val="21"/>
                      <w:shd w:val="clear" w:color="auto" w:fill="FFFFFF"/>
                    </w:rPr>
                    <w:t>205℃，熔点&lt;-60℃，闪点</w:t>
                  </w:r>
                  <w:r>
                    <w:rPr>
                      <w:kern w:val="0"/>
                      <w:szCs w:val="21"/>
                      <w:shd w:val="clear" w:color="auto" w:fill="FFFFFF"/>
                    </w:rPr>
                    <w:t>&gt;</w:t>
                  </w:r>
                  <w:r>
                    <w:rPr>
                      <w:snapToGrid w:val="0"/>
                      <w:kern w:val="0"/>
                      <w:szCs w:val="21"/>
                      <w:shd w:val="clear" w:color="auto" w:fill="FFFFFF"/>
                    </w:rPr>
                    <w:t>110℃。</w:t>
                  </w:r>
                </w:p>
              </w:tc>
              <w:tc>
                <w:tcPr>
                  <w:tcW w:w="317" w:type="pct"/>
                  <w:vAlign w:val="center"/>
                </w:tcPr>
                <w:p w14:paraId="53D682C1">
                  <w:pPr>
                    <w:pStyle w:val="48"/>
                    <w:snapToGrid w:val="0"/>
                    <w:spacing w:line="240" w:lineRule="auto"/>
                    <w:jc w:val="center"/>
                    <w:rPr>
                      <w:rFonts w:eastAsia="宋体"/>
                      <w:snapToGrid w:val="0"/>
                      <w:spacing w:val="0"/>
                      <w:szCs w:val="21"/>
                    </w:rPr>
                  </w:pPr>
                  <w:r>
                    <w:rPr>
                      <w:rFonts w:eastAsia="宋体"/>
                      <w:snapToGrid w:val="0"/>
                      <w:spacing w:val="0"/>
                      <w:szCs w:val="21"/>
                    </w:rPr>
                    <w:t>可燃</w:t>
                  </w:r>
                </w:p>
              </w:tc>
              <w:tc>
                <w:tcPr>
                  <w:tcW w:w="1108" w:type="pct"/>
                  <w:vAlign w:val="center"/>
                </w:tcPr>
                <w:p w14:paraId="1ECCBEF6">
                  <w:pPr>
                    <w:pStyle w:val="48"/>
                    <w:snapToGrid w:val="0"/>
                    <w:spacing w:line="240" w:lineRule="auto"/>
                    <w:jc w:val="center"/>
                    <w:rPr>
                      <w:rFonts w:eastAsia="宋体"/>
                      <w:snapToGrid w:val="0"/>
                      <w:spacing w:val="0"/>
                      <w:szCs w:val="21"/>
                    </w:rPr>
                  </w:pPr>
                  <w:r>
                    <w:rPr>
                      <w:rFonts w:eastAsia="宋体"/>
                      <w:snapToGrid w:val="0"/>
                      <w:spacing w:val="0"/>
                      <w:szCs w:val="21"/>
                    </w:rPr>
                    <w:t>/</w:t>
                  </w:r>
                </w:p>
              </w:tc>
            </w:tr>
            <w:tr w14:paraId="0AB542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6EABCB45">
                  <w:pPr>
                    <w:adjustRightInd w:val="0"/>
                    <w:snapToGrid w:val="0"/>
                    <w:jc w:val="center"/>
                    <w:rPr>
                      <w:kern w:val="0"/>
                      <w:szCs w:val="21"/>
                    </w:rPr>
                  </w:pPr>
                  <w:r>
                    <w:rPr>
                      <w:kern w:val="0"/>
                      <w:szCs w:val="21"/>
                    </w:rPr>
                    <w:t>氧化锌</w:t>
                  </w:r>
                </w:p>
              </w:tc>
              <w:tc>
                <w:tcPr>
                  <w:tcW w:w="2970" w:type="pct"/>
                  <w:vAlign w:val="center"/>
                </w:tcPr>
                <w:p w14:paraId="09A52A76">
                  <w:pPr>
                    <w:adjustRightInd w:val="0"/>
                    <w:snapToGrid w:val="0"/>
                    <w:jc w:val="center"/>
                    <w:rPr>
                      <w:snapToGrid w:val="0"/>
                      <w:kern w:val="0"/>
                      <w:szCs w:val="21"/>
                      <w:shd w:val="clear" w:color="auto" w:fill="FFFFFF"/>
                    </w:rPr>
                  </w:pPr>
                  <w:r>
                    <w:rPr>
                      <w:snapToGrid w:val="0"/>
                      <w:kern w:val="0"/>
                      <w:szCs w:val="21"/>
                      <w:shd w:val="clear" w:color="auto" w:fill="FFFFFF"/>
                    </w:rPr>
                    <w:t>CAS：1314-13-2，分子式：ZnO，白色或浅黄色粉末，无味、质细腻。密度5.6</w:t>
                  </w:r>
                  <w:r>
                    <w:rPr>
                      <w:snapToGrid w:val="0"/>
                      <w:kern w:val="0"/>
                      <w:szCs w:val="21"/>
                    </w:rPr>
                    <w:t>g/cm</w:t>
                  </w:r>
                  <w:r>
                    <w:rPr>
                      <w:snapToGrid w:val="0"/>
                      <w:kern w:val="0"/>
                      <w:szCs w:val="21"/>
                      <w:vertAlign w:val="superscript"/>
                    </w:rPr>
                    <w:t>3</w:t>
                  </w:r>
                  <w:r>
                    <w:rPr>
                      <w:snapToGrid w:val="0"/>
                      <w:kern w:val="0"/>
                      <w:szCs w:val="21"/>
                      <w:shd w:val="clear" w:color="auto" w:fill="FFFFFF"/>
                    </w:rPr>
                    <w:t>，沸点2360℃，闪点27℃，熔点1975℃。不溶于水和乙醇，溶于酸、碱和氯化铵溶液。受高热分解，放出有毒的烟气。</w:t>
                  </w:r>
                </w:p>
              </w:tc>
              <w:tc>
                <w:tcPr>
                  <w:tcW w:w="317" w:type="pct"/>
                  <w:vAlign w:val="center"/>
                </w:tcPr>
                <w:p w14:paraId="3B2722B3">
                  <w:pPr>
                    <w:pStyle w:val="48"/>
                    <w:snapToGrid w:val="0"/>
                    <w:spacing w:line="240" w:lineRule="auto"/>
                    <w:jc w:val="center"/>
                    <w:rPr>
                      <w:rFonts w:eastAsia="宋体"/>
                      <w:snapToGrid w:val="0"/>
                      <w:spacing w:val="0"/>
                      <w:szCs w:val="21"/>
                    </w:rPr>
                  </w:pPr>
                  <w:r>
                    <w:rPr>
                      <w:rFonts w:eastAsia="宋体"/>
                      <w:snapToGrid w:val="0"/>
                      <w:spacing w:val="0"/>
                      <w:szCs w:val="21"/>
                    </w:rPr>
                    <w:t>不燃</w:t>
                  </w:r>
                </w:p>
              </w:tc>
              <w:tc>
                <w:tcPr>
                  <w:tcW w:w="1108" w:type="pct"/>
                  <w:vAlign w:val="center"/>
                </w:tcPr>
                <w:p w14:paraId="6DC1A796">
                  <w:pPr>
                    <w:pStyle w:val="48"/>
                    <w:snapToGrid w:val="0"/>
                    <w:spacing w:line="240" w:lineRule="auto"/>
                    <w:jc w:val="center"/>
                    <w:rPr>
                      <w:rFonts w:eastAsia="宋体"/>
                      <w:snapToGrid w:val="0"/>
                      <w:spacing w:val="0"/>
                      <w:szCs w:val="21"/>
                    </w:rPr>
                  </w:pPr>
                  <w:r>
                    <w:rPr>
                      <w:rFonts w:eastAsia="宋体"/>
                      <w:snapToGrid w:val="0"/>
                      <w:spacing w:val="0"/>
                      <w:szCs w:val="21"/>
                    </w:rPr>
                    <w:t>LD</w:t>
                  </w:r>
                  <w:r>
                    <w:rPr>
                      <w:rFonts w:eastAsia="宋体"/>
                      <w:snapToGrid w:val="0"/>
                      <w:spacing w:val="0"/>
                      <w:szCs w:val="21"/>
                      <w:vertAlign w:val="subscript"/>
                    </w:rPr>
                    <w:t>50</w:t>
                  </w:r>
                  <w:r>
                    <w:rPr>
                      <w:rFonts w:eastAsia="宋体"/>
                      <w:snapToGrid w:val="0"/>
                      <w:spacing w:val="0"/>
                      <w:szCs w:val="21"/>
                    </w:rPr>
                    <w:t>：</w:t>
                  </w:r>
                  <w:r>
                    <w:rPr>
                      <w:rFonts w:eastAsia="宋体"/>
                      <w:spacing w:val="0"/>
                      <w:szCs w:val="21"/>
                      <w:shd w:val="clear" w:color="auto" w:fill="FFFFFF"/>
                    </w:rPr>
                    <w:t>7950</w:t>
                  </w:r>
                  <w:r>
                    <w:rPr>
                      <w:rFonts w:eastAsia="宋体"/>
                      <w:snapToGrid w:val="0"/>
                      <w:spacing w:val="0"/>
                      <w:szCs w:val="21"/>
                      <w:shd w:val="clear" w:color="auto" w:fill="FFFFFF"/>
                    </w:rPr>
                    <w:t>mg/kg（小鼠经口）</w:t>
                  </w:r>
                </w:p>
              </w:tc>
            </w:tr>
            <w:tr w14:paraId="082715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0CBF3A12">
                  <w:pPr>
                    <w:adjustRightInd w:val="0"/>
                    <w:snapToGrid w:val="0"/>
                    <w:jc w:val="center"/>
                    <w:rPr>
                      <w:kern w:val="0"/>
                      <w:szCs w:val="21"/>
                    </w:rPr>
                  </w:pPr>
                  <w:r>
                    <w:rPr>
                      <w:kern w:val="0"/>
                      <w:szCs w:val="21"/>
                    </w:rPr>
                    <w:t>石蜡油</w:t>
                  </w:r>
                </w:p>
              </w:tc>
              <w:tc>
                <w:tcPr>
                  <w:tcW w:w="2970" w:type="pct"/>
                  <w:vAlign w:val="center"/>
                </w:tcPr>
                <w:p w14:paraId="5A3C42F1">
                  <w:pPr>
                    <w:pStyle w:val="48"/>
                    <w:snapToGrid w:val="0"/>
                    <w:spacing w:line="240" w:lineRule="auto"/>
                    <w:jc w:val="center"/>
                    <w:rPr>
                      <w:rFonts w:eastAsia="宋体"/>
                      <w:snapToGrid w:val="0"/>
                      <w:spacing w:val="0"/>
                      <w:szCs w:val="21"/>
                      <w:shd w:val="clear" w:color="auto" w:fill="FFFFFF"/>
                    </w:rPr>
                  </w:pPr>
                  <w:r>
                    <w:rPr>
                      <w:rFonts w:eastAsia="宋体"/>
                      <w:snapToGrid w:val="0"/>
                      <w:spacing w:val="0"/>
                      <w:szCs w:val="21"/>
                      <w:shd w:val="clear" w:color="auto" w:fill="FFFFFF"/>
                    </w:rPr>
                    <w:t>CAS：8042-47-5，无色透明油状黏性液体，室温下无嗅无味，对酸、热、光都很稳定，密度0.831-0.883</w:t>
                  </w:r>
                  <w:r>
                    <w:rPr>
                      <w:rFonts w:eastAsia="宋体"/>
                      <w:snapToGrid w:val="0"/>
                      <w:spacing w:val="0"/>
                      <w:szCs w:val="21"/>
                    </w:rPr>
                    <w:t>g/cm</w:t>
                  </w:r>
                  <w:r>
                    <w:rPr>
                      <w:rFonts w:eastAsia="宋体"/>
                      <w:snapToGrid w:val="0"/>
                      <w:spacing w:val="0"/>
                      <w:szCs w:val="21"/>
                      <w:vertAlign w:val="superscript"/>
                    </w:rPr>
                    <w:t>3</w:t>
                  </w:r>
                  <w:r>
                    <w:rPr>
                      <w:rFonts w:eastAsia="宋体"/>
                      <w:snapToGrid w:val="0"/>
                      <w:spacing w:val="0"/>
                      <w:szCs w:val="21"/>
                      <w:shd w:val="clear" w:color="auto" w:fill="FFFFFF"/>
                    </w:rPr>
                    <w:t>，闪点164-223℃。不溶于水、甘油、冷乙醇，溶于热乙醇、二氧化碳、乙醚、酯、氯仿、苯、石油醚等。</w:t>
                  </w:r>
                </w:p>
              </w:tc>
              <w:tc>
                <w:tcPr>
                  <w:tcW w:w="317" w:type="pct"/>
                  <w:vAlign w:val="center"/>
                </w:tcPr>
                <w:p w14:paraId="4C156650">
                  <w:pPr>
                    <w:pStyle w:val="48"/>
                    <w:snapToGrid w:val="0"/>
                    <w:spacing w:line="240" w:lineRule="auto"/>
                    <w:jc w:val="center"/>
                    <w:rPr>
                      <w:rFonts w:eastAsia="宋体"/>
                      <w:snapToGrid w:val="0"/>
                      <w:spacing w:val="0"/>
                      <w:szCs w:val="21"/>
                    </w:rPr>
                  </w:pPr>
                  <w:r>
                    <w:rPr>
                      <w:rFonts w:eastAsia="宋体"/>
                      <w:snapToGrid w:val="0"/>
                      <w:spacing w:val="0"/>
                      <w:szCs w:val="21"/>
                    </w:rPr>
                    <w:t>可燃</w:t>
                  </w:r>
                </w:p>
              </w:tc>
              <w:tc>
                <w:tcPr>
                  <w:tcW w:w="1108" w:type="pct"/>
                  <w:vAlign w:val="center"/>
                </w:tcPr>
                <w:p w14:paraId="4688D469">
                  <w:pPr>
                    <w:pStyle w:val="48"/>
                    <w:snapToGrid w:val="0"/>
                    <w:spacing w:line="240" w:lineRule="auto"/>
                    <w:jc w:val="center"/>
                    <w:rPr>
                      <w:rFonts w:eastAsia="宋体"/>
                      <w:snapToGrid w:val="0"/>
                      <w:spacing w:val="0"/>
                      <w:szCs w:val="21"/>
                    </w:rPr>
                  </w:pPr>
                  <w:r>
                    <w:rPr>
                      <w:rFonts w:eastAsia="宋体"/>
                      <w:snapToGrid w:val="0"/>
                      <w:spacing w:val="0"/>
                      <w:szCs w:val="21"/>
                    </w:rPr>
                    <w:t>LD</w:t>
                  </w:r>
                  <w:r>
                    <w:rPr>
                      <w:rFonts w:eastAsia="宋体"/>
                      <w:snapToGrid w:val="0"/>
                      <w:spacing w:val="0"/>
                      <w:szCs w:val="21"/>
                      <w:vertAlign w:val="subscript"/>
                    </w:rPr>
                    <w:t>50</w:t>
                  </w:r>
                  <w:r>
                    <w:rPr>
                      <w:rFonts w:eastAsia="宋体"/>
                      <w:snapToGrid w:val="0"/>
                      <w:spacing w:val="0"/>
                      <w:szCs w:val="21"/>
                    </w:rPr>
                    <w:t>：</w:t>
                  </w:r>
                  <w:r>
                    <w:rPr>
                      <w:rFonts w:eastAsia="宋体"/>
                      <w:spacing w:val="0"/>
                      <w:szCs w:val="21"/>
                      <w:shd w:val="clear" w:color="auto" w:fill="FFFFFF"/>
                    </w:rPr>
                    <w:t>4000</w:t>
                  </w:r>
                  <w:r>
                    <w:rPr>
                      <w:rFonts w:eastAsia="宋体"/>
                      <w:snapToGrid w:val="0"/>
                      <w:spacing w:val="0"/>
                      <w:szCs w:val="21"/>
                      <w:shd w:val="clear" w:color="auto" w:fill="FFFFFF"/>
                    </w:rPr>
                    <w:t>mg/kg（大鼠经口）</w:t>
                  </w:r>
                </w:p>
              </w:tc>
            </w:tr>
            <w:tr w14:paraId="5268B3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3DE21462">
                  <w:pPr>
                    <w:adjustRightInd w:val="0"/>
                    <w:snapToGrid w:val="0"/>
                    <w:jc w:val="center"/>
                    <w:rPr>
                      <w:snapToGrid w:val="0"/>
                      <w:kern w:val="0"/>
                      <w:szCs w:val="21"/>
                      <w:shd w:val="clear" w:color="auto" w:fill="FFFFFF"/>
                    </w:rPr>
                  </w:pPr>
                  <w:r>
                    <w:rPr>
                      <w:snapToGrid w:val="0"/>
                      <w:kern w:val="0"/>
                      <w:szCs w:val="21"/>
                      <w:shd w:val="clear" w:color="auto" w:fill="FFFFFF"/>
                    </w:rPr>
                    <w:t>防老剂</w:t>
                  </w:r>
                </w:p>
              </w:tc>
              <w:tc>
                <w:tcPr>
                  <w:tcW w:w="2970" w:type="pct"/>
                  <w:vAlign w:val="center"/>
                </w:tcPr>
                <w:p w14:paraId="43885822">
                  <w:pPr>
                    <w:adjustRightInd w:val="0"/>
                    <w:snapToGrid w:val="0"/>
                    <w:jc w:val="center"/>
                    <w:rPr>
                      <w:snapToGrid w:val="0"/>
                      <w:kern w:val="0"/>
                      <w:szCs w:val="21"/>
                      <w:shd w:val="clear" w:color="auto" w:fill="FFFFFF"/>
                    </w:rPr>
                  </w:pPr>
                  <w:r>
                    <w:rPr>
                      <w:snapToGrid w:val="0"/>
                      <w:kern w:val="0"/>
                      <w:szCs w:val="21"/>
                      <w:shd w:val="clear" w:color="auto" w:fill="FFFFFF"/>
                    </w:rPr>
                    <w:t>2,2,4-三甲基-1,2-二氢喹啉聚合体，CAS编号：26780-96-1；分子式：(C12H15N)</w:t>
                  </w:r>
                  <w:r>
                    <w:rPr>
                      <w:snapToGrid w:val="0"/>
                      <w:kern w:val="0"/>
                      <w:szCs w:val="21"/>
                      <w:shd w:val="clear" w:color="auto" w:fill="FFFFFF"/>
                      <w:vertAlign w:val="subscript"/>
                    </w:rPr>
                    <w:t>n</w:t>
                  </w:r>
                  <w:r>
                    <w:rPr>
                      <w:snapToGrid w:val="0"/>
                      <w:kern w:val="0"/>
                      <w:szCs w:val="21"/>
                      <w:shd w:val="clear" w:color="auto" w:fill="FFFFFF"/>
                    </w:rPr>
                    <w:t>，密度：1.08g/cm</w:t>
                  </w:r>
                  <w:r>
                    <w:rPr>
                      <w:snapToGrid w:val="0"/>
                      <w:kern w:val="0"/>
                      <w:szCs w:val="21"/>
                      <w:shd w:val="clear" w:color="auto" w:fill="FFFFFF"/>
                      <w:vertAlign w:val="superscript"/>
                    </w:rPr>
                    <w:t>3</w:t>
                  </w:r>
                  <w:r>
                    <w:rPr>
                      <w:snapToGrid w:val="0"/>
                      <w:kern w:val="0"/>
                      <w:szCs w:val="21"/>
                      <w:shd w:val="clear" w:color="auto" w:fill="FFFFFF"/>
                    </w:rPr>
                    <w:t>，熔点：72-94℃，沸点：&gt;315℃，淡黄色至琥珀色粉末或薄片；纯品为琥珀色至灰白色树脂状粉末。主要用作橡胶防老剂。适用于天然胶及丁腈、丁苯、乙丙及氯丁等合成橡胶。对热和氧引起的老化防护效果极佳，但对屈挠老化防护效果较差。需与防老剂AW或对苯二胺类抗氧剂配合使用。溶于苯、氯仿、丙酮及二硫化碳。微溶于石油烃，不溶于水。</w:t>
                  </w:r>
                </w:p>
              </w:tc>
              <w:tc>
                <w:tcPr>
                  <w:tcW w:w="317" w:type="pct"/>
                  <w:vAlign w:val="center"/>
                </w:tcPr>
                <w:p w14:paraId="56BBCBF0">
                  <w:pPr>
                    <w:pStyle w:val="48"/>
                    <w:snapToGrid w:val="0"/>
                    <w:spacing w:line="240" w:lineRule="auto"/>
                    <w:jc w:val="center"/>
                    <w:rPr>
                      <w:rFonts w:eastAsia="宋体"/>
                      <w:snapToGrid w:val="0"/>
                      <w:spacing w:val="0"/>
                      <w:szCs w:val="21"/>
                    </w:rPr>
                  </w:pPr>
                  <w:r>
                    <w:rPr>
                      <w:rFonts w:eastAsia="宋体"/>
                    </w:rPr>
                    <w:t>可燃</w:t>
                  </w:r>
                </w:p>
              </w:tc>
              <w:tc>
                <w:tcPr>
                  <w:tcW w:w="1108" w:type="pct"/>
                  <w:vAlign w:val="center"/>
                </w:tcPr>
                <w:p w14:paraId="48ACF4E8">
                  <w:pPr>
                    <w:pStyle w:val="48"/>
                    <w:snapToGrid w:val="0"/>
                    <w:spacing w:line="240" w:lineRule="auto"/>
                    <w:jc w:val="center"/>
                    <w:rPr>
                      <w:rFonts w:eastAsia="宋体"/>
                      <w:snapToGrid w:val="0"/>
                      <w:spacing w:val="0"/>
                      <w:szCs w:val="21"/>
                    </w:rPr>
                  </w:pPr>
                  <w:r>
                    <w:rPr>
                      <w:rFonts w:eastAsia="宋体"/>
                      <w:snapToGrid w:val="0"/>
                      <w:spacing w:val="0"/>
                      <w:szCs w:val="21"/>
                    </w:rPr>
                    <w:t>/</w:t>
                  </w:r>
                </w:p>
              </w:tc>
            </w:tr>
            <w:tr w14:paraId="6088B6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4C78B258">
                  <w:pPr>
                    <w:adjustRightInd w:val="0"/>
                    <w:snapToGrid w:val="0"/>
                    <w:jc w:val="center"/>
                    <w:rPr>
                      <w:kern w:val="0"/>
                      <w:szCs w:val="21"/>
                    </w:rPr>
                  </w:pPr>
                  <w:r>
                    <w:rPr>
                      <w:rFonts w:hint="eastAsia"/>
                      <w:kern w:val="0"/>
                      <w:szCs w:val="21"/>
                    </w:rPr>
                    <w:t>过氧化二异丙苯</w:t>
                  </w:r>
                </w:p>
              </w:tc>
              <w:tc>
                <w:tcPr>
                  <w:tcW w:w="2970" w:type="pct"/>
                  <w:vAlign w:val="center"/>
                </w:tcPr>
                <w:p w14:paraId="242DCE8F">
                  <w:pPr>
                    <w:pStyle w:val="48"/>
                    <w:snapToGrid w:val="0"/>
                    <w:spacing w:line="240" w:lineRule="auto"/>
                    <w:jc w:val="center"/>
                    <w:rPr>
                      <w:rFonts w:eastAsia="宋体"/>
                      <w:snapToGrid w:val="0"/>
                      <w:spacing w:val="0"/>
                      <w:szCs w:val="21"/>
                      <w:shd w:val="clear" w:color="auto" w:fill="FFFFFF"/>
                    </w:rPr>
                  </w:pPr>
                  <w:r>
                    <w:rPr>
                      <w:rFonts w:hint="eastAsia" w:eastAsia="宋体"/>
                      <w:snapToGrid w:val="0"/>
                      <w:spacing w:val="0"/>
                      <w:szCs w:val="21"/>
                      <w:shd w:val="clear" w:color="auto" w:fill="FFFFFF"/>
                    </w:rPr>
                    <w:t>白色结晶固体，微弱的气味，熔点：39.6</w:t>
                  </w:r>
                  <w:r>
                    <w:rPr>
                      <w:rFonts w:eastAsia="宋体"/>
                      <w:spacing w:val="0"/>
                      <w:szCs w:val="21"/>
                      <w:shd w:val="clear" w:color="auto" w:fill="FFFFFF"/>
                    </w:rPr>
                    <w:t>℃</w:t>
                  </w:r>
                  <w:r>
                    <w:rPr>
                      <w:rFonts w:hint="eastAsia" w:eastAsia="宋体"/>
                      <w:spacing w:val="0"/>
                      <w:szCs w:val="21"/>
                      <w:shd w:val="clear" w:color="auto" w:fill="FFFFFF"/>
                    </w:rPr>
                    <w:t>，蒸气压：0.3hpa在101</w:t>
                  </w:r>
                  <w:r>
                    <w:rPr>
                      <w:rFonts w:eastAsia="宋体"/>
                      <w:spacing w:val="0"/>
                      <w:szCs w:val="21"/>
                      <w:shd w:val="clear" w:color="auto" w:fill="FFFFFF"/>
                    </w:rPr>
                    <w:t>℃</w:t>
                  </w:r>
                  <w:r>
                    <w:rPr>
                      <w:rFonts w:hint="eastAsia" w:eastAsia="宋体"/>
                      <w:spacing w:val="0"/>
                      <w:szCs w:val="21"/>
                      <w:shd w:val="clear" w:color="auto" w:fill="FFFFFF"/>
                    </w:rPr>
                    <w:t>，相对密度：大约1.1在20</w:t>
                  </w:r>
                  <w:r>
                    <w:rPr>
                      <w:rFonts w:eastAsia="宋体"/>
                      <w:spacing w:val="0"/>
                      <w:szCs w:val="21"/>
                      <w:shd w:val="clear" w:color="auto" w:fill="FFFFFF"/>
                    </w:rPr>
                    <w:t>℃</w:t>
                  </w:r>
                  <w:r>
                    <w:rPr>
                      <w:rFonts w:hint="eastAsia" w:eastAsia="宋体"/>
                      <w:spacing w:val="0"/>
                      <w:szCs w:val="21"/>
                      <w:shd w:val="clear" w:color="auto" w:fill="FFFFFF"/>
                    </w:rPr>
                    <w:t>，在绝大多数有机溶剂中可溶解。</w:t>
                  </w:r>
                </w:p>
              </w:tc>
              <w:tc>
                <w:tcPr>
                  <w:tcW w:w="317" w:type="pct"/>
                  <w:vAlign w:val="center"/>
                </w:tcPr>
                <w:p w14:paraId="68FF223A">
                  <w:pPr>
                    <w:pStyle w:val="48"/>
                    <w:snapToGrid w:val="0"/>
                    <w:spacing w:line="240" w:lineRule="auto"/>
                    <w:jc w:val="center"/>
                    <w:rPr>
                      <w:rFonts w:eastAsia="宋体"/>
                      <w:snapToGrid w:val="0"/>
                      <w:spacing w:val="0"/>
                      <w:szCs w:val="21"/>
                    </w:rPr>
                  </w:pPr>
                  <w:r>
                    <w:rPr>
                      <w:rFonts w:hint="eastAsia" w:eastAsia="宋体"/>
                      <w:snapToGrid w:val="0"/>
                      <w:spacing w:val="0"/>
                      <w:szCs w:val="21"/>
                    </w:rPr>
                    <w:t>易燃</w:t>
                  </w:r>
                </w:p>
              </w:tc>
              <w:tc>
                <w:tcPr>
                  <w:tcW w:w="1108" w:type="pct"/>
                  <w:vAlign w:val="center"/>
                </w:tcPr>
                <w:p w14:paraId="151EA3A5">
                  <w:pPr>
                    <w:pStyle w:val="48"/>
                    <w:snapToGrid w:val="0"/>
                    <w:spacing w:line="240" w:lineRule="auto"/>
                    <w:jc w:val="center"/>
                    <w:rPr>
                      <w:rFonts w:eastAsia="宋体"/>
                      <w:snapToGrid w:val="0"/>
                      <w:spacing w:val="0"/>
                      <w:szCs w:val="21"/>
                    </w:rPr>
                  </w:pPr>
                  <w:r>
                    <w:rPr>
                      <w:rFonts w:hint="eastAsia" w:eastAsia="宋体"/>
                      <w:snapToGrid w:val="0"/>
                      <w:spacing w:val="0"/>
                      <w:szCs w:val="21"/>
                    </w:rPr>
                    <w:t>对鱼类的毒性：LC50：&gt;50mg/L</w:t>
                  </w:r>
                </w:p>
              </w:tc>
            </w:tr>
            <w:tr w14:paraId="66CD7B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160309D8">
                  <w:pPr>
                    <w:adjustRightInd w:val="0"/>
                    <w:snapToGrid w:val="0"/>
                    <w:jc w:val="center"/>
                    <w:rPr>
                      <w:kern w:val="0"/>
                      <w:szCs w:val="21"/>
                    </w:rPr>
                  </w:pPr>
                  <w:r>
                    <w:rPr>
                      <w:kern w:val="0"/>
                    </w:rPr>
                    <w:t>炭黑C</w:t>
                  </w:r>
                </w:p>
              </w:tc>
              <w:tc>
                <w:tcPr>
                  <w:tcW w:w="2970" w:type="pct"/>
                  <w:vAlign w:val="center"/>
                </w:tcPr>
                <w:p w14:paraId="74396A02">
                  <w:pPr>
                    <w:adjustRightInd w:val="0"/>
                    <w:snapToGrid w:val="0"/>
                    <w:jc w:val="center"/>
                    <w:rPr>
                      <w:kern w:val="0"/>
                      <w:szCs w:val="21"/>
                    </w:rPr>
                  </w:pPr>
                  <w:r>
                    <w:rPr>
                      <w:rFonts w:hint="eastAsia"/>
                      <w:kern w:val="0"/>
                      <w:szCs w:val="21"/>
                    </w:rPr>
                    <w:t>极易燃烧。其蒸气与空气可形成爆炸性混合物。遇明火、高热极易燃烧爆炸。与氧化剂能发生强烈反应。其蒸气比空气重，能在较低处扩散到相当远的地方，遇明火会引着回燃。据GB50058-92《爆炸和火灾管理环境电力装置设计规范》附录四，其高温表明堆积粉尘层5mm厚时的引燃温度535℃，粉尘云的引燃温度&gt;600℃，爆炸下限浓度36~45g/m</w:t>
                  </w:r>
                  <w:r>
                    <w:rPr>
                      <w:rFonts w:hint="eastAsia"/>
                      <w:kern w:val="0"/>
                      <w:szCs w:val="21"/>
                      <w:vertAlign w:val="superscript"/>
                    </w:rPr>
                    <w:t>3</w:t>
                  </w:r>
                  <w:r>
                    <w:rPr>
                      <w:rFonts w:hint="eastAsia"/>
                      <w:kern w:val="0"/>
                      <w:szCs w:val="21"/>
                    </w:rPr>
                    <w:t>，相应粉尘粒径10-20µm。</w:t>
                  </w:r>
                </w:p>
              </w:tc>
              <w:tc>
                <w:tcPr>
                  <w:tcW w:w="317" w:type="pct"/>
                  <w:vAlign w:val="center"/>
                </w:tcPr>
                <w:p w14:paraId="10DD220F">
                  <w:pPr>
                    <w:adjustRightInd w:val="0"/>
                    <w:snapToGrid w:val="0"/>
                    <w:jc w:val="center"/>
                    <w:rPr>
                      <w:kern w:val="0"/>
                      <w:szCs w:val="21"/>
                    </w:rPr>
                  </w:pPr>
                  <w:r>
                    <w:rPr>
                      <w:rFonts w:hint="eastAsia"/>
                      <w:kern w:val="0"/>
                      <w:szCs w:val="21"/>
                    </w:rPr>
                    <w:t>易燃</w:t>
                  </w:r>
                </w:p>
              </w:tc>
              <w:tc>
                <w:tcPr>
                  <w:tcW w:w="1108" w:type="pct"/>
                  <w:vAlign w:val="center"/>
                </w:tcPr>
                <w:p w14:paraId="31A42889">
                  <w:pPr>
                    <w:adjustRightInd w:val="0"/>
                    <w:snapToGrid w:val="0"/>
                    <w:jc w:val="center"/>
                    <w:rPr>
                      <w:kern w:val="0"/>
                      <w:szCs w:val="21"/>
                    </w:rPr>
                  </w:pPr>
                  <w:r>
                    <w:rPr>
                      <w:kern w:val="0"/>
                    </w:rPr>
                    <w:t>急性毒性：LD</w:t>
                  </w:r>
                  <w:r>
                    <w:rPr>
                      <w:kern w:val="0"/>
                      <w:vertAlign w:val="subscript"/>
                    </w:rPr>
                    <w:t>50</w:t>
                  </w:r>
                  <w:r>
                    <w:rPr>
                      <w:kern w:val="0"/>
                    </w:rPr>
                    <w:t>67000mg/kg(</w:t>
                  </w:r>
                  <w:r>
                    <w:rPr>
                      <w:rFonts w:ascii="宋体" w:hAnsi="宋体"/>
                      <w:kern w:val="0"/>
                    </w:rPr>
                    <w:t>小鼠经口</w:t>
                  </w:r>
                  <w:r>
                    <w:rPr>
                      <w:kern w:val="0"/>
                    </w:rPr>
                    <w:t>)</w:t>
                  </w:r>
                  <w:r>
                    <w:rPr>
                      <w:rFonts w:ascii="宋体" w:hAnsi="宋体"/>
                      <w:kern w:val="0"/>
                    </w:rPr>
                    <w:t>；</w:t>
                  </w:r>
                  <w:r>
                    <w:rPr>
                      <w:kern w:val="0"/>
                    </w:rPr>
                    <w:t>LC</w:t>
                  </w:r>
                  <w:r>
                    <w:rPr>
                      <w:kern w:val="0"/>
                      <w:vertAlign w:val="subscript"/>
                    </w:rPr>
                    <w:t>50</w:t>
                  </w:r>
                  <w:r>
                    <w:rPr>
                      <w:kern w:val="0"/>
                    </w:rPr>
                    <w:t>103000mg/m</w:t>
                  </w:r>
                  <w:r>
                    <w:rPr>
                      <w:kern w:val="0"/>
                      <w:vertAlign w:val="superscript"/>
                    </w:rPr>
                    <w:t>3</w:t>
                  </w:r>
                  <w:r>
                    <w:rPr>
                      <w:kern w:val="0"/>
                    </w:rPr>
                    <w:t>，2</w:t>
                  </w:r>
                  <w:r>
                    <w:rPr>
                      <w:rFonts w:ascii="宋体" w:hAnsi="宋体"/>
                      <w:kern w:val="0"/>
                    </w:rPr>
                    <w:t>小时</w:t>
                  </w:r>
                  <w:r>
                    <w:rPr>
                      <w:kern w:val="0"/>
                    </w:rPr>
                    <w:t>(</w:t>
                  </w:r>
                  <w:r>
                    <w:rPr>
                      <w:rFonts w:ascii="宋体" w:hAnsi="宋体"/>
                      <w:kern w:val="0"/>
                    </w:rPr>
                    <w:t>小鼠吸入</w:t>
                  </w:r>
                  <w:r>
                    <w:rPr>
                      <w:kern w:val="0"/>
                    </w:rPr>
                    <w:t>)</w:t>
                  </w:r>
                </w:p>
              </w:tc>
            </w:tr>
            <w:tr w14:paraId="2C55EF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2A47B41F">
                  <w:pPr>
                    <w:adjustRightInd w:val="0"/>
                    <w:snapToGrid w:val="0"/>
                    <w:jc w:val="center"/>
                    <w:textAlignment w:val="center"/>
                    <w:rPr>
                      <w:kern w:val="0"/>
                    </w:rPr>
                  </w:pPr>
                  <w:r>
                    <w:rPr>
                      <w:kern w:val="0"/>
                      <w:szCs w:val="21"/>
                    </w:rPr>
                    <w:t>切削液</w:t>
                  </w:r>
                </w:p>
              </w:tc>
              <w:tc>
                <w:tcPr>
                  <w:tcW w:w="2970" w:type="pct"/>
                  <w:vAlign w:val="center"/>
                </w:tcPr>
                <w:p w14:paraId="244631BC">
                  <w:pPr>
                    <w:pStyle w:val="48"/>
                    <w:snapToGrid w:val="0"/>
                    <w:spacing w:line="240" w:lineRule="auto"/>
                    <w:jc w:val="center"/>
                    <w:rPr>
                      <w:rFonts w:eastAsia="宋体"/>
                      <w:szCs w:val="21"/>
                    </w:rPr>
                  </w:pPr>
                  <w:r>
                    <w:rPr>
                      <w:rFonts w:eastAsia="宋体"/>
                      <w:spacing w:val="0"/>
                      <w:kern w:val="2"/>
                      <w:shd w:val="clear" w:color="auto" w:fill="FFFFFF"/>
                    </w:rPr>
                    <w:t>液体，是一种用在金属切削、磨加工过程中，用来冷却和润滑刀具和加工件的工业用液体，具有良好的冷却、清洗、防锈等特点，无毒无味，闪点为160℃。</w:t>
                  </w:r>
                </w:p>
              </w:tc>
              <w:tc>
                <w:tcPr>
                  <w:tcW w:w="317" w:type="pct"/>
                  <w:vAlign w:val="center"/>
                </w:tcPr>
                <w:p w14:paraId="7EDE7EDE">
                  <w:pPr>
                    <w:pStyle w:val="48"/>
                    <w:snapToGrid w:val="0"/>
                    <w:spacing w:line="240" w:lineRule="auto"/>
                    <w:jc w:val="center"/>
                    <w:rPr>
                      <w:rFonts w:eastAsia="宋体"/>
                      <w:szCs w:val="21"/>
                    </w:rPr>
                  </w:pPr>
                  <w:r>
                    <w:rPr>
                      <w:rFonts w:eastAsia="宋体"/>
                      <w:szCs w:val="21"/>
                    </w:rPr>
                    <w:t>可燃</w:t>
                  </w:r>
                </w:p>
              </w:tc>
              <w:tc>
                <w:tcPr>
                  <w:tcW w:w="1108" w:type="pct"/>
                  <w:vAlign w:val="center"/>
                </w:tcPr>
                <w:p w14:paraId="7FF4FC9C">
                  <w:pPr>
                    <w:pStyle w:val="48"/>
                    <w:snapToGrid w:val="0"/>
                    <w:spacing w:line="240" w:lineRule="auto"/>
                    <w:jc w:val="center"/>
                  </w:pPr>
                  <w:r>
                    <w:rPr>
                      <w:rFonts w:eastAsia="宋体"/>
                      <w:szCs w:val="21"/>
                    </w:rPr>
                    <w:t>/</w:t>
                  </w:r>
                </w:p>
              </w:tc>
            </w:tr>
            <w:tr w14:paraId="20FDBA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2DD79301">
                  <w:pPr>
                    <w:adjustRightInd w:val="0"/>
                    <w:snapToGrid w:val="0"/>
                    <w:jc w:val="center"/>
                    <w:textAlignment w:val="center"/>
                    <w:rPr>
                      <w:kern w:val="0"/>
                      <w:szCs w:val="21"/>
                    </w:rPr>
                  </w:pPr>
                  <w:r>
                    <w:rPr>
                      <w:rFonts w:hint="eastAsia"/>
                      <w:kern w:val="0"/>
                      <w:szCs w:val="21"/>
                    </w:rPr>
                    <w:t>脱脂剂</w:t>
                  </w:r>
                </w:p>
              </w:tc>
              <w:tc>
                <w:tcPr>
                  <w:tcW w:w="2970" w:type="pct"/>
                  <w:vAlign w:val="center"/>
                </w:tcPr>
                <w:p w14:paraId="659EE009">
                  <w:pPr>
                    <w:pStyle w:val="48"/>
                    <w:snapToGrid w:val="0"/>
                    <w:spacing w:line="240" w:lineRule="auto"/>
                    <w:jc w:val="center"/>
                    <w:rPr>
                      <w:rFonts w:eastAsia="宋体"/>
                      <w:spacing w:val="0"/>
                      <w:kern w:val="2"/>
                      <w:shd w:val="clear" w:color="auto" w:fill="FFFFFF"/>
                    </w:rPr>
                  </w:pPr>
                  <w:r>
                    <w:rPr>
                      <w:rFonts w:hint="eastAsia" w:eastAsia="宋体"/>
                      <w:spacing w:val="0"/>
                      <w:kern w:val="2"/>
                      <w:shd w:val="clear" w:color="auto" w:fill="FFFFFF"/>
                    </w:rPr>
                    <w:t>粉状，pH：大于12，熔点：318.4</w:t>
                  </w:r>
                  <w:r>
                    <w:rPr>
                      <w:rFonts w:eastAsia="宋体"/>
                      <w:spacing w:val="0"/>
                      <w:kern w:val="2"/>
                      <w:shd w:val="clear" w:color="auto" w:fill="FFFFFF"/>
                    </w:rPr>
                    <w:t>℃</w:t>
                  </w:r>
                  <w:r>
                    <w:rPr>
                      <w:rFonts w:hint="eastAsia" w:eastAsia="宋体"/>
                      <w:spacing w:val="0"/>
                      <w:kern w:val="2"/>
                      <w:shd w:val="clear" w:color="auto" w:fill="FFFFFF"/>
                    </w:rPr>
                    <w:t>，相对密度：1</w:t>
                  </w:r>
                  <w:r>
                    <w:rPr>
                      <w:rFonts w:eastAsia="宋体"/>
                      <w:spacing w:val="0"/>
                      <w:kern w:val="2"/>
                      <w:shd w:val="clear" w:color="auto" w:fill="FFFFFF"/>
                    </w:rPr>
                    <w:t>±</w:t>
                  </w:r>
                  <w:r>
                    <w:rPr>
                      <w:rFonts w:hint="eastAsia" w:eastAsia="宋体"/>
                      <w:spacing w:val="0"/>
                      <w:kern w:val="2"/>
                      <w:shd w:val="clear" w:color="auto" w:fill="FFFFFF"/>
                    </w:rPr>
                    <w:t>0.3，良好的稳定性，用于金属的清洗</w:t>
                  </w:r>
                </w:p>
              </w:tc>
              <w:tc>
                <w:tcPr>
                  <w:tcW w:w="317" w:type="pct"/>
                  <w:vAlign w:val="center"/>
                </w:tcPr>
                <w:p w14:paraId="3FB67E6A">
                  <w:pPr>
                    <w:pStyle w:val="48"/>
                    <w:snapToGrid w:val="0"/>
                    <w:spacing w:line="240" w:lineRule="auto"/>
                    <w:jc w:val="center"/>
                    <w:rPr>
                      <w:rFonts w:eastAsia="宋体"/>
                      <w:szCs w:val="21"/>
                    </w:rPr>
                  </w:pPr>
                  <w:r>
                    <w:rPr>
                      <w:rFonts w:eastAsia="宋体"/>
                      <w:snapToGrid w:val="0"/>
                      <w:spacing w:val="0"/>
                      <w:szCs w:val="21"/>
                    </w:rPr>
                    <w:t>不燃</w:t>
                  </w:r>
                </w:p>
              </w:tc>
              <w:tc>
                <w:tcPr>
                  <w:tcW w:w="1108" w:type="pct"/>
                  <w:vAlign w:val="center"/>
                </w:tcPr>
                <w:p w14:paraId="5429E288">
                  <w:pPr>
                    <w:pStyle w:val="48"/>
                    <w:snapToGrid w:val="0"/>
                    <w:spacing w:line="240" w:lineRule="auto"/>
                    <w:jc w:val="center"/>
                    <w:rPr>
                      <w:rFonts w:eastAsia="宋体"/>
                      <w:szCs w:val="21"/>
                    </w:rPr>
                  </w:pPr>
                  <w:r>
                    <w:rPr>
                      <w:rFonts w:eastAsia="宋体"/>
                      <w:szCs w:val="21"/>
                    </w:rPr>
                    <w:t>/</w:t>
                  </w:r>
                </w:p>
              </w:tc>
            </w:tr>
            <w:tr w14:paraId="4F285D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14" w:type="dxa"/>
                  <w:vAlign w:val="center"/>
                </w:tcPr>
                <w:p w14:paraId="36D0B10B">
                  <w:pPr>
                    <w:adjustRightInd w:val="0"/>
                    <w:snapToGrid w:val="0"/>
                    <w:jc w:val="left"/>
                    <w:textAlignment w:val="center"/>
                    <w:rPr>
                      <w:kern w:val="0"/>
                      <w:szCs w:val="21"/>
                    </w:rPr>
                  </w:pPr>
                  <w:r>
                    <w:rPr>
                      <w:rFonts w:hint="eastAsia"/>
                      <w:kern w:val="0"/>
                      <w:szCs w:val="21"/>
                      <w:highlight w:val="black"/>
                      <w:lang w:val="en-US" w:eastAsia="zh-CN"/>
                    </w:rPr>
                    <w:t xml:space="preserve">   </w:t>
                  </w:r>
                </w:p>
              </w:tc>
              <w:tc>
                <w:tcPr>
                  <w:tcW w:w="4981" w:type="dxa"/>
                  <w:vAlign w:val="center"/>
                </w:tcPr>
                <w:p w14:paraId="26F96082">
                  <w:pPr>
                    <w:pStyle w:val="48"/>
                    <w:snapToGrid w:val="0"/>
                    <w:spacing w:line="240" w:lineRule="auto"/>
                    <w:jc w:val="left"/>
                    <w:rPr>
                      <w:rFonts w:eastAsia="宋体"/>
                      <w:spacing w:val="0"/>
                      <w:kern w:val="2"/>
                      <w:shd w:val="clear" w:color="auto" w:fill="FFFFFF"/>
                    </w:rPr>
                  </w:pPr>
                  <w:r>
                    <w:rPr>
                      <w:rFonts w:hint="eastAsia" w:eastAsia="宋体"/>
                      <w:spacing w:val="0"/>
                      <w:kern w:val="2"/>
                      <w:highlight w:val="black"/>
                      <w:shd w:val="clear" w:color="auto" w:fill="FFFFFF"/>
                      <w:lang w:val="en-US" w:eastAsia="zh-CN"/>
                    </w:rPr>
                    <w:t xml:space="preserve">                  </w:t>
                  </w:r>
                </w:p>
              </w:tc>
              <w:tc>
                <w:tcPr>
                  <w:tcW w:w="532" w:type="dxa"/>
                  <w:vAlign w:val="center"/>
                </w:tcPr>
                <w:p w14:paraId="0FF57031">
                  <w:pPr>
                    <w:pStyle w:val="48"/>
                    <w:snapToGrid w:val="0"/>
                    <w:spacing w:line="240" w:lineRule="auto"/>
                    <w:jc w:val="left"/>
                    <w:rPr>
                      <w:rFonts w:eastAsia="宋体"/>
                      <w:snapToGrid w:val="0"/>
                      <w:spacing w:val="0"/>
                      <w:szCs w:val="21"/>
                    </w:rPr>
                  </w:pPr>
                  <w:r>
                    <w:rPr>
                      <w:rFonts w:hint="eastAsia" w:eastAsia="宋体"/>
                      <w:spacing w:val="0"/>
                      <w:kern w:val="2"/>
                      <w:highlight w:val="black"/>
                      <w:shd w:val="clear" w:color="auto" w:fill="FFFFFF"/>
                      <w:lang w:val="en-US" w:eastAsia="zh-CN"/>
                    </w:rPr>
                    <w:t xml:space="preserve">   </w:t>
                  </w:r>
                </w:p>
              </w:tc>
              <w:tc>
                <w:tcPr>
                  <w:tcW w:w="1859" w:type="dxa"/>
                  <w:vAlign w:val="center"/>
                </w:tcPr>
                <w:p w14:paraId="08F20AD0">
                  <w:pPr>
                    <w:pStyle w:val="48"/>
                    <w:snapToGrid w:val="0"/>
                    <w:spacing w:line="240" w:lineRule="auto"/>
                    <w:jc w:val="left"/>
                    <w:rPr>
                      <w:rFonts w:eastAsia="宋体"/>
                      <w:spacing w:val="0"/>
                      <w:kern w:val="2"/>
                      <w:shd w:val="clear" w:color="auto" w:fill="FFFFFF"/>
                    </w:rPr>
                  </w:pPr>
                  <w:r>
                    <w:rPr>
                      <w:rFonts w:hint="eastAsia" w:eastAsia="宋体"/>
                      <w:spacing w:val="0"/>
                      <w:kern w:val="2"/>
                      <w:highlight w:val="black"/>
                      <w:shd w:val="clear" w:color="auto" w:fill="FFFFFF"/>
                      <w:lang w:val="en-US" w:eastAsia="zh-CN"/>
                    </w:rPr>
                    <w:t xml:space="preserve">     </w:t>
                  </w:r>
                </w:p>
              </w:tc>
            </w:tr>
            <w:tr w14:paraId="1949DB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789B15CE">
                  <w:pPr>
                    <w:adjustRightInd w:val="0"/>
                    <w:snapToGrid w:val="0"/>
                    <w:jc w:val="center"/>
                    <w:textAlignment w:val="center"/>
                    <w:rPr>
                      <w:kern w:val="0"/>
                      <w:szCs w:val="21"/>
                    </w:rPr>
                  </w:pPr>
                  <w:r>
                    <w:rPr>
                      <w:rFonts w:hint="eastAsia"/>
                      <w:kern w:val="0"/>
                      <w:szCs w:val="21"/>
                    </w:rPr>
                    <w:t>碳酸氢钠</w:t>
                  </w:r>
                </w:p>
              </w:tc>
              <w:tc>
                <w:tcPr>
                  <w:tcW w:w="2970" w:type="pct"/>
                  <w:vAlign w:val="center"/>
                </w:tcPr>
                <w:p w14:paraId="78DF5713">
                  <w:pPr>
                    <w:pStyle w:val="48"/>
                    <w:snapToGrid w:val="0"/>
                    <w:spacing w:line="240" w:lineRule="auto"/>
                    <w:jc w:val="center"/>
                    <w:rPr>
                      <w:rFonts w:eastAsia="宋体"/>
                      <w:spacing w:val="0"/>
                      <w:kern w:val="2"/>
                      <w:shd w:val="clear" w:color="auto" w:fill="FFFFFF"/>
                    </w:rPr>
                  </w:pPr>
                  <w:r>
                    <w:rPr>
                      <w:rFonts w:eastAsia="宋体"/>
                      <w:spacing w:val="0"/>
                      <w:kern w:val="2"/>
                      <w:shd w:val="clear" w:color="auto" w:fill="FFFFFF"/>
                    </w:rPr>
                    <w:t>分子式为NaHCO₃，是一种无机化合物，白色粉末或细微晶体，无臭，味咸，易溶于水，微溶于乙醇（一说不溶），水溶液呈微碱性</w:t>
                  </w:r>
                  <w:r>
                    <w:rPr>
                      <w:rFonts w:hint="eastAsia" w:eastAsia="宋体"/>
                      <w:spacing w:val="0"/>
                      <w:kern w:val="2"/>
                      <w:shd w:val="clear" w:color="auto" w:fill="FFFFFF"/>
                    </w:rPr>
                    <w:t>，</w:t>
                  </w:r>
                  <w:r>
                    <w:rPr>
                      <w:rFonts w:eastAsia="宋体"/>
                      <w:spacing w:val="0"/>
                      <w:kern w:val="2"/>
                      <w:shd w:val="clear" w:color="auto" w:fill="FFFFFF"/>
                    </w:rPr>
                    <w:t>在水中溶解度为7.8 g（18 ℃）、16.0 g（60 ℃），密度2.20 g/cm</w:t>
                  </w:r>
                  <w:r>
                    <w:rPr>
                      <w:rFonts w:eastAsia="宋体"/>
                      <w:spacing w:val="0"/>
                      <w:kern w:val="2"/>
                      <w:shd w:val="clear" w:color="auto" w:fill="FFFFFF"/>
                      <w:vertAlign w:val="superscript"/>
                    </w:rPr>
                    <w:t>3</w:t>
                  </w:r>
                  <w:r>
                    <w:rPr>
                      <w:rFonts w:eastAsia="宋体"/>
                      <w:spacing w:val="0"/>
                      <w:kern w:val="2"/>
                      <w:shd w:val="clear" w:color="auto" w:fill="FFFFFF"/>
                    </w:rPr>
                    <w:t>，比重为2.208。受热易分解，在潮湿空气中缓慢分解，产生二氧化碳，约50℃开始分解，加热至270℃完全分解。遇酸则强烈分解，产生二氧化碳。碳酸氢钠广泛应用于化工、医药、食品、轻工、纺织等工业领域以及人们的日常生活, 在国民经济中占有重要的地位</w:t>
                  </w:r>
                </w:p>
              </w:tc>
              <w:tc>
                <w:tcPr>
                  <w:tcW w:w="317" w:type="pct"/>
                  <w:vAlign w:val="center"/>
                </w:tcPr>
                <w:p w14:paraId="07F53B7D">
                  <w:pPr>
                    <w:pStyle w:val="48"/>
                    <w:snapToGrid w:val="0"/>
                    <w:spacing w:line="240" w:lineRule="auto"/>
                    <w:jc w:val="center"/>
                    <w:rPr>
                      <w:rFonts w:eastAsia="宋体"/>
                      <w:snapToGrid w:val="0"/>
                      <w:spacing w:val="0"/>
                      <w:szCs w:val="21"/>
                    </w:rPr>
                  </w:pPr>
                  <w:r>
                    <w:rPr>
                      <w:rFonts w:eastAsia="宋体"/>
                      <w:snapToGrid w:val="0"/>
                      <w:spacing w:val="0"/>
                      <w:szCs w:val="21"/>
                    </w:rPr>
                    <w:t>不燃</w:t>
                  </w:r>
                </w:p>
              </w:tc>
              <w:tc>
                <w:tcPr>
                  <w:tcW w:w="1108" w:type="pct"/>
                  <w:vAlign w:val="center"/>
                </w:tcPr>
                <w:p w14:paraId="2928B2E6">
                  <w:pPr>
                    <w:pStyle w:val="48"/>
                    <w:snapToGrid w:val="0"/>
                    <w:spacing w:line="240" w:lineRule="auto"/>
                    <w:jc w:val="center"/>
                    <w:rPr>
                      <w:rFonts w:eastAsia="宋体"/>
                      <w:spacing w:val="0"/>
                      <w:kern w:val="2"/>
                      <w:shd w:val="clear" w:color="auto" w:fill="FFFFFF"/>
                    </w:rPr>
                  </w:pPr>
                  <w:r>
                    <w:rPr>
                      <w:rFonts w:eastAsia="宋体"/>
                      <w:spacing w:val="0"/>
                      <w:kern w:val="2"/>
                      <w:shd w:val="clear" w:color="auto" w:fill="FFFFFF"/>
                    </w:rPr>
                    <w:t>大鼠经口半数死亡率LD</w:t>
                  </w:r>
                  <w:r>
                    <w:rPr>
                      <w:rFonts w:eastAsia="宋体"/>
                      <w:spacing w:val="0"/>
                      <w:kern w:val="2"/>
                      <w:shd w:val="clear" w:color="auto" w:fill="FFFFFF"/>
                      <w:vertAlign w:val="subscript"/>
                    </w:rPr>
                    <w:t>50</w:t>
                  </w:r>
                  <w:r>
                    <w:rPr>
                      <w:rFonts w:eastAsia="宋体"/>
                      <w:spacing w:val="0"/>
                      <w:kern w:val="2"/>
                      <w:shd w:val="clear" w:color="auto" w:fill="FFFFFF"/>
                    </w:rPr>
                    <w:t>：4220mg/kg；小鼠经口LD</w:t>
                  </w:r>
                  <w:r>
                    <w:rPr>
                      <w:rFonts w:eastAsia="宋体"/>
                      <w:spacing w:val="0"/>
                      <w:kern w:val="2"/>
                      <w:shd w:val="clear" w:color="auto" w:fill="FFFFFF"/>
                      <w:vertAlign w:val="subscript"/>
                    </w:rPr>
                    <w:t>50</w:t>
                  </w:r>
                  <w:r>
                    <w:rPr>
                      <w:rFonts w:eastAsia="宋体"/>
                      <w:spacing w:val="0"/>
                      <w:kern w:val="2"/>
                      <w:shd w:val="clear" w:color="auto" w:fill="FFFFFF"/>
                    </w:rPr>
                    <w:t>：3360mg/kg</w:t>
                  </w:r>
                </w:p>
              </w:tc>
            </w:tr>
            <w:tr w14:paraId="18F5A2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65332386">
                  <w:pPr>
                    <w:adjustRightInd w:val="0"/>
                    <w:snapToGrid w:val="0"/>
                    <w:jc w:val="left"/>
                    <w:textAlignment w:val="center"/>
                    <w:rPr>
                      <w:rFonts w:hint="default" w:eastAsia="宋体"/>
                      <w:kern w:val="0"/>
                      <w:szCs w:val="21"/>
                      <w:highlight w:val="black"/>
                      <w:lang w:val="en-US" w:eastAsia="zh-CN"/>
                    </w:rPr>
                  </w:pPr>
                  <w:r>
                    <w:rPr>
                      <w:rFonts w:hint="eastAsia"/>
                      <w:kern w:val="0"/>
                      <w:szCs w:val="21"/>
                      <w:highlight w:val="black"/>
                      <w:lang w:val="en-US" w:eastAsia="zh-CN"/>
                    </w:rPr>
                    <w:t xml:space="preserve">   </w:t>
                  </w:r>
                </w:p>
              </w:tc>
              <w:tc>
                <w:tcPr>
                  <w:tcW w:w="2970" w:type="pct"/>
                  <w:vAlign w:val="center"/>
                </w:tcPr>
                <w:p w14:paraId="06D13032">
                  <w:pPr>
                    <w:pStyle w:val="48"/>
                    <w:snapToGrid w:val="0"/>
                    <w:spacing w:line="240" w:lineRule="auto"/>
                    <w:jc w:val="left"/>
                    <w:rPr>
                      <w:rFonts w:hint="default" w:eastAsia="宋体"/>
                      <w:spacing w:val="0"/>
                      <w:kern w:val="2"/>
                      <w:highlight w:val="black"/>
                      <w:shd w:val="clear" w:color="auto" w:fill="FFFFFF"/>
                      <w:lang w:val="en-US" w:eastAsia="zh-CN"/>
                    </w:rPr>
                  </w:pPr>
                  <w:r>
                    <w:rPr>
                      <w:rFonts w:hint="eastAsia" w:eastAsia="宋体"/>
                      <w:spacing w:val="0"/>
                      <w:kern w:val="2"/>
                      <w:highlight w:val="black"/>
                      <w:shd w:val="clear" w:color="auto" w:fill="FFFFFF"/>
                      <w:lang w:val="en-US" w:eastAsia="zh-CN"/>
                    </w:rPr>
                    <w:t xml:space="preserve">                  </w:t>
                  </w:r>
                </w:p>
              </w:tc>
              <w:tc>
                <w:tcPr>
                  <w:tcW w:w="317" w:type="pct"/>
                  <w:vAlign w:val="center"/>
                </w:tcPr>
                <w:p w14:paraId="21B13ADF">
                  <w:pPr>
                    <w:pStyle w:val="48"/>
                    <w:snapToGrid w:val="0"/>
                    <w:spacing w:line="240" w:lineRule="auto"/>
                    <w:jc w:val="left"/>
                    <w:rPr>
                      <w:rFonts w:hint="default" w:eastAsia="宋体"/>
                      <w:spacing w:val="0"/>
                      <w:kern w:val="2"/>
                      <w:highlight w:val="black"/>
                      <w:shd w:val="clear" w:color="auto" w:fill="FFFFFF"/>
                      <w:lang w:val="en-US" w:eastAsia="zh-CN"/>
                    </w:rPr>
                  </w:pPr>
                  <w:r>
                    <w:rPr>
                      <w:rFonts w:hint="eastAsia" w:eastAsia="宋体"/>
                      <w:spacing w:val="0"/>
                      <w:kern w:val="2"/>
                      <w:highlight w:val="black"/>
                      <w:shd w:val="clear" w:color="auto" w:fill="FFFFFF"/>
                      <w:lang w:val="en-US" w:eastAsia="zh-CN"/>
                    </w:rPr>
                    <w:t xml:space="preserve">   </w:t>
                  </w:r>
                </w:p>
              </w:tc>
              <w:tc>
                <w:tcPr>
                  <w:tcW w:w="1108" w:type="pct"/>
                  <w:vAlign w:val="center"/>
                </w:tcPr>
                <w:p w14:paraId="24BE7E3D">
                  <w:pPr>
                    <w:pStyle w:val="48"/>
                    <w:snapToGrid w:val="0"/>
                    <w:spacing w:line="240" w:lineRule="auto"/>
                    <w:jc w:val="left"/>
                    <w:rPr>
                      <w:rFonts w:hint="default" w:eastAsia="宋体"/>
                      <w:spacing w:val="0"/>
                      <w:kern w:val="2"/>
                      <w:highlight w:val="black"/>
                      <w:shd w:val="clear" w:color="auto" w:fill="FFFFFF"/>
                      <w:lang w:val="en-US" w:eastAsia="zh-CN"/>
                    </w:rPr>
                  </w:pPr>
                  <w:r>
                    <w:rPr>
                      <w:rFonts w:hint="eastAsia" w:eastAsia="宋体"/>
                      <w:spacing w:val="0"/>
                      <w:kern w:val="2"/>
                      <w:highlight w:val="black"/>
                      <w:shd w:val="clear" w:color="auto" w:fill="FFFFFF"/>
                      <w:lang w:val="en-US" w:eastAsia="zh-CN"/>
                    </w:rPr>
                    <w:t xml:space="preserve">     </w:t>
                  </w:r>
                </w:p>
              </w:tc>
            </w:tr>
            <w:tr w14:paraId="79C620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55309C9B">
                  <w:pPr>
                    <w:adjustRightInd w:val="0"/>
                    <w:snapToGrid w:val="0"/>
                    <w:jc w:val="left"/>
                    <w:textAlignment w:val="center"/>
                    <w:rPr>
                      <w:rFonts w:hint="default" w:eastAsia="宋体"/>
                      <w:kern w:val="0"/>
                      <w:szCs w:val="21"/>
                      <w:highlight w:val="black"/>
                      <w:lang w:val="en-US" w:eastAsia="zh-CN"/>
                    </w:rPr>
                  </w:pPr>
                  <w:r>
                    <w:rPr>
                      <w:rFonts w:hint="eastAsia"/>
                      <w:kern w:val="0"/>
                      <w:szCs w:val="21"/>
                      <w:highlight w:val="black"/>
                      <w:lang w:val="en-US" w:eastAsia="zh-CN"/>
                    </w:rPr>
                    <w:t xml:space="preserve">   </w:t>
                  </w:r>
                </w:p>
              </w:tc>
              <w:tc>
                <w:tcPr>
                  <w:tcW w:w="2970" w:type="pct"/>
                  <w:vAlign w:val="center"/>
                </w:tcPr>
                <w:p w14:paraId="2794B896">
                  <w:pPr>
                    <w:pStyle w:val="48"/>
                    <w:snapToGrid w:val="0"/>
                    <w:spacing w:line="240" w:lineRule="auto"/>
                    <w:jc w:val="left"/>
                    <w:rPr>
                      <w:rFonts w:hint="default" w:eastAsia="宋体"/>
                      <w:snapToGrid w:val="0"/>
                      <w:spacing w:val="0"/>
                      <w:szCs w:val="21"/>
                      <w:highlight w:val="black"/>
                      <w:shd w:val="clear" w:color="auto" w:fill="FFFFFF"/>
                      <w:lang w:val="en-US" w:eastAsia="zh-CN"/>
                    </w:rPr>
                  </w:pPr>
                  <w:r>
                    <w:rPr>
                      <w:rFonts w:hint="eastAsia" w:eastAsia="宋体"/>
                      <w:snapToGrid w:val="0"/>
                      <w:spacing w:val="0"/>
                      <w:szCs w:val="21"/>
                      <w:highlight w:val="black"/>
                      <w:shd w:val="clear" w:color="auto" w:fill="FFFFFF"/>
                      <w:lang w:val="en-US" w:eastAsia="zh-CN"/>
                    </w:rPr>
                    <w:t xml:space="preserve">       </w:t>
                  </w:r>
                </w:p>
              </w:tc>
              <w:tc>
                <w:tcPr>
                  <w:tcW w:w="317" w:type="pct"/>
                  <w:vAlign w:val="center"/>
                </w:tcPr>
                <w:p w14:paraId="7D2C7810">
                  <w:pPr>
                    <w:pStyle w:val="48"/>
                    <w:snapToGrid w:val="0"/>
                    <w:spacing w:line="240" w:lineRule="auto"/>
                    <w:jc w:val="left"/>
                    <w:rPr>
                      <w:rFonts w:hint="default" w:eastAsia="宋体"/>
                      <w:snapToGrid w:val="0"/>
                      <w:spacing w:val="0"/>
                      <w:szCs w:val="21"/>
                      <w:highlight w:val="black"/>
                      <w:shd w:val="clear" w:color="auto" w:fill="FFFFFF"/>
                      <w:lang w:val="en-US" w:eastAsia="zh-CN"/>
                    </w:rPr>
                  </w:pPr>
                  <w:r>
                    <w:rPr>
                      <w:rFonts w:hint="eastAsia" w:eastAsia="宋体"/>
                      <w:spacing w:val="0"/>
                      <w:kern w:val="2"/>
                      <w:highlight w:val="black"/>
                      <w:shd w:val="clear" w:color="auto" w:fill="FFFFFF"/>
                      <w:lang w:val="en-US" w:eastAsia="zh-CN"/>
                    </w:rPr>
                    <w:t xml:space="preserve">    </w:t>
                  </w:r>
                </w:p>
              </w:tc>
              <w:tc>
                <w:tcPr>
                  <w:tcW w:w="1108" w:type="pct"/>
                  <w:vAlign w:val="center"/>
                </w:tcPr>
                <w:p w14:paraId="572ADB97">
                  <w:pPr>
                    <w:pStyle w:val="48"/>
                    <w:snapToGrid w:val="0"/>
                    <w:spacing w:line="240" w:lineRule="auto"/>
                    <w:jc w:val="left"/>
                    <w:rPr>
                      <w:rFonts w:hint="default" w:eastAsia="宋体"/>
                      <w:snapToGrid w:val="0"/>
                      <w:spacing w:val="0"/>
                      <w:szCs w:val="21"/>
                      <w:highlight w:val="black"/>
                      <w:shd w:val="clear" w:color="auto" w:fill="FFFFFF"/>
                      <w:lang w:val="en-US" w:eastAsia="zh-CN"/>
                    </w:rPr>
                  </w:pPr>
                  <w:r>
                    <w:rPr>
                      <w:rFonts w:hint="eastAsia" w:eastAsia="宋体"/>
                      <w:snapToGrid w:val="0"/>
                      <w:spacing w:val="0"/>
                      <w:szCs w:val="21"/>
                      <w:highlight w:val="black"/>
                      <w:shd w:val="clear" w:color="auto" w:fill="FFFFFF"/>
                      <w:lang w:val="en-US" w:eastAsia="zh-CN"/>
                    </w:rPr>
                    <w:t xml:space="preserve">        </w:t>
                  </w:r>
                </w:p>
              </w:tc>
            </w:tr>
            <w:tr w14:paraId="06C7FB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4004F9F4">
                  <w:pPr>
                    <w:adjustRightInd w:val="0"/>
                    <w:snapToGrid w:val="0"/>
                    <w:jc w:val="center"/>
                    <w:textAlignment w:val="center"/>
                    <w:rPr>
                      <w:kern w:val="0"/>
                      <w:szCs w:val="21"/>
                    </w:rPr>
                  </w:pPr>
                  <w:r>
                    <w:rPr>
                      <w:rFonts w:hint="eastAsia"/>
                      <w:kern w:val="0"/>
                      <w:szCs w:val="21"/>
                    </w:rPr>
                    <w:t>胶黏剂</w:t>
                  </w:r>
                </w:p>
              </w:tc>
              <w:tc>
                <w:tcPr>
                  <w:tcW w:w="2970" w:type="pct"/>
                  <w:vAlign w:val="center"/>
                </w:tcPr>
                <w:p w14:paraId="0C38EE42">
                  <w:pPr>
                    <w:pStyle w:val="48"/>
                    <w:snapToGrid w:val="0"/>
                    <w:spacing w:line="240" w:lineRule="auto"/>
                    <w:jc w:val="center"/>
                    <w:rPr>
                      <w:rFonts w:eastAsia="宋体"/>
                      <w:snapToGrid w:val="0"/>
                      <w:spacing w:val="0"/>
                      <w:szCs w:val="21"/>
                      <w:shd w:val="clear" w:color="auto" w:fill="FFFFFF"/>
                    </w:rPr>
                  </w:pPr>
                  <w:r>
                    <w:rPr>
                      <w:rFonts w:hint="eastAsia" w:eastAsia="宋体"/>
                      <w:snapToGrid w:val="0"/>
                      <w:spacing w:val="0"/>
                      <w:szCs w:val="21"/>
                      <w:shd w:val="clear" w:color="auto" w:fill="FFFFFF"/>
                    </w:rPr>
                    <w:t>灰色/黑色液体，沸点：100</w:t>
                  </w:r>
                  <w:r>
                    <w:rPr>
                      <w:rFonts w:hint="eastAsia" w:ascii="宋体" w:hAnsi="宋体" w:eastAsia="宋体" w:cs="宋体"/>
                      <w:snapToGrid w:val="0"/>
                      <w:spacing w:val="0"/>
                      <w:szCs w:val="21"/>
                      <w:shd w:val="clear" w:color="auto" w:fill="FFFFFF"/>
                    </w:rPr>
                    <w:t>℃</w:t>
                  </w:r>
                  <w:r>
                    <w:rPr>
                      <w:rFonts w:eastAsia="宋体"/>
                      <w:snapToGrid w:val="0"/>
                      <w:spacing w:val="0"/>
                      <w:szCs w:val="21"/>
                      <w:shd w:val="clear" w:color="auto" w:fill="FFFFFF"/>
                    </w:rPr>
                    <w:t>，</w:t>
                  </w:r>
                  <w:r>
                    <w:rPr>
                      <w:rFonts w:hint="eastAsia" w:eastAsia="宋体"/>
                      <w:snapToGrid w:val="0"/>
                      <w:spacing w:val="0"/>
                      <w:szCs w:val="21"/>
                      <w:shd w:val="clear" w:color="auto" w:fill="FFFFFF"/>
                    </w:rPr>
                    <w:t>闪点：&gt;93</w:t>
                  </w:r>
                  <w:r>
                    <w:rPr>
                      <w:rFonts w:hint="eastAsia" w:ascii="宋体" w:hAnsi="宋体" w:eastAsia="宋体" w:cs="宋体"/>
                      <w:snapToGrid w:val="0"/>
                      <w:spacing w:val="0"/>
                      <w:szCs w:val="21"/>
                      <w:shd w:val="clear" w:color="auto" w:fill="FFFFFF"/>
                    </w:rPr>
                    <w:t>℃</w:t>
                  </w:r>
                  <w:r>
                    <w:rPr>
                      <w:rFonts w:hint="eastAsia" w:eastAsia="宋体"/>
                      <w:snapToGrid w:val="0"/>
                      <w:spacing w:val="0"/>
                      <w:szCs w:val="21"/>
                      <w:shd w:val="clear" w:color="auto" w:fill="FFFFFF"/>
                    </w:rPr>
                    <w:t>密度：1.16g/cm</w:t>
                  </w:r>
                  <w:r>
                    <w:rPr>
                      <w:rFonts w:hint="eastAsia" w:eastAsia="宋体"/>
                      <w:snapToGrid w:val="0"/>
                      <w:spacing w:val="0"/>
                      <w:szCs w:val="21"/>
                      <w:shd w:val="clear" w:color="auto" w:fill="FFFFFF"/>
                      <w:vertAlign w:val="superscript"/>
                    </w:rPr>
                    <w:t>3</w:t>
                  </w:r>
                  <w:r>
                    <w:rPr>
                      <w:rFonts w:hint="eastAsia" w:eastAsia="宋体"/>
                      <w:snapToGrid w:val="0"/>
                      <w:spacing w:val="0"/>
                      <w:szCs w:val="21"/>
                      <w:shd w:val="clear" w:color="auto" w:fill="FFFFFF"/>
                    </w:rPr>
                    <w:t>，pH：7.0，避免接触高温，避免接触强酸、碱和强氧化剂</w:t>
                  </w:r>
                </w:p>
              </w:tc>
              <w:tc>
                <w:tcPr>
                  <w:tcW w:w="317" w:type="pct"/>
                  <w:vAlign w:val="center"/>
                </w:tcPr>
                <w:p w14:paraId="32550271">
                  <w:pPr>
                    <w:pStyle w:val="48"/>
                    <w:snapToGrid w:val="0"/>
                    <w:spacing w:line="240" w:lineRule="auto"/>
                    <w:jc w:val="center"/>
                    <w:rPr>
                      <w:rFonts w:eastAsia="宋体"/>
                      <w:spacing w:val="0"/>
                      <w:kern w:val="2"/>
                      <w:shd w:val="clear" w:color="auto" w:fill="FFFFFF"/>
                    </w:rPr>
                  </w:pPr>
                  <w:r>
                    <w:rPr>
                      <w:rFonts w:eastAsia="宋体"/>
                      <w:snapToGrid w:val="0"/>
                      <w:spacing w:val="0"/>
                      <w:szCs w:val="21"/>
                    </w:rPr>
                    <w:t>不燃</w:t>
                  </w:r>
                </w:p>
              </w:tc>
              <w:tc>
                <w:tcPr>
                  <w:tcW w:w="1108" w:type="pct"/>
                  <w:vAlign w:val="center"/>
                </w:tcPr>
                <w:p w14:paraId="1441B31F">
                  <w:pPr>
                    <w:pStyle w:val="48"/>
                    <w:snapToGrid w:val="0"/>
                    <w:spacing w:line="240" w:lineRule="auto"/>
                    <w:jc w:val="center"/>
                    <w:rPr>
                      <w:rFonts w:eastAsia="宋体"/>
                      <w:snapToGrid w:val="0"/>
                      <w:spacing w:val="0"/>
                      <w:szCs w:val="21"/>
                      <w:shd w:val="clear" w:color="auto" w:fill="FFFFFF"/>
                    </w:rPr>
                  </w:pPr>
                  <w:r>
                    <w:rPr>
                      <w:rFonts w:eastAsia="宋体"/>
                      <w:szCs w:val="21"/>
                    </w:rPr>
                    <w:t>/</w:t>
                  </w:r>
                </w:p>
              </w:tc>
            </w:tr>
            <w:tr w14:paraId="24A20B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3838696D">
                  <w:pPr>
                    <w:adjustRightInd w:val="0"/>
                    <w:snapToGrid w:val="0"/>
                    <w:jc w:val="center"/>
                    <w:rPr>
                      <w:kern w:val="0"/>
                    </w:rPr>
                  </w:pPr>
                  <w:r>
                    <w:rPr>
                      <w:kern w:val="0"/>
                      <w:szCs w:val="21"/>
                    </w:rPr>
                    <w:t>氢氧化钠</w:t>
                  </w:r>
                </w:p>
              </w:tc>
              <w:tc>
                <w:tcPr>
                  <w:tcW w:w="2970" w:type="pct"/>
                  <w:vAlign w:val="center"/>
                </w:tcPr>
                <w:p w14:paraId="3293F48D">
                  <w:pPr>
                    <w:pStyle w:val="48"/>
                    <w:snapToGrid w:val="0"/>
                    <w:spacing w:line="240" w:lineRule="auto"/>
                    <w:jc w:val="center"/>
                    <w:rPr>
                      <w:rFonts w:eastAsia="宋体"/>
                      <w:szCs w:val="21"/>
                    </w:rPr>
                  </w:pPr>
                  <w:r>
                    <w:rPr>
                      <w:rFonts w:eastAsia="宋体"/>
                      <w:snapToGrid w:val="0"/>
                      <w:spacing w:val="0"/>
                      <w:szCs w:val="21"/>
                      <w:shd w:val="clear" w:color="auto" w:fill="FFFFFF"/>
                    </w:rPr>
                    <w:t>CAS：1310-73-2，分子式：NaOH，白色结晶性粉末，具有强碱性，腐蚀性极强，吸湿性强。密度2.13</w:t>
                  </w:r>
                  <w:r>
                    <w:rPr>
                      <w:rFonts w:eastAsia="宋体"/>
                      <w:snapToGrid w:val="0"/>
                      <w:spacing w:val="0"/>
                      <w:szCs w:val="21"/>
                    </w:rPr>
                    <w:t>g/cm</w:t>
                  </w:r>
                  <w:r>
                    <w:rPr>
                      <w:rFonts w:eastAsia="宋体"/>
                      <w:snapToGrid w:val="0"/>
                      <w:spacing w:val="0"/>
                      <w:szCs w:val="21"/>
                      <w:vertAlign w:val="superscript"/>
                    </w:rPr>
                    <w:t>3</w:t>
                  </w:r>
                  <w:r>
                    <w:rPr>
                      <w:rFonts w:eastAsia="宋体"/>
                      <w:snapToGrid w:val="0"/>
                      <w:spacing w:val="0"/>
                      <w:szCs w:val="21"/>
                      <w:shd w:val="clear" w:color="auto" w:fill="FFFFFF"/>
                    </w:rPr>
                    <w:t>，熔点318.4℃，沸点1390℃，闪点176-178℃，易溶于水、乙醇、甘油，不溶于丙酮、乙醚。</w:t>
                  </w:r>
                </w:p>
              </w:tc>
              <w:tc>
                <w:tcPr>
                  <w:tcW w:w="317" w:type="pct"/>
                  <w:vAlign w:val="center"/>
                </w:tcPr>
                <w:p w14:paraId="07C740BD">
                  <w:pPr>
                    <w:pStyle w:val="48"/>
                    <w:snapToGrid w:val="0"/>
                    <w:spacing w:line="240" w:lineRule="auto"/>
                    <w:jc w:val="center"/>
                    <w:rPr>
                      <w:rFonts w:eastAsia="宋体"/>
                      <w:szCs w:val="21"/>
                    </w:rPr>
                  </w:pPr>
                  <w:r>
                    <w:rPr>
                      <w:rFonts w:eastAsia="宋体"/>
                      <w:snapToGrid w:val="0"/>
                      <w:spacing w:val="0"/>
                      <w:szCs w:val="21"/>
                    </w:rPr>
                    <w:t>不燃</w:t>
                  </w:r>
                </w:p>
              </w:tc>
              <w:tc>
                <w:tcPr>
                  <w:tcW w:w="1108" w:type="pct"/>
                  <w:vAlign w:val="center"/>
                </w:tcPr>
                <w:p w14:paraId="18E37BBD">
                  <w:pPr>
                    <w:pStyle w:val="48"/>
                    <w:snapToGrid w:val="0"/>
                    <w:spacing w:line="240" w:lineRule="auto"/>
                    <w:jc w:val="center"/>
                  </w:pPr>
                  <w:r>
                    <w:rPr>
                      <w:rFonts w:eastAsia="宋体"/>
                      <w:snapToGrid w:val="0"/>
                      <w:spacing w:val="0"/>
                      <w:szCs w:val="21"/>
                    </w:rPr>
                    <w:t>LD</w:t>
                  </w:r>
                  <w:r>
                    <w:rPr>
                      <w:rFonts w:eastAsia="宋体"/>
                      <w:snapToGrid w:val="0"/>
                      <w:spacing w:val="0"/>
                      <w:szCs w:val="21"/>
                      <w:vertAlign w:val="subscript"/>
                    </w:rPr>
                    <w:t>50</w:t>
                  </w:r>
                  <w:r>
                    <w:rPr>
                      <w:rFonts w:eastAsia="宋体"/>
                      <w:snapToGrid w:val="0"/>
                      <w:spacing w:val="0"/>
                      <w:szCs w:val="21"/>
                    </w:rPr>
                    <w:t>：</w:t>
                  </w:r>
                  <w:r>
                    <w:rPr>
                      <w:rFonts w:eastAsia="宋体"/>
                      <w:spacing w:val="0"/>
                      <w:szCs w:val="21"/>
                      <w:shd w:val="clear" w:color="auto" w:fill="FFFFFF"/>
                    </w:rPr>
                    <w:t>40</w:t>
                  </w:r>
                  <w:r>
                    <w:rPr>
                      <w:rFonts w:eastAsia="宋体"/>
                      <w:snapToGrid w:val="0"/>
                      <w:spacing w:val="0"/>
                      <w:szCs w:val="21"/>
                      <w:shd w:val="clear" w:color="auto" w:fill="FFFFFF"/>
                    </w:rPr>
                    <w:t>mg/kg（小鼠腹腔）</w:t>
                  </w:r>
                </w:p>
              </w:tc>
            </w:tr>
            <w:tr w14:paraId="75CBF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00ACCE77">
                  <w:pPr>
                    <w:adjustRightInd w:val="0"/>
                    <w:snapToGrid w:val="0"/>
                    <w:jc w:val="center"/>
                    <w:rPr>
                      <w:kern w:val="0"/>
                    </w:rPr>
                  </w:pPr>
                  <w:r>
                    <w:rPr>
                      <w:kern w:val="0"/>
                      <w:szCs w:val="21"/>
                    </w:rPr>
                    <w:t>苛性钾</w:t>
                  </w:r>
                </w:p>
              </w:tc>
              <w:tc>
                <w:tcPr>
                  <w:tcW w:w="2970" w:type="pct"/>
                  <w:vAlign w:val="center"/>
                </w:tcPr>
                <w:p w14:paraId="356DA272">
                  <w:pPr>
                    <w:pStyle w:val="48"/>
                    <w:snapToGrid w:val="0"/>
                    <w:spacing w:line="240" w:lineRule="auto"/>
                    <w:jc w:val="center"/>
                    <w:rPr>
                      <w:rFonts w:eastAsia="宋体"/>
                      <w:szCs w:val="21"/>
                    </w:rPr>
                  </w:pPr>
                  <w:r>
                    <w:rPr>
                      <w:rFonts w:eastAsia="宋体"/>
                      <w:snapToGrid w:val="0"/>
                      <w:spacing w:val="0"/>
                      <w:szCs w:val="21"/>
                      <w:shd w:val="clear" w:color="auto" w:fill="FFFFFF"/>
                    </w:rPr>
                    <w:t>CAS：1310-58-3，分子式：KOH，白色结晶性粉末，密度1.45</w:t>
                  </w:r>
                  <w:r>
                    <w:rPr>
                      <w:rFonts w:eastAsia="宋体"/>
                      <w:snapToGrid w:val="0"/>
                      <w:spacing w:val="0"/>
                      <w:szCs w:val="21"/>
                    </w:rPr>
                    <w:t>g/cm</w:t>
                  </w:r>
                  <w:r>
                    <w:rPr>
                      <w:rFonts w:eastAsia="宋体"/>
                      <w:snapToGrid w:val="0"/>
                      <w:spacing w:val="0"/>
                      <w:szCs w:val="21"/>
                      <w:vertAlign w:val="superscript"/>
                    </w:rPr>
                    <w:t>3</w:t>
                  </w:r>
                  <w:r>
                    <w:rPr>
                      <w:rFonts w:eastAsia="宋体"/>
                      <w:snapToGrid w:val="0"/>
                      <w:spacing w:val="0"/>
                      <w:szCs w:val="21"/>
                      <w:shd w:val="clear" w:color="auto" w:fill="FFFFFF"/>
                    </w:rPr>
                    <w:t>，熔点361℃，沸点1320℃，易潮解，易溶于水，有极强的吸水性，溶于乙醇，微溶于乙醚，有极强的碱性和腐蚀性，能引起灼伤，易于吸收空气中的水分和CO</w:t>
                  </w:r>
                  <w:r>
                    <w:rPr>
                      <w:rFonts w:eastAsia="宋体"/>
                      <w:snapToGrid w:val="0"/>
                      <w:spacing w:val="0"/>
                      <w:szCs w:val="21"/>
                      <w:shd w:val="clear" w:color="auto" w:fill="FFFFFF"/>
                      <w:vertAlign w:val="subscript"/>
                    </w:rPr>
                    <w:t>2</w:t>
                  </w:r>
                  <w:r>
                    <w:rPr>
                      <w:rFonts w:eastAsia="宋体"/>
                      <w:snapToGrid w:val="0"/>
                      <w:spacing w:val="0"/>
                      <w:szCs w:val="21"/>
                      <w:shd w:val="clear" w:color="auto" w:fill="FFFFFF"/>
                    </w:rPr>
                    <w:t>。</w:t>
                  </w:r>
                </w:p>
              </w:tc>
              <w:tc>
                <w:tcPr>
                  <w:tcW w:w="317" w:type="pct"/>
                  <w:vAlign w:val="center"/>
                </w:tcPr>
                <w:p w14:paraId="61FE29D5">
                  <w:pPr>
                    <w:pStyle w:val="48"/>
                    <w:snapToGrid w:val="0"/>
                    <w:spacing w:line="240" w:lineRule="auto"/>
                    <w:jc w:val="center"/>
                    <w:rPr>
                      <w:rFonts w:eastAsia="宋体"/>
                      <w:szCs w:val="21"/>
                    </w:rPr>
                  </w:pPr>
                  <w:r>
                    <w:rPr>
                      <w:rFonts w:eastAsia="宋体"/>
                      <w:snapToGrid w:val="0"/>
                      <w:spacing w:val="0"/>
                      <w:szCs w:val="21"/>
                    </w:rPr>
                    <w:t>不燃</w:t>
                  </w:r>
                </w:p>
              </w:tc>
              <w:tc>
                <w:tcPr>
                  <w:tcW w:w="1108" w:type="pct"/>
                  <w:vAlign w:val="center"/>
                </w:tcPr>
                <w:p w14:paraId="7745C472">
                  <w:pPr>
                    <w:pStyle w:val="48"/>
                    <w:snapToGrid w:val="0"/>
                    <w:spacing w:line="240" w:lineRule="auto"/>
                    <w:jc w:val="center"/>
                  </w:pPr>
                  <w:r>
                    <w:rPr>
                      <w:rFonts w:eastAsia="宋体"/>
                      <w:snapToGrid w:val="0"/>
                      <w:spacing w:val="0"/>
                      <w:szCs w:val="21"/>
                    </w:rPr>
                    <w:t>LD</w:t>
                  </w:r>
                  <w:r>
                    <w:rPr>
                      <w:rFonts w:eastAsia="宋体"/>
                      <w:snapToGrid w:val="0"/>
                      <w:spacing w:val="0"/>
                      <w:szCs w:val="21"/>
                      <w:vertAlign w:val="subscript"/>
                    </w:rPr>
                    <w:t>50</w:t>
                  </w:r>
                  <w:r>
                    <w:rPr>
                      <w:rFonts w:eastAsia="宋体"/>
                      <w:snapToGrid w:val="0"/>
                      <w:spacing w:val="0"/>
                      <w:szCs w:val="21"/>
                    </w:rPr>
                    <w:t>：</w:t>
                  </w:r>
                  <w:r>
                    <w:rPr>
                      <w:rFonts w:eastAsia="宋体"/>
                      <w:spacing w:val="0"/>
                      <w:szCs w:val="21"/>
                      <w:shd w:val="clear" w:color="auto" w:fill="FFFFFF"/>
                    </w:rPr>
                    <w:t>273</w:t>
                  </w:r>
                  <w:r>
                    <w:rPr>
                      <w:rFonts w:eastAsia="宋体"/>
                      <w:snapToGrid w:val="0"/>
                      <w:spacing w:val="0"/>
                      <w:szCs w:val="21"/>
                      <w:shd w:val="clear" w:color="auto" w:fill="FFFFFF"/>
                    </w:rPr>
                    <w:t>mg/kg（大鼠经口）</w:t>
                  </w:r>
                </w:p>
              </w:tc>
            </w:tr>
            <w:tr w14:paraId="1F6538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47CD6641">
                  <w:pPr>
                    <w:adjustRightInd w:val="0"/>
                    <w:snapToGrid w:val="0"/>
                    <w:jc w:val="center"/>
                    <w:rPr>
                      <w:kern w:val="0"/>
                    </w:rPr>
                  </w:pPr>
                  <w:r>
                    <w:rPr>
                      <w:snapToGrid w:val="0"/>
                      <w:kern w:val="0"/>
                      <w:szCs w:val="21"/>
                    </w:rPr>
                    <w:t>聚醚多元醇</w:t>
                  </w:r>
                </w:p>
              </w:tc>
              <w:tc>
                <w:tcPr>
                  <w:tcW w:w="2970" w:type="pct"/>
                  <w:vAlign w:val="center"/>
                </w:tcPr>
                <w:p w14:paraId="4E1EA01A">
                  <w:pPr>
                    <w:adjustRightInd w:val="0"/>
                    <w:snapToGrid w:val="0"/>
                    <w:jc w:val="center"/>
                    <w:rPr>
                      <w:kern w:val="0"/>
                      <w:szCs w:val="21"/>
                    </w:rPr>
                  </w:pPr>
                  <w:r>
                    <w:rPr>
                      <w:snapToGrid w:val="0"/>
                      <w:kern w:val="0"/>
                      <w:szCs w:val="21"/>
                    </w:rPr>
                    <w:t>CAS：9082-00-2，分子式：C</w:t>
                  </w:r>
                  <w:r>
                    <w:rPr>
                      <w:snapToGrid w:val="0"/>
                      <w:kern w:val="0"/>
                      <w:szCs w:val="21"/>
                      <w:vertAlign w:val="subscript"/>
                    </w:rPr>
                    <w:t>8</w:t>
                  </w:r>
                  <w:r>
                    <w:rPr>
                      <w:snapToGrid w:val="0"/>
                      <w:kern w:val="0"/>
                      <w:szCs w:val="21"/>
                    </w:rPr>
                    <w:t>H</w:t>
                  </w:r>
                  <w:r>
                    <w:rPr>
                      <w:snapToGrid w:val="0"/>
                      <w:kern w:val="0"/>
                      <w:szCs w:val="21"/>
                      <w:vertAlign w:val="subscript"/>
                    </w:rPr>
                    <w:t>22</w:t>
                  </w:r>
                  <w:r>
                    <w:rPr>
                      <w:snapToGrid w:val="0"/>
                      <w:kern w:val="0"/>
                      <w:szCs w:val="21"/>
                    </w:rPr>
                    <w:t>O</w:t>
                  </w:r>
                  <w:r>
                    <w:rPr>
                      <w:snapToGrid w:val="0"/>
                      <w:kern w:val="0"/>
                      <w:szCs w:val="21"/>
                      <w:vertAlign w:val="subscript"/>
                    </w:rPr>
                    <w:t>7</w:t>
                  </w:r>
                  <w:r>
                    <w:rPr>
                      <w:snapToGrid w:val="0"/>
                      <w:kern w:val="0"/>
                      <w:szCs w:val="21"/>
                    </w:rPr>
                    <w:t>，透明液体，具有温和气味，熔点-27.8℃，密度1.0155g/cm</w:t>
                  </w:r>
                  <w:r>
                    <w:rPr>
                      <w:snapToGrid w:val="0"/>
                      <w:kern w:val="0"/>
                      <w:szCs w:val="21"/>
                      <w:vertAlign w:val="superscript"/>
                    </w:rPr>
                    <w:t>3</w:t>
                  </w:r>
                  <w:r>
                    <w:rPr>
                      <w:snapToGrid w:val="0"/>
                      <w:kern w:val="0"/>
                      <w:szCs w:val="21"/>
                    </w:rPr>
                    <w:t>。</w:t>
                  </w:r>
                </w:p>
              </w:tc>
              <w:tc>
                <w:tcPr>
                  <w:tcW w:w="317" w:type="pct"/>
                  <w:vAlign w:val="center"/>
                </w:tcPr>
                <w:p w14:paraId="3DE4BF67">
                  <w:pPr>
                    <w:adjustRightInd w:val="0"/>
                    <w:snapToGrid w:val="0"/>
                    <w:jc w:val="center"/>
                    <w:rPr>
                      <w:kern w:val="0"/>
                      <w:szCs w:val="21"/>
                    </w:rPr>
                  </w:pPr>
                  <w:r>
                    <w:rPr>
                      <w:szCs w:val="21"/>
                    </w:rPr>
                    <w:t>可燃</w:t>
                  </w:r>
                </w:p>
              </w:tc>
              <w:tc>
                <w:tcPr>
                  <w:tcW w:w="1108" w:type="pct"/>
                  <w:vAlign w:val="center"/>
                </w:tcPr>
                <w:p w14:paraId="73E1683E">
                  <w:pPr>
                    <w:pStyle w:val="48"/>
                    <w:snapToGrid w:val="0"/>
                    <w:spacing w:line="240" w:lineRule="auto"/>
                    <w:jc w:val="center"/>
                  </w:pPr>
                  <w:r>
                    <w:rPr>
                      <w:rFonts w:eastAsia="宋体"/>
                      <w:snapToGrid w:val="0"/>
                      <w:szCs w:val="21"/>
                    </w:rPr>
                    <w:t>LD</w:t>
                  </w:r>
                  <w:r>
                    <w:rPr>
                      <w:rFonts w:eastAsia="宋体"/>
                      <w:snapToGrid w:val="0"/>
                      <w:szCs w:val="21"/>
                      <w:vertAlign w:val="subscript"/>
                    </w:rPr>
                    <w:t>50</w:t>
                  </w:r>
                  <w:r>
                    <w:rPr>
                      <w:rFonts w:eastAsia="宋体"/>
                      <w:snapToGrid w:val="0"/>
                      <w:szCs w:val="21"/>
                    </w:rPr>
                    <w:t>：&gt;10mg/kg（大鼠经口）</w:t>
                  </w:r>
                </w:p>
              </w:tc>
            </w:tr>
            <w:tr w14:paraId="2724FE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05" w:type="pct"/>
                  <w:vAlign w:val="center"/>
                </w:tcPr>
                <w:p w14:paraId="2EE829AA">
                  <w:pPr>
                    <w:adjustRightInd w:val="0"/>
                    <w:snapToGrid w:val="0"/>
                    <w:jc w:val="center"/>
                    <w:rPr>
                      <w:szCs w:val="21"/>
                    </w:rPr>
                  </w:pPr>
                  <w:r>
                    <w:rPr>
                      <w:kern w:val="0"/>
                      <w:szCs w:val="21"/>
                    </w:rPr>
                    <w:t>乙二胺四乙酸</w:t>
                  </w:r>
                </w:p>
              </w:tc>
              <w:tc>
                <w:tcPr>
                  <w:tcW w:w="2970" w:type="pct"/>
                  <w:vAlign w:val="center"/>
                </w:tcPr>
                <w:p w14:paraId="716547A9">
                  <w:pPr>
                    <w:pStyle w:val="48"/>
                    <w:snapToGrid w:val="0"/>
                    <w:spacing w:line="240" w:lineRule="auto"/>
                    <w:jc w:val="center"/>
                    <w:rPr>
                      <w:rFonts w:eastAsia="宋体"/>
                      <w:snapToGrid w:val="0"/>
                      <w:spacing w:val="0"/>
                      <w:szCs w:val="21"/>
                      <w:shd w:val="clear" w:color="auto" w:fill="FFFFFF"/>
                    </w:rPr>
                  </w:pPr>
                  <w:r>
                    <w:rPr>
                      <w:rFonts w:eastAsia="宋体"/>
                      <w:spacing w:val="0"/>
                      <w:szCs w:val="21"/>
                    </w:rPr>
                    <w:t>CAS：60-00-4，分子式：</w:t>
                  </w:r>
                  <w:r>
                    <w:rPr>
                      <w:rFonts w:eastAsia="宋体"/>
                      <w:snapToGrid w:val="0"/>
                      <w:spacing w:val="0"/>
                      <w:szCs w:val="21"/>
                    </w:rPr>
                    <w:t>C</w:t>
                  </w:r>
                  <w:r>
                    <w:rPr>
                      <w:rFonts w:eastAsia="宋体"/>
                      <w:snapToGrid w:val="0"/>
                      <w:spacing w:val="0"/>
                      <w:szCs w:val="21"/>
                      <w:vertAlign w:val="subscript"/>
                    </w:rPr>
                    <w:t>10</w:t>
                  </w:r>
                  <w:r>
                    <w:rPr>
                      <w:rFonts w:eastAsia="宋体"/>
                      <w:snapToGrid w:val="0"/>
                      <w:spacing w:val="0"/>
                      <w:szCs w:val="21"/>
                    </w:rPr>
                    <w:t>H</w:t>
                  </w:r>
                  <w:r>
                    <w:rPr>
                      <w:rFonts w:eastAsia="宋体"/>
                      <w:snapToGrid w:val="0"/>
                      <w:spacing w:val="0"/>
                      <w:szCs w:val="21"/>
                      <w:vertAlign w:val="subscript"/>
                    </w:rPr>
                    <w:t>16</w:t>
                  </w:r>
                  <w:r>
                    <w:rPr>
                      <w:rFonts w:eastAsia="宋体"/>
                      <w:snapToGrid w:val="0"/>
                      <w:spacing w:val="0"/>
                      <w:szCs w:val="21"/>
                    </w:rPr>
                    <w:t>N</w:t>
                  </w:r>
                  <w:r>
                    <w:rPr>
                      <w:rFonts w:eastAsia="宋体"/>
                      <w:snapToGrid w:val="0"/>
                      <w:spacing w:val="0"/>
                      <w:szCs w:val="21"/>
                      <w:vertAlign w:val="subscript"/>
                    </w:rPr>
                    <w:t>2</w:t>
                  </w:r>
                  <w:r>
                    <w:rPr>
                      <w:rFonts w:eastAsia="宋体"/>
                      <w:snapToGrid w:val="0"/>
                      <w:spacing w:val="0"/>
                      <w:szCs w:val="21"/>
                    </w:rPr>
                    <w:t>O</w:t>
                  </w:r>
                  <w:r>
                    <w:rPr>
                      <w:rFonts w:eastAsia="宋体"/>
                      <w:snapToGrid w:val="0"/>
                      <w:spacing w:val="0"/>
                      <w:szCs w:val="21"/>
                      <w:vertAlign w:val="subscript"/>
                    </w:rPr>
                    <w:t>8</w:t>
                  </w:r>
                  <w:r>
                    <w:rPr>
                      <w:rFonts w:eastAsia="宋体"/>
                      <w:spacing w:val="0"/>
                      <w:szCs w:val="21"/>
                    </w:rPr>
                    <w:t>，白色无臭无味粉末，密度1.6g/cm</w:t>
                  </w:r>
                  <w:r>
                    <w:rPr>
                      <w:rFonts w:eastAsia="宋体"/>
                      <w:spacing w:val="0"/>
                      <w:szCs w:val="21"/>
                      <w:vertAlign w:val="superscript"/>
                    </w:rPr>
                    <w:t>3</w:t>
                  </w:r>
                  <w:r>
                    <w:rPr>
                      <w:rFonts w:eastAsia="宋体"/>
                      <w:spacing w:val="0"/>
                      <w:szCs w:val="21"/>
                    </w:rPr>
                    <w:t>，熔点250℃，沸点614.2℃，闪点325.2℃。不溶于乙醇和一般有机溶剂，微溶于冷水，溶于氢氧化钠、碳酸钠和氨的水溶液中。</w:t>
                  </w:r>
                </w:p>
              </w:tc>
              <w:tc>
                <w:tcPr>
                  <w:tcW w:w="317" w:type="pct"/>
                  <w:vAlign w:val="center"/>
                </w:tcPr>
                <w:p w14:paraId="20C667F2">
                  <w:pPr>
                    <w:pStyle w:val="48"/>
                    <w:snapToGrid w:val="0"/>
                    <w:spacing w:line="240" w:lineRule="auto"/>
                    <w:jc w:val="center"/>
                    <w:rPr>
                      <w:rFonts w:eastAsia="宋体"/>
                      <w:snapToGrid w:val="0"/>
                      <w:spacing w:val="0"/>
                      <w:szCs w:val="21"/>
                    </w:rPr>
                  </w:pPr>
                  <w:r>
                    <w:rPr>
                      <w:rFonts w:eastAsia="宋体"/>
                      <w:snapToGrid w:val="0"/>
                      <w:spacing w:val="0"/>
                      <w:szCs w:val="21"/>
                    </w:rPr>
                    <w:t>不易燃</w:t>
                  </w:r>
                </w:p>
              </w:tc>
              <w:tc>
                <w:tcPr>
                  <w:tcW w:w="1108" w:type="pct"/>
                  <w:vAlign w:val="center"/>
                </w:tcPr>
                <w:p w14:paraId="673D4E36">
                  <w:pPr>
                    <w:pStyle w:val="48"/>
                    <w:snapToGrid w:val="0"/>
                    <w:spacing w:line="240" w:lineRule="auto"/>
                    <w:jc w:val="center"/>
                    <w:rPr>
                      <w:rFonts w:eastAsia="宋体"/>
                      <w:snapToGrid w:val="0"/>
                      <w:spacing w:val="0"/>
                      <w:szCs w:val="21"/>
                    </w:rPr>
                  </w:pPr>
                  <w:r>
                    <w:rPr>
                      <w:rFonts w:eastAsia="宋体"/>
                      <w:snapToGrid w:val="0"/>
                      <w:szCs w:val="21"/>
                    </w:rPr>
                    <w:t>LD</w:t>
                  </w:r>
                  <w:r>
                    <w:rPr>
                      <w:rFonts w:eastAsia="宋体"/>
                      <w:snapToGrid w:val="0"/>
                      <w:szCs w:val="21"/>
                      <w:vertAlign w:val="subscript"/>
                    </w:rPr>
                    <w:t>50</w:t>
                  </w:r>
                  <w:r>
                    <w:rPr>
                      <w:rFonts w:eastAsia="宋体"/>
                      <w:snapToGrid w:val="0"/>
                      <w:szCs w:val="21"/>
                    </w:rPr>
                    <w:t>：2000mg/kg（大鼠经口）</w:t>
                  </w:r>
                </w:p>
              </w:tc>
            </w:tr>
          </w:tbl>
          <w:p w14:paraId="35A46A3E">
            <w:pPr>
              <w:numPr>
                <w:ilvl w:val="2"/>
                <w:numId w:val="0"/>
              </w:numPr>
              <w:tabs>
                <w:tab w:val="left" w:pos="2126"/>
              </w:tabs>
              <w:adjustRightInd w:val="0"/>
              <w:snapToGrid w:val="0"/>
              <w:spacing w:beforeLines="50" w:line="360" w:lineRule="auto"/>
              <w:ind w:firstLine="422" w:firstLineChars="200"/>
              <w:rPr>
                <w:b/>
                <w:szCs w:val="21"/>
              </w:rPr>
            </w:pPr>
            <w:r>
              <w:rPr>
                <w:b/>
                <w:szCs w:val="21"/>
              </w:rPr>
              <w:t>6、VOCs平衡</w:t>
            </w:r>
          </w:p>
          <w:p w14:paraId="6297CBE7">
            <w:pPr>
              <w:pStyle w:val="8"/>
              <w:adjustRightInd w:val="0"/>
              <w:snapToGrid w:val="0"/>
              <w:spacing w:line="360" w:lineRule="auto"/>
              <w:ind w:firstLine="420" w:firstLineChars="200"/>
              <w:rPr>
                <w:szCs w:val="21"/>
              </w:rPr>
            </w:pPr>
            <w:r>
              <w:rPr>
                <w:szCs w:val="21"/>
              </w:rPr>
              <w:t>项目VOCs产生来自胶粘剂辅料使用及各类胶料在加热过程中分解，VOCs平衡见表2-6。</w:t>
            </w:r>
          </w:p>
          <w:p w14:paraId="2578B925">
            <w:pPr>
              <w:jc w:val="center"/>
              <w:rPr>
                <w:szCs w:val="21"/>
              </w:rPr>
            </w:pPr>
            <w:r>
              <w:rPr>
                <w:b/>
                <w:bCs/>
                <w:szCs w:val="21"/>
              </w:rPr>
              <w:t>表2-6  项目VOCs平衡表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412"/>
              <w:gridCol w:w="1378"/>
              <w:gridCol w:w="1515"/>
              <w:gridCol w:w="1961"/>
              <w:gridCol w:w="1123"/>
            </w:tblGrid>
            <w:tr w14:paraId="33DA8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04" w:type="dxa"/>
                  <w:gridSpan w:val="2"/>
                  <w:vAlign w:val="center"/>
                </w:tcPr>
                <w:p w14:paraId="7E901700">
                  <w:pPr>
                    <w:widowControl/>
                    <w:adjustRightInd w:val="0"/>
                    <w:snapToGrid w:val="0"/>
                    <w:jc w:val="center"/>
                    <w:rPr>
                      <w:b/>
                      <w:szCs w:val="21"/>
                    </w:rPr>
                  </w:pPr>
                  <w:r>
                    <w:rPr>
                      <w:b/>
                      <w:szCs w:val="21"/>
                    </w:rPr>
                    <w:t>入方（t/a）</w:t>
                  </w:r>
                </w:p>
              </w:tc>
              <w:tc>
                <w:tcPr>
                  <w:tcW w:w="4614" w:type="dxa"/>
                  <w:gridSpan w:val="3"/>
                  <w:vAlign w:val="center"/>
                </w:tcPr>
                <w:p w14:paraId="49942151">
                  <w:pPr>
                    <w:widowControl/>
                    <w:adjustRightInd w:val="0"/>
                    <w:snapToGrid w:val="0"/>
                    <w:jc w:val="center"/>
                    <w:rPr>
                      <w:b/>
                      <w:szCs w:val="21"/>
                    </w:rPr>
                  </w:pPr>
                  <w:r>
                    <w:rPr>
                      <w:b/>
                      <w:szCs w:val="21"/>
                    </w:rPr>
                    <w:t>出方（t/a）</w:t>
                  </w:r>
                </w:p>
              </w:tc>
            </w:tr>
            <w:tr w14:paraId="04CA6E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22" w:type="dxa"/>
                  <w:vAlign w:val="center"/>
                </w:tcPr>
                <w:p w14:paraId="42DEED18">
                  <w:pPr>
                    <w:widowControl/>
                    <w:adjustRightInd w:val="0"/>
                    <w:snapToGrid w:val="0"/>
                    <w:jc w:val="center"/>
                    <w:rPr>
                      <w:b/>
                      <w:szCs w:val="21"/>
                    </w:rPr>
                  </w:pPr>
                  <w:r>
                    <w:rPr>
                      <w:b/>
                      <w:szCs w:val="21"/>
                    </w:rPr>
                    <w:t>项目</w:t>
                  </w:r>
                </w:p>
              </w:tc>
              <w:tc>
                <w:tcPr>
                  <w:tcW w:w="1382" w:type="dxa"/>
                  <w:vAlign w:val="center"/>
                </w:tcPr>
                <w:p w14:paraId="0CFD90BC">
                  <w:pPr>
                    <w:widowControl/>
                    <w:adjustRightInd w:val="0"/>
                    <w:snapToGrid w:val="0"/>
                    <w:jc w:val="center"/>
                    <w:rPr>
                      <w:b/>
                      <w:szCs w:val="21"/>
                    </w:rPr>
                  </w:pPr>
                  <w:r>
                    <w:rPr>
                      <w:b/>
                      <w:szCs w:val="21"/>
                    </w:rPr>
                    <w:t>物料量</w:t>
                  </w:r>
                </w:p>
              </w:tc>
              <w:tc>
                <w:tcPr>
                  <w:tcW w:w="3490" w:type="dxa"/>
                  <w:gridSpan w:val="2"/>
                  <w:vAlign w:val="center"/>
                </w:tcPr>
                <w:p w14:paraId="4CF53EAE">
                  <w:pPr>
                    <w:widowControl/>
                    <w:adjustRightInd w:val="0"/>
                    <w:snapToGrid w:val="0"/>
                    <w:jc w:val="center"/>
                    <w:rPr>
                      <w:b/>
                      <w:szCs w:val="21"/>
                    </w:rPr>
                  </w:pPr>
                  <w:r>
                    <w:rPr>
                      <w:b/>
                      <w:szCs w:val="21"/>
                    </w:rPr>
                    <w:t>类别</w:t>
                  </w:r>
                </w:p>
              </w:tc>
              <w:tc>
                <w:tcPr>
                  <w:tcW w:w="1124" w:type="dxa"/>
                  <w:vAlign w:val="center"/>
                </w:tcPr>
                <w:p w14:paraId="7C0A44B6">
                  <w:pPr>
                    <w:widowControl/>
                    <w:adjustRightInd w:val="0"/>
                    <w:snapToGrid w:val="0"/>
                    <w:jc w:val="center"/>
                    <w:rPr>
                      <w:b/>
                      <w:szCs w:val="21"/>
                    </w:rPr>
                  </w:pPr>
                  <w:r>
                    <w:rPr>
                      <w:b/>
                      <w:szCs w:val="21"/>
                    </w:rPr>
                    <w:t>物料量</w:t>
                  </w:r>
                </w:p>
              </w:tc>
            </w:tr>
            <w:tr w14:paraId="7B9A2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22" w:type="dxa"/>
                  <w:vAlign w:val="center"/>
                </w:tcPr>
                <w:p w14:paraId="4C6332E5">
                  <w:pPr>
                    <w:widowControl/>
                    <w:adjustRightInd w:val="0"/>
                    <w:snapToGrid w:val="0"/>
                    <w:jc w:val="center"/>
                    <w:rPr>
                      <w:szCs w:val="21"/>
                    </w:rPr>
                  </w:pPr>
                  <w:r>
                    <w:rPr>
                      <w:szCs w:val="21"/>
                    </w:rPr>
                    <w:t>胶粘剂</w:t>
                  </w:r>
                </w:p>
              </w:tc>
              <w:tc>
                <w:tcPr>
                  <w:tcW w:w="1382" w:type="dxa"/>
                  <w:vAlign w:val="center"/>
                </w:tcPr>
                <w:p w14:paraId="7FE013E8">
                  <w:pPr>
                    <w:widowControl/>
                    <w:adjustRightInd w:val="0"/>
                    <w:snapToGrid w:val="0"/>
                    <w:jc w:val="center"/>
                    <w:rPr>
                      <w:szCs w:val="21"/>
                    </w:rPr>
                  </w:pPr>
                  <w:r>
                    <w:rPr>
                      <w:rFonts w:hint="eastAsia"/>
                      <w:szCs w:val="21"/>
                    </w:rPr>
                    <w:t>0.002</w:t>
                  </w:r>
                </w:p>
              </w:tc>
              <w:tc>
                <w:tcPr>
                  <w:tcW w:w="1521" w:type="dxa"/>
                  <w:vMerge w:val="restart"/>
                  <w:vAlign w:val="center"/>
                </w:tcPr>
                <w:p w14:paraId="799793A7">
                  <w:pPr>
                    <w:widowControl/>
                    <w:adjustRightInd w:val="0"/>
                    <w:snapToGrid w:val="0"/>
                    <w:jc w:val="center"/>
                    <w:rPr>
                      <w:szCs w:val="21"/>
                    </w:rPr>
                  </w:pPr>
                  <w:r>
                    <w:rPr>
                      <w:szCs w:val="21"/>
                    </w:rPr>
                    <w:t>废气</w:t>
                  </w:r>
                </w:p>
              </w:tc>
              <w:tc>
                <w:tcPr>
                  <w:tcW w:w="1969" w:type="dxa"/>
                  <w:vAlign w:val="center"/>
                </w:tcPr>
                <w:p w14:paraId="50B2FD94">
                  <w:pPr>
                    <w:widowControl/>
                    <w:adjustRightInd w:val="0"/>
                    <w:snapToGrid w:val="0"/>
                    <w:jc w:val="center"/>
                    <w:rPr>
                      <w:szCs w:val="21"/>
                    </w:rPr>
                  </w:pPr>
                  <w:r>
                    <w:rPr>
                      <w:szCs w:val="21"/>
                    </w:rPr>
                    <w:t>有组织</w:t>
                  </w:r>
                  <w:r>
                    <w:t>排放</w:t>
                  </w:r>
                </w:p>
              </w:tc>
              <w:tc>
                <w:tcPr>
                  <w:tcW w:w="1124" w:type="dxa"/>
                  <w:vAlign w:val="center"/>
                </w:tcPr>
                <w:p w14:paraId="2F6D388E">
                  <w:pPr>
                    <w:widowControl/>
                    <w:jc w:val="center"/>
                    <w:textAlignment w:val="center"/>
                    <w:rPr>
                      <w:szCs w:val="21"/>
                    </w:rPr>
                  </w:pPr>
                  <w:r>
                    <w:rPr>
                      <w:rFonts w:hint="eastAsia"/>
                      <w:szCs w:val="21"/>
                    </w:rPr>
                    <w:t>0.2372</w:t>
                  </w:r>
                </w:p>
              </w:tc>
            </w:tr>
            <w:tr w14:paraId="315793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22" w:type="dxa"/>
                  <w:vAlign w:val="center"/>
                </w:tcPr>
                <w:p w14:paraId="0A8FD655">
                  <w:pPr>
                    <w:widowControl/>
                    <w:adjustRightInd w:val="0"/>
                    <w:snapToGrid w:val="0"/>
                    <w:jc w:val="center"/>
                    <w:rPr>
                      <w:szCs w:val="21"/>
                    </w:rPr>
                  </w:pPr>
                  <w:r>
                    <w:rPr>
                      <w:szCs w:val="21"/>
                    </w:rPr>
                    <w:t>胶料加热产生</w:t>
                  </w:r>
                </w:p>
              </w:tc>
              <w:tc>
                <w:tcPr>
                  <w:tcW w:w="1382" w:type="dxa"/>
                  <w:vAlign w:val="center"/>
                </w:tcPr>
                <w:p w14:paraId="358C8564">
                  <w:pPr>
                    <w:widowControl/>
                    <w:adjustRightInd w:val="0"/>
                    <w:snapToGrid w:val="0"/>
                    <w:jc w:val="center"/>
                    <w:rPr>
                      <w:szCs w:val="21"/>
                    </w:rPr>
                  </w:pPr>
                  <w:r>
                    <w:rPr>
                      <w:rFonts w:hint="eastAsia"/>
                      <w:szCs w:val="21"/>
                    </w:rPr>
                    <w:t>2.633</w:t>
                  </w:r>
                </w:p>
              </w:tc>
              <w:tc>
                <w:tcPr>
                  <w:tcW w:w="1521" w:type="dxa"/>
                  <w:vMerge w:val="continue"/>
                  <w:vAlign w:val="center"/>
                </w:tcPr>
                <w:p w14:paraId="401071DB">
                  <w:pPr>
                    <w:widowControl/>
                    <w:adjustRightInd w:val="0"/>
                    <w:snapToGrid w:val="0"/>
                    <w:jc w:val="center"/>
                    <w:rPr>
                      <w:szCs w:val="21"/>
                    </w:rPr>
                  </w:pPr>
                </w:p>
              </w:tc>
              <w:tc>
                <w:tcPr>
                  <w:tcW w:w="1969" w:type="dxa"/>
                  <w:vAlign w:val="center"/>
                </w:tcPr>
                <w:p w14:paraId="13D8492E">
                  <w:pPr>
                    <w:widowControl/>
                    <w:adjustRightInd w:val="0"/>
                    <w:snapToGrid w:val="0"/>
                    <w:jc w:val="center"/>
                    <w:rPr>
                      <w:szCs w:val="21"/>
                    </w:rPr>
                  </w:pPr>
                  <w:r>
                    <w:rPr>
                      <w:rFonts w:hint="eastAsia"/>
                      <w:szCs w:val="21"/>
                    </w:rPr>
                    <w:t>无组织排放</w:t>
                  </w:r>
                </w:p>
              </w:tc>
              <w:tc>
                <w:tcPr>
                  <w:tcW w:w="1124" w:type="dxa"/>
                  <w:vAlign w:val="center"/>
                </w:tcPr>
                <w:p w14:paraId="6CCC8737">
                  <w:pPr>
                    <w:widowControl/>
                    <w:jc w:val="center"/>
                    <w:textAlignment w:val="center"/>
                    <w:rPr>
                      <w:szCs w:val="21"/>
                    </w:rPr>
                  </w:pPr>
                  <w:r>
                    <w:rPr>
                      <w:rFonts w:hint="eastAsia"/>
                      <w:szCs w:val="21"/>
                    </w:rPr>
                    <w:t>0.2651</w:t>
                  </w:r>
                </w:p>
              </w:tc>
            </w:tr>
            <w:tr w14:paraId="0F655B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22" w:type="dxa"/>
                  <w:vAlign w:val="center"/>
                </w:tcPr>
                <w:p w14:paraId="74B0AB6C">
                  <w:pPr>
                    <w:widowControl/>
                    <w:adjustRightInd w:val="0"/>
                    <w:snapToGrid w:val="0"/>
                    <w:jc w:val="center"/>
                    <w:rPr>
                      <w:szCs w:val="21"/>
                    </w:rPr>
                  </w:pPr>
                  <w:r>
                    <w:rPr>
                      <w:rFonts w:hint="eastAsia"/>
                      <w:szCs w:val="21"/>
                    </w:rPr>
                    <w:t>/</w:t>
                  </w:r>
                </w:p>
              </w:tc>
              <w:tc>
                <w:tcPr>
                  <w:tcW w:w="1382" w:type="dxa"/>
                  <w:vAlign w:val="center"/>
                </w:tcPr>
                <w:p w14:paraId="420EC446">
                  <w:pPr>
                    <w:widowControl/>
                    <w:adjustRightInd w:val="0"/>
                    <w:snapToGrid w:val="0"/>
                    <w:jc w:val="center"/>
                    <w:rPr>
                      <w:szCs w:val="21"/>
                    </w:rPr>
                  </w:pPr>
                  <w:r>
                    <w:rPr>
                      <w:rFonts w:hint="eastAsia"/>
                      <w:szCs w:val="21"/>
                    </w:rPr>
                    <w:t>/</w:t>
                  </w:r>
                </w:p>
              </w:tc>
              <w:tc>
                <w:tcPr>
                  <w:tcW w:w="1521" w:type="dxa"/>
                  <w:vAlign w:val="center"/>
                </w:tcPr>
                <w:p w14:paraId="680AC227">
                  <w:pPr>
                    <w:widowControl/>
                    <w:adjustRightInd w:val="0"/>
                    <w:snapToGrid w:val="0"/>
                    <w:jc w:val="center"/>
                    <w:rPr>
                      <w:szCs w:val="21"/>
                    </w:rPr>
                  </w:pPr>
                  <w:r>
                    <w:rPr>
                      <w:szCs w:val="21"/>
                    </w:rPr>
                    <w:t>固废</w:t>
                  </w:r>
                </w:p>
              </w:tc>
              <w:tc>
                <w:tcPr>
                  <w:tcW w:w="1969" w:type="dxa"/>
                  <w:vAlign w:val="center"/>
                </w:tcPr>
                <w:p w14:paraId="36F63888">
                  <w:pPr>
                    <w:widowControl/>
                    <w:adjustRightInd w:val="0"/>
                    <w:snapToGrid w:val="0"/>
                    <w:jc w:val="center"/>
                    <w:rPr>
                      <w:szCs w:val="21"/>
                    </w:rPr>
                  </w:pPr>
                  <w:r>
                    <w:rPr>
                      <w:kern w:val="0"/>
                      <w:szCs w:val="21"/>
                    </w:rPr>
                    <w:t>二级活性炭吸附量</w:t>
                  </w:r>
                </w:p>
              </w:tc>
              <w:tc>
                <w:tcPr>
                  <w:tcW w:w="1124" w:type="dxa"/>
                  <w:vAlign w:val="center"/>
                </w:tcPr>
                <w:p w14:paraId="04257B91">
                  <w:pPr>
                    <w:widowControl/>
                    <w:jc w:val="center"/>
                    <w:textAlignment w:val="center"/>
                    <w:rPr>
                      <w:szCs w:val="21"/>
                    </w:rPr>
                  </w:pPr>
                  <w:r>
                    <w:rPr>
                      <w:rFonts w:hint="eastAsia"/>
                      <w:szCs w:val="21"/>
                    </w:rPr>
                    <w:t>2.1327</w:t>
                  </w:r>
                </w:p>
              </w:tc>
            </w:tr>
            <w:tr w14:paraId="021230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22" w:type="dxa"/>
                  <w:vAlign w:val="center"/>
                </w:tcPr>
                <w:p w14:paraId="7C7671E6">
                  <w:pPr>
                    <w:widowControl/>
                    <w:adjustRightInd w:val="0"/>
                    <w:snapToGrid w:val="0"/>
                    <w:jc w:val="center"/>
                    <w:rPr>
                      <w:szCs w:val="21"/>
                    </w:rPr>
                  </w:pPr>
                  <w:r>
                    <w:rPr>
                      <w:szCs w:val="21"/>
                    </w:rPr>
                    <w:t>合计</w:t>
                  </w:r>
                </w:p>
              </w:tc>
              <w:tc>
                <w:tcPr>
                  <w:tcW w:w="1382" w:type="dxa"/>
                  <w:vAlign w:val="center"/>
                </w:tcPr>
                <w:p w14:paraId="5A99D5A5">
                  <w:pPr>
                    <w:widowControl/>
                    <w:adjustRightInd w:val="0"/>
                    <w:snapToGrid w:val="0"/>
                    <w:jc w:val="center"/>
                    <w:rPr>
                      <w:szCs w:val="21"/>
                    </w:rPr>
                  </w:pPr>
                  <w:r>
                    <w:rPr>
                      <w:rFonts w:hint="eastAsia"/>
                      <w:szCs w:val="21"/>
                    </w:rPr>
                    <w:t>2.635</w:t>
                  </w:r>
                </w:p>
              </w:tc>
              <w:tc>
                <w:tcPr>
                  <w:tcW w:w="3490" w:type="dxa"/>
                  <w:gridSpan w:val="2"/>
                  <w:vAlign w:val="center"/>
                </w:tcPr>
                <w:p w14:paraId="2E41F332">
                  <w:pPr>
                    <w:widowControl/>
                    <w:adjustRightInd w:val="0"/>
                    <w:snapToGrid w:val="0"/>
                    <w:jc w:val="center"/>
                    <w:rPr>
                      <w:szCs w:val="21"/>
                    </w:rPr>
                  </w:pPr>
                  <w:r>
                    <w:rPr>
                      <w:szCs w:val="21"/>
                    </w:rPr>
                    <w:t>合计</w:t>
                  </w:r>
                </w:p>
              </w:tc>
              <w:tc>
                <w:tcPr>
                  <w:tcW w:w="1124" w:type="dxa"/>
                  <w:vAlign w:val="center"/>
                </w:tcPr>
                <w:p w14:paraId="2D88A259">
                  <w:pPr>
                    <w:widowControl/>
                    <w:jc w:val="center"/>
                    <w:textAlignment w:val="center"/>
                    <w:rPr>
                      <w:szCs w:val="21"/>
                    </w:rPr>
                  </w:pPr>
                  <w:r>
                    <w:rPr>
                      <w:rFonts w:hint="eastAsia"/>
                      <w:kern w:val="0"/>
                      <w:szCs w:val="21"/>
                    </w:rPr>
                    <w:t>2.635</w:t>
                  </w:r>
                </w:p>
              </w:tc>
            </w:tr>
          </w:tbl>
          <w:p w14:paraId="5693EED0">
            <w:pPr>
              <w:numPr>
                <w:ilvl w:val="2"/>
                <w:numId w:val="0"/>
              </w:numPr>
              <w:tabs>
                <w:tab w:val="left" w:pos="2126"/>
              </w:tabs>
              <w:adjustRightInd w:val="0"/>
              <w:snapToGrid w:val="0"/>
              <w:spacing w:beforeLines="50" w:line="360" w:lineRule="auto"/>
              <w:ind w:firstLine="422" w:firstLineChars="200"/>
              <w:rPr>
                <w:b/>
                <w:szCs w:val="21"/>
              </w:rPr>
            </w:pPr>
            <w:r>
              <w:rPr>
                <w:b/>
                <w:szCs w:val="21"/>
              </w:rPr>
              <w:t>7、项目水平衡分析</w:t>
            </w:r>
          </w:p>
          <w:p w14:paraId="441D7C86">
            <w:pPr>
              <w:adjustRightInd w:val="0"/>
              <w:snapToGrid w:val="0"/>
              <w:spacing w:line="360" w:lineRule="auto"/>
              <w:ind w:firstLine="420" w:firstLineChars="200"/>
              <w:rPr>
                <w:szCs w:val="21"/>
              </w:rPr>
            </w:pPr>
            <w:r>
              <w:rPr>
                <w:szCs w:val="21"/>
              </w:rPr>
              <w:t>本项目</w:t>
            </w:r>
            <w:r>
              <w:rPr>
                <w:rFonts w:hint="eastAsia"/>
                <w:szCs w:val="21"/>
              </w:rPr>
              <w:t>给水主要用于员工生活用水、冷却添加水、喷淋塔用水、脱脂水洗用水、</w:t>
            </w:r>
            <w:r>
              <w:rPr>
                <w:rFonts w:hint="eastAsia"/>
                <w:szCs w:val="21"/>
                <w:highlight w:val="black"/>
                <w:lang w:val="en-US" w:eastAsia="zh-CN"/>
              </w:rPr>
              <w:t xml:space="preserve">      </w:t>
            </w:r>
            <w:r>
              <w:rPr>
                <w:rFonts w:hint="eastAsia"/>
                <w:szCs w:val="21"/>
              </w:rPr>
              <w:t>、纯水制备用水、模具清洗用水。</w:t>
            </w:r>
          </w:p>
          <w:p w14:paraId="54684788">
            <w:pPr>
              <w:adjustRightInd w:val="0"/>
              <w:snapToGrid w:val="0"/>
              <w:spacing w:line="360" w:lineRule="auto"/>
              <w:ind w:firstLine="422" w:firstLineChars="200"/>
              <w:rPr>
                <w:szCs w:val="21"/>
              </w:rPr>
            </w:pPr>
            <w:r>
              <w:rPr>
                <w:b/>
                <w:bCs/>
                <w:szCs w:val="21"/>
              </w:rPr>
              <w:t>设备清洗：</w:t>
            </w:r>
            <w:r>
              <w:rPr>
                <w:szCs w:val="21"/>
              </w:rPr>
              <w:t>项目使用物料在生产过程中可紧密结合，不会有残留物质附着于设备；且设备料斗、模具等物料加工区域均不在环境中裸露，不会导致环境中污染物在设备内累积，定期对模具进行检修保养，设备不需进行冲洗。</w:t>
            </w:r>
          </w:p>
          <w:p w14:paraId="42ED22BB">
            <w:pPr>
              <w:adjustRightInd w:val="0"/>
              <w:snapToGrid w:val="0"/>
              <w:spacing w:line="360" w:lineRule="auto"/>
              <w:ind w:firstLine="422" w:firstLineChars="200"/>
              <w:rPr>
                <w:szCs w:val="21"/>
              </w:rPr>
            </w:pPr>
            <w:r>
              <w:rPr>
                <w:b/>
                <w:bCs/>
                <w:szCs w:val="21"/>
              </w:rPr>
              <w:t>地面清洁：</w:t>
            </w:r>
            <w:r>
              <w:rPr>
                <w:bCs/>
                <w:szCs w:val="21"/>
              </w:rPr>
              <w:t>项目利用现有已建1#车间~5#车间进行生产，</w:t>
            </w:r>
            <w:r>
              <w:t>1#车间本次新增布设预成型机、精密切条机、冷冻去边机、卧式注射机、烘箱等生产设备及检验设备</w:t>
            </w:r>
            <w:r>
              <w:rPr>
                <w:bCs/>
                <w:szCs w:val="21"/>
              </w:rPr>
              <w:t>；</w:t>
            </w:r>
            <w:r>
              <w:t>3#车间本次新增布设预成型机、高压滤胶机、密炼线、切胶机等生产设备；4#车间本次新增布设真空成型机、注射机、自动涂胶机、自动修剪机、自动组合滚边线、烘箱等生产设备；5#车间本次新增布设精雕机、加工中心，用于模具的修整。其余均依托车间内现有设备，</w:t>
            </w:r>
            <w:r>
              <w:rPr>
                <w:bCs/>
                <w:szCs w:val="21"/>
              </w:rPr>
              <w:t>工艺过程中采用人工投料方式将物料称量后加入密闭设备内进行混炼，正常操作情况下物料在转移过程中无泄漏；清洗过程在水槽内进行，无溢流及泄漏。项目正常生产过程中无物料泄漏、洒落至地面，因此车间地面仅需进行简单清扫，无需使用水进行冲洗。</w:t>
            </w:r>
          </w:p>
          <w:p w14:paraId="3FBE13E4">
            <w:pPr>
              <w:adjustRightInd w:val="0"/>
              <w:snapToGrid w:val="0"/>
              <w:spacing w:line="360" w:lineRule="auto"/>
              <w:ind w:firstLine="422" w:firstLineChars="200"/>
              <w:rPr>
                <w:szCs w:val="21"/>
              </w:rPr>
            </w:pPr>
            <w:r>
              <w:rPr>
                <w:b/>
                <w:bCs/>
                <w:szCs w:val="21"/>
              </w:rPr>
              <w:t>车辆清洗：</w:t>
            </w:r>
            <w:r>
              <w:rPr>
                <w:szCs w:val="21"/>
              </w:rPr>
              <w:t>项目采用汽运方式运输原料及产品，原料均采用桶装、箱装、袋装等密闭包装方式转运，在运输过程中无泄漏及洒落，运输车辆不需进行冲洗。</w:t>
            </w:r>
          </w:p>
          <w:p w14:paraId="39DCC6C9">
            <w:pPr>
              <w:adjustRightInd w:val="0"/>
              <w:snapToGrid w:val="0"/>
              <w:spacing w:line="360" w:lineRule="auto"/>
              <w:ind w:firstLine="420" w:firstLineChars="200"/>
              <w:rPr>
                <w:szCs w:val="21"/>
              </w:rPr>
            </w:pPr>
            <w:r>
              <w:rPr>
                <w:szCs w:val="21"/>
              </w:rPr>
              <w:t>因此本次扩建项目新增用水主要为员工生活用水、冷却循环用水、模具清洗用水、产品清洗用水、喷淋塔用水、脱模剂稀释用水及切削液稀释用水，新增排水为生活污水及</w:t>
            </w:r>
            <w:r>
              <w:rPr>
                <w:rFonts w:hint="eastAsia"/>
                <w:szCs w:val="21"/>
              </w:rPr>
              <w:t>冷却塔排水、纯水制备弃水</w:t>
            </w:r>
            <w:r>
              <w:rPr>
                <w:szCs w:val="21"/>
              </w:rPr>
              <w:t>，无含氮磷生产性废水排放。</w:t>
            </w:r>
          </w:p>
          <w:p w14:paraId="545E27DD">
            <w:pPr>
              <w:adjustRightInd w:val="0"/>
              <w:snapToGrid w:val="0"/>
              <w:spacing w:line="360" w:lineRule="auto"/>
              <w:ind w:firstLine="422" w:firstLineChars="200"/>
              <w:rPr>
                <w:szCs w:val="21"/>
              </w:rPr>
            </w:pPr>
            <w:r>
              <w:rPr>
                <w:b/>
                <w:szCs w:val="21"/>
              </w:rPr>
              <w:t>生活用水：</w:t>
            </w:r>
            <w:r>
              <w:rPr>
                <w:bCs/>
                <w:szCs w:val="21"/>
              </w:rPr>
              <w:t>扩建</w:t>
            </w:r>
            <w:r>
              <w:rPr>
                <w:szCs w:val="21"/>
              </w:rPr>
              <w:t>项目新增劳动定员100人，设食堂，不设住宿，年工作300天，根据《江苏省林牧渔业、工业、服务业和生活用水定额》（2019年修订），员工生活用水定额按100L/人·d计，则生活用水量为3000t/a。生活污水排放系数按0.8计，则排放量为2400t/a，接管至</w:t>
            </w:r>
            <w:r>
              <w:rPr>
                <w:kern w:val="0"/>
                <w:szCs w:val="21"/>
              </w:rPr>
              <w:t>常州金坛区第二污水处理有限公司</w:t>
            </w:r>
            <w:r>
              <w:rPr>
                <w:szCs w:val="21"/>
              </w:rPr>
              <w:t>集中处理，处理后尾水排入尧塘河。</w:t>
            </w:r>
          </w:p>
          <w:p w14:paraId="51DA9201">
            <w:pPr>
              <w:adjustRightInd w:val="0"/>
              <w:snapToGrid w:val="0"/>
              <w:spacing w:line="360" w:lineRule="auto"/>
              <w:ind w:firstLine="422" w:firstLineChars="200"/>
              <w:rPr>
                <w:szCs w:val="21"/>
              </w:rPr>
            </w:pPr>
            <w:r>
              <w:rPr>
                <w:b/>
                <w:szCs w:val="21"/>
              </w:rPr>
              <w:t>冷却循环用水：</w:t>
            </w:r>
            <w:r>
              <w:rPr>
                <w:bCs/>
                <w:szCs w:val="21"/>
              </w:rPr>
              <w:t>项目混炼、挤出、硫化等工艺过程中均需加热，为防止温度过高导致设备性能下降、损坏，需添加冷却水对设备进行降温。</w:t>
            </w:r>
            <w:bookmarkStart w:id="55" w:name="OLE_LINK16"/>
            <w:bookmarkStart w:id="56" w:name="OLE_LINK15"/>
            <w:bookmarkStart w:id="57" w:name="OLE_LINK58"/>
            <w:bookmarkStart w:id="58" w:name="OLE_LINK57"/>
            <w:r>
              <w:rPr>
                <w:bCs/>
                <w:szCs w:val="21"/>
              </w:rPr>
              <w:t>全厂共设置2套冷却水系统用于设备降温及产品冷却，单套冷却系统循环量为3.6t/h（26000t/a），采用间接冷却，水质较好，冷却水循环使用，定期补充，少量强制排水约</w:t>
            </w:r>
            <w:bookmarkStart w:id="59" w:name="OLE_LINK164"/>
            <w:bookmarkStart w:id="60" w:name="OLE_LINK163"/>
            <w:r>
              <w:rPr>
                <w:bCs/>
                <w:szCs w:val="21"/>
              </w:rPr>
              <w:t>900m</w:t>
            </w:r>
            <w:r>
              <w:rPr>
                <w:bCs/>
                <w:szCs w:val="21"/>
                <w:vertAlign w:val="superscript"/>
              </w:rPr>
              <w:t>3</w:t>
            </w:r>
            <w:r>
              <w:rPr>
                <w:bCs/>
                <w:szCs w:val="21"/>
              </w:rPr>
              <w:t>/a</w:t>
            </w:r>
            <w:bookmarkEnd w:id="59"/>
            <w:bookmarkEnd w:id="60"/>
            <w:r>
              <w:rPr>
                <w:bCs/>
                <w:szCs w:val="21"/>
              </w:rPr>
              <w:t>现作为清下水排入雨水管网。</w:t>
            </w:r>
            <w:bookmarkEnd w:id="55"/>
            <w:bookmarkEnd w:id="56"/>
            <w:r>
              <w:rPr>
                <w:bCs/>
                <w:szCs w:val="21"/>
              </w:rPr>
              <w:t>本次环评将该股冷却塔强制排水</w:t>
            </w:r>
            <w:r>
              <w:rPr>
                <w:rFonts w:hint="eastAsia"/>
                <w:bCs/>
                <w:szCs w:val="21"/>
              </w:rPr>
              <w:t>作为清下水</w:t>
            </w:r>
            <w:r>
              <w:rPr>
                <w:szCs w:val="21"/>
              </w:rPr>
              <w:t>排入雨水管网。</w:t>
            </w:r>
          </w:p>
          <w:bookmarkEnd w:id="57"/>
          <w:bookmarkEnd w:id="58"/>
          <w:p w14:paraId="16F7E215">
            <w:pPr>
              <w:numPr>
                <w:ilvl w:val="2"/>
                <w:numId w:val="0"/>
              </w:numPr>
              <w:tabs>
                <w:tab w:val="left" w:pos="2126"/>
              </w:tabs>
              <w:adjustRightInd w:val="0"/>
              <w:snapToGrid w:val="0"/>
              <w:spacing w:line="360" w:lineRule="auto"/>
              <w:ind w:firstLine="422" w:firstLineChars="200"/>
              <w:rPr>
                <w:bCs/>
                <w:szCs w:val="21"/>
              </w:rPr>
            </w:pPr>
            <w:r>
              <w:rPr>
                <w:b/>
                <w:szCs w:val="21"/>
              </w:rPr>
              <w:t>模具清洗用水：</w:t>
            </w:r>
            <w:r>
              <w:rPr>
                <w:rFonts w:hint="eastAsia"/>
                <w:bCs/>
                <w:szCs w:val="21"/>
              </w:rPr>
              <w:t>为提高模具表面洁净度需定期对模具进行清洗，1#车间有1条模具清洗线，模具依次经过碱洗浸洗、清水浸洗、高压清洗或清洗剂喷淋洗、高压清洗；4#车间有2条模具清洗线，模具依次经过碱洗浸洗、清水浸洗、高压冲洗。清洗在常温下进行，清洗过程碱洗槽需添加片碱，片碱与水的配比为1：12，清洗剂喷淋洗需添加清洗剂，主要成分为氢氧化钠、苛性钾、聚醚多元醇及</w:t>
            </w:r>
            <w:r>
              <w:rPr>
                <w:rFonts w:hint="eastAsia"/>
                <w:szCs w:val="21"/>
              </w:rPr>
              <w:t>乙二胺四乙酸</w:t>
            </w:r>
            <w:r>
              <w:rPr>
                <w:rFonts w:hint="eastAsia"/>
                <w:bCs/>
                <w:szCs w:val="21"/>
              </w:rPr>
              <w:t>，清洗剂与水配比为1：10。</w:t>
            </w:r>
          </w:p>
          <w:p w14:paraId="3EFBF553">
            <w:pPr>
              <w:numPr>
                <w:ilvl w:val="2"/>
                <w:numId w:val="0"/>
              </w:numPr>
              <w:tabs>
                <w:tab w:val="left" w:pos="2126"/>
              </w:tabs>
              <w:adjustRightInd w:val="0"/>
              <w:snapToGrid w:val="0"/>
              <w:spacing w:line="360" w:lineRule="auto"/>
              <w:ind w:firstLine="420" w:firstLineChars="200"/>
              <w:rPr>
                <w:bCs/>
                <w:szCs w:val="21"/>
              </w:rPr>
            </w:pPr>
            <w:r>
              <w:rPr>
                <w:rFonts w:hint="eastAsia"/>
                <w:bCs/>
                <w:szCs w:val="21"/>
              </w:rPr>
              <w:t>共设置4个碱洗槽，容积分别为0.46m</w:t>
            </w:r>
            <w:r>
              <w:rPr>
                <w:rFonts w:hint="eastAsia"/>
                <w:bCs/>
                <w:szCs w:val="21"/>
                <w:vertAlign w:val="superscript"/>
              </w:rPr>
              <w:t>3</w:t>
            </w:r>
            <w:r>
              <w:rPr>
                <w:rFonts w:hint="eastAsia"/>
                <w:bCs/>
                <w:szCs w:val="21"/>
              </w:rPr>
              <w:t>、0.46m</w:t>
            </w:r>
            <w:r>
              <w:rPr>
                <w:rFonts w:hint="eastAsia"/>
                <w:bCs/>
                <w:szCs w:val="21"/>
                <w:vertAlign w:val="superscript"/>
              </w:rPr>
              <w:t>3</w:t>
            </w:r>
            <w:r>
              <w:rPr>
                <w:rFonts w:hint="eastAsia"/>
                <w:bCs/>
                <w:szCs w:val="21"/>
              </w:rPr>
              <w:t>、0.44m</w:t>
            </w:r>
            <w:r>
              <w:rPr>
                <w:rFonts w:hint="eastAsia"/>
                <w:bCs/>
                <w:szCs w:val="21"/>
                <w:vertAlign w:val="superscript"/>
              </w:rPr>
              <w:t>3</w:t>
            </w:r>
            <w:r>
              <w:rPr>
                <w:rFonts w:hint="eastAsia"/>
                <w:bCs/>
                <w:szCs w:val="21"/>
              </w:rPr>
              <w:t>、0.36m</w:t>
            </w:r>
            <w:r>
              <w:rPr>
                <w:rFonts w:hint="eastAsia"/>
                <w:bCs/>
                <w:szCs w:val="21"/>
                <w:vertAlign w:val="superscript"/>
              </w:rPr>
              <w:t>3</w:t>
            </w:r>
            <w:r>
              <w:rPr>
                <w:rFonts w:hint="eastAsia"/>
                <w:bCs/>
                <w:szCs w:val="21"/>
              </w:rPr>
              <w:t>，每月更换一次，配置用水消耗量为20.6m</w:t>
            </w:r>
            <w:r>
              <w:rPr>
                <w:rFonts w:hint="eastAsia"/>
                <w:bCs/>
                <w:szCs w:val="21"/>
                <w:vertAlign w:val="superscript"/>
              </w:rPr>
              <w:t>3</w:t>
            </w:r>
            <w:r>
              <w:rPr>
                <w:rFonts w:hint="eastAsia"/>
                <w:bCs/>
                <w:szCs w:val="21"/>
              </w:rPr>
              <w:t>/a，损耗量为10%，则产生18.5m</w:t>
            </w:r>
            <w:r>
              <w:rPr>
                <w:rFonts w:hint="eastAsia"/>
                <w:bCs/>
                <w:szCs w:val="21"/>
                <w:vertAlign w:val="superscript"/>
              </w:rPr>
              <w:t>3</w:t>
            </w:r>
            <w:r>
              <w:rPr>
                <w:rFonts w:hint="eastAsia"/>
                <w:bCs/>
                <w:szCs w:val="21"/>
              </w:rPr>
              <w:t>/a清洗废水，进污水处理站处理。共设置3个清水槽，容积分别为0.46m</w:t>
            </w:r>
            <w:r>
              <w:rPr>
                <w:rFonts w:hint="eastAsia"/>
                <w:bCs/>
                <w:szCs w:val="21"/>
                <w:vertAlign w:val="superscript"/>
              </w:rPr>
              <w:t>3</w:t>
            </w:r>
            <w:r>
              <w:rPr>
                <w:rFonts w:hint="eastAsia"/>
                <w:bCs/>
                <w:szCs w:val="21"/>
              </w:rPr>
              <w:t>、0.44m</w:t>
            </w:r>
            <w:r>
              <w:rPr>
                <w:rFonts w:hint="eastAsia"/>
                <w:bCs/>
                <w:szCs w:val="21"/>
                <w:vertAlign w:val="superscript"/>
              </w:rPr>
              <w:t>3</w:t>
            </w:r>
            <w:r>
              <w:rPr>
                <w:rFonts w:hint="eastAsia"/>
                <w:bCs/>
                <w:szCs w:val="21"/>
              </w:rPr>
              <w:t>、0.36m</w:t>
            </w:r>
            <w:r>
              <w:rPr>
                <w:rFonts w:hint="eastAsia"/>
                <w:bCs/>
                <w:szCs w:val="21"/>
                <w:vertAlign w:val="superscript"/>
              </w:rPr>
              <w:t>3</w:t>
            </w:r>
            <w:r>
              <w:rPr>
                <w:rFonts w:hint="eastAsia"/>
                <w:bCs/>
                <w:szCs w:val="21"/>
              </w:rPr>
              <w:t>，每月更换一次，用水消耗量为15.1m</w:t>
            </w:r>
            <w:r>
              <w:rPr>
                <w:rFonts w:hint="eastAsia"/>
                <w:bCs/>
                <w:szCs w:val="21"/>
                <w:vertAlign w:val="superscript"/>
              </w:rPr>
              <w:t>3</w:t>
            </w:r>
            <w:r>
              <w:rPr>
                <w:rFonts w:hint="eastAsia"/>
                <w:bCs/>
                <w:szCs w:val="21"/>
              </w:rPr>
              <w:t>/a，损耗量为10%，则产生13.6m</w:t>
            </w:r>
            <w:r>
              <w:rPr>
                <w:rFonts w:hint="eastAsia"/>
                <w:bCs/>
                <w:szCs w:val="21"/>
                <w:vertAlign w:val="superscript"/>
              </w:rPr>
              <w:t>3</w:t>
            </w:r>
            <w:r>
              <w:rPr>
                <w:rFonts w:hint="eastAsia"/>
                <w:bCs/>
                <w:szCs w:val="21"/>
              </w:rPr>
              <w:t>/a清洗废水，进污水处理站处理。清洗剂喷淋洗配置用水量为30m</w:t>
            </w:r>
            <w:r>
              <w:rPr>
                <w:rFonts w:hint="eastAsia"/>
                <w:bCs/>
                <w:szCs w:val="21"/>
                <w:vertAlign w:val="superscript"/>
              </w:rPr>
              <w:t>3</w:t>
            </w:r>
            <w:r>
              <w:rPr>
                <w:rFonts w:hint="eastAsia"/>
                <w:bCs/>
                <w:szCs w:val="21"/>
              </w:rPr>
              <w:t>/a，损耗量为10%，则产生27m</w:t>
            </w:r>
            <w:r>
              <w:rPr>
                <w:rFonts w:hint="eastAsia"/>
                <w:bCs/>
                <w:szCs w:val="21"/>
                <w:vertAlign w:val="superscript"/>
              </w:rPr>
              <w:t>3</w:t>
            </w:r>
            <w:r>
              <w:rPr>
                <w:rFonts w:hint="eastAsia"/>
                <w:bCs/>
                <w:szCs w:val="21"/>
              </w:rPr>
              <w:t>/a清洗废水，进污水处理站处理。高压冲洗用水量为150m</w:t>
            </w:r>
            <w:r>
              <w:rPr>
                <w:rFonts w:hint="eastAsia"/>
                <w:bCs/>
                <w:szCs w:val="21"/>
                <w:vertAlign w:val="superscript"/>
              </w:rPr>
              <w:t>3</w:t>
            </w:r>
            <w:r>
              <w:rPr>
                <w:rFonts w:hint="eastAsia"/>
                <w:bCs/>
                <w:szCs w:val="21"/>
              </w:rPr>
              <w:t>/a，损耗量为10%，则产生135m</w:t>
            </w:r>
            <w:r>
              <w:rPr>
                <w:rFonts w:hint="eastAsia"/>
                <w:bCs/>
                <w:szCs w:val="21"/>
                <w:vertAlign w:val="superscript"/>
              </w:rPr>
              <w:t>3</w:t>
            </w:r>
            <w:r>
              <w:rPr>
                <w:rFonts w:hint="eastAsia"/>
                <w:bCs/>
                <w:szCs w:val="21"/>
              </w:rPr>
              <w:t>/a清洗废水，进污水处理站处理。</w:t>
            </w:r>
          </w:p>
          <w:p w14:paraId="6AD8A1FF">
            <w:pPr>
              <w:numPr>
                <w:ilvl w:val="2"/>
                <w:numId w:val="0"/>
              </w:numPr>
              <w:tabs>
                <w:tab w:val="left" w:pos="2126"/>
              </w:tabs>
              <w:adjustRightInd w:val="0"/>
              <w:snapToGrid w:val="0"/>
              <w:spacing w:line="360" w:lineRule="auto"/>
              <w:ind w:firstLine="420" w:firstLineChars="200"/>
              <w:rPr>
                <w:bCs/>
                <w:szCs w:val="21"/>
              </w:rPr>
            </w:pPr>
            <w:r>
              <w:rPr>
                <w:rFonts w:hint="eastAsia"/>
                <w:bCs/>
                <w:szCs w:val="21"/>
              </w:rPr>
              <w:t>则模具清洗线共年用水量为215.7m</w:t>
            </w:r>
            <w:r>
              <w:rPr>
                <w:rFonts w:hint="eastAsia"/>
                <w:bCs/>
                <w:szCs w:val="21"/>
                <w:vertAlign w:val="superscript"/>
              </w:rPr>
              <w:t>3</w:t>
            </w:r>
            <w:r>
              <w:rPr>
                <w:rFonts w:hint="eastAsia"/>
                <w:bCs/>
                <w:szCs w:val="21"/>
              </w:rPr>
              <w:t>/a，损耗量为10%，则清洗废水产生量为194.1m</w:t>
            </w:r>
            <w:r>
              <w:rPr>
                <w:rFonts w:hint="eastAsia"/>
                <w:bCs/>
                <w:szCs w:val="21"/>
                <w:vertAlign w:val="superscript"/>
              </w:rPr>
              <w:t>3</w:t>
            </w:r>
            <w:r>
              <w:rPr>
                <w:rFonts w:hint="eastAsia"/>
                <w:bCs/>
                <w:szCs w:val="21"/>
              </w:rPr>
              <w:t>/a进污水处理站处理后回用于生产。</w:t>
            </w:r>
          </w:p>
          <w:p w14:paraId="2A5A0CEB">
            <w:pPr>
              <w:numPr>
                <w:ilvl w:val="2"/>
                <w:numId w:val="0"/>
              </w:numPr>
              <w:tabs>
                <w:tab w:val="left" w:pos="2126"/>
              </w:tabs>
              <w:adjustRightInd w:val="0"/>
              <w:snapToGrid w:val="0"/>
              <w:spacing w:line="360" w:lineRule="auto"/>
              <w:ind w:firstLine="422" w:firstLineChars="200"/>
              <w:rPr>
                <w:bCs/>
                <w:szCs w:val="21"/>
              </w:rPr>
            </w:pPr>
            <w:r>
              <w:rPr>
                <w:b/>
                <w:szCs w:val="21"/>
              </w:rPr>
              <w:t>产品清洗用水：</w:t>
            </w:r>
            <w:r>
              <w:rPr>
                <w:rFonts w:hint="eastAsia"/>
                <w:bCs/>
                <w:szCs w:val="21"/>
              </w:rPr>
              <w:t>本项目外购的金属嵌件需进入厂内已有的</w:t>
            </w:r>
            <w:r>
              <w:rPr>
                <w:rFonts w:hint="eastAsia"/>
                <w:bCs/>
                <w:szCs w:val="21"/>
                <w:lang w:val="en-US" w:eastAsia="zh-CN"/>
              </w:rPr>
              <w:t>表面处理线</w:t>
            </w:r>
            <w:r>
              <w:rPr>
                <w:rFonts w:hint="eastAsia"/>
                <w:bCs/>
                <w:szCs w:val="21"/>
              </w:rPr>
              <w:t>进行表面处理，依次经过脱脂、水洗、表调、</w:t>
            </w:r>
            <w:r>
              <w:rPr>
                <w:rFonts w:hint="eastAsia"/>
                <w:bCs/>
                <w:szCs w:val="21"/>
                <w:highlight w:val="black"/>
                <w:lang w:val="en-US" w:eastAsia="zh-CN"/>
              </w:rPr>
              <w:t xml:space="preserve">     </w:t>
            </w:r>
            <w:r>
              <w:rPr>
                <w:rFonts w:hint="eastAsia"/>
                <w:bCs/>
                <w:szCs w:val="21"/>
              </w:rPr>
              <w:t>、水洗工艺，本次新增脱脂剂用量为1.5t/a，新增表调剂用量为0.24t/a，新增</w:t>
            </w:r>
            <w:r>
              <w:rPr>
                <w:rFonts w:hint="eastAsia"/>
                <w:bCs/>
                <w:szCs w:val="21"/>
                <w:highlight w:val="black"/>
                <w:lang w:val="en-US" w:eastAsia="zh-CN"/>
              </w:rPr>
              <w:t xml:space="preserve">    </w:t>
            </w:r>
            <w:r>
              <w:rPr>
                <w:rFonts w:hint="eastAsia"/>
                <w:bCs/>
                <w:szCs w:val="21"/>
              </w:rPr>
              <w:t>用量为1t/a。脱脂剂与水的配比为1:10，表调剂与水的配比为1:100，</w:t>
            </w:r>
            <w:r>
              <w:rPr>
                <w:rFonts w:hint="eastAsia"/>
                <w:bCs/>
                <w:szCs w:val="21"/>
                <w:highlight w:val="black"/>
                <w:lang w:val="en-US" w:eastAsia="zh-CN"/>
              </w:rPr>
              <w:t xml:space="preserve">        </w:t>
            </w:r>
            <w:r>
              <w:rPr>
                <w:rFonts w:hint="eastAsia"/>
                <w:bCs/>
                <w:szCs w:val="21"/>
                <w:highlight w:val="black"/>
              </w:rPr>
              <w:t>水的配比为1:13</w:t>
            </w:r>
            <w:r>
              <w:rPr>
                <w:rFonts w:hint="eastAsia"/>
                <w:bCs/>
                <w:szCs w:val="21"/>
              </w:rPr>
              <w:t>，则配比用水量为52t/a，槽液循环使用，只添加不更换。</w:t>
            </w:r>
          </w:p>
          <w:p w14:paraId="7F99782D">
            <w:pPr>
              <w:numPr>
                <w:ilvl w:val="2"/>
                <w:numId w:val="0"/>
              </w:numPr>
              <w:tabs>
                <w:tab w:val="left" w:pos="2126"/>
              </w:tabs>
              <w:adjustRightInd w:val="0"/>
              <w:snapToGrid w:val="0"/>
              <w:spacing w:line="360" w:lineRule="auto"/>
              <w:ind w:firstLine="420" w:firstLineChars="200"/>
              <w:rPr>
                <w:bCs/>
                <w:szCs w:val="21"/>
              </w:rPr>
            </w:pPr>
            <w:r>
              <w:rPr>
                <w:rFonts w:hint="eastAsia"/>
                <w:bCs/>
                <w:szCs w:val="21"/>
              </w:rPr>
              <w:t>脱脂后水洗，</w:t>
            </w:r>
            <w:r>
              <w:rPr>
                <w:rFonts w:hint="eastAsia"/>
                <w:szCs w:val="21"/>
              </w:rPr>
              <w:t>清洗槽为两道逆流设计，每个清洗槽</w:t>
            </w:r>
            <w:r>
              <w:rPr>
                <w:szCs w:val="21"/>
              </w:rPr>
              <w:t>容积约为</w:t>
            </w:r>
            <w:r>
              <w:rPr>
                <w:rFonts w:hint="eastAsia"/>
                <w:szCs w:val="21"/>
              </w:rPr>
              <w:t>1.6</w:t>
            </w:r>
            <w:r>
              <w:rPr>
                <w:szCs w:val="21"/>
              </w:rPr>
              <w:t>m</w:t>
            </w:r>
            <w:r>
              <w:rPr>
                <w:szCs w:val="21"/>
                <w:vertAlign w:val="superscript"/>
              </w:rPr>
              <w:t>3</w:t>
            </w:r>
            <w:r>
              <w:rPr>
                <w:szCs w:val="21"/>
              </w:rPr>
              <w:t>，</w:t>
            </w:r>
            <w:r>
              <w:rPr>
                <w:rFonts w:hint="eastAsia"/>
                <w:szCs w:val="21"/>
              </w:rPr>
              <w:t>定期补充新鲜水，本次扩建项目金属嵌件依托现有的</w:t>
            </w:r>
            <w:r>
              <w:rPr>
                <w:rFonts w:hint="eastAsia"/>
                <w:szCs w:val="21"/>
                <w:lang w:val="en-US" w:eastAsia="zh-CN"/>
              </w:rPr>
              <w:t>表面处理线</w:t>
            </w:r>
            <w:r>
              <w:rPr>
                <w:rFonts w:hint="eastAsia"/>
                <w:szCs w:val="21"/>
              </w:rPr>
              <w:t>进行表面处理，故由现有的每天更换2次清洗水，加大更换频率，改为每天更换四次清洗水，则新增用水量为960m</w:t>
            </w:r>
            <w:r>
              <w:rPr>
                <w:rFonts w:hint="eastAsia"/>
                <w:szCs w:val="21"/>
                <w:vertAlign w:val="superscript"/>
              </w:rPr>
              <w:t>3</w:t>
            </w:r>
            <w:r>
              <w:rPr>
                <w:rFonts w:hint="eastAsia"/>
                <w:szCs w:val="21"/>
              </w:rPr>
              <w:t>/a，损耗量为10%，则脱脂后水洗新增排放废水量为864m</w:t>
            </w:r>
            <w:r>
              <w:rPr>
                <w:rFonts w:hint="eastAsia"/>
                <w:szCs w:val="21"/>
                <w:vertAlign w:val="superscript"/>
              </w:rPr>
              <w:t>3</w:t>
            </w:r>
            <w:r>
              <w:rPr>
                <w:rFonts w:hint="eastAsia"/>
                <w:szCs w:val="21"/>
              </w:rPr>
              <w:t>/a</w:t>
            </w:r>
            <w:r>
              <w:rPr>
                <w:rFonts w:hint="eastAsia"/>
                <w:bCs/>
                <w:szCs w:val="21"/>
              </w:rPr>
              <w:t>。</w:t>
            </w:r>
          </w:p>
          <w:p w14:paraId="5F2D4BA1">
            <w:pPr>
              <w:numPr>
                <w:ilvl w:val="2"/>
                <w:numId w:val="0"/>
              </w:numPr>
              <w:tabs>
                <w:tab w:val="left" w:pos="2126"/>
              </w:tabs>
              <w:adjustRightInd w:val="0"/>
              <w:snapToGrid w:val="0"/>
              <w:spacing w:line="360" w:lineRule="auto"/>
              <w:ind w:firstLine="420" w:firstLineChars="200"/>
              <w:rPr>
                <w:rFonts w:hint="default"/>
                <w:bCs/>
                <w:szCs w:val="21"/>
                <w:highlight w:val="black"/>
                <w:lang w:val="en-US" w:eastAsia="zh-CN"/>
              </w:rPr>
            </w:pPr>
            <w:r>
              <w:rPr>
                <w:rFonts w:hint="eastAsia"/>
                <w:bCs/>
                <w:szCs w:val="21"/>
                <w:highlight w:val="black"/>
                <w:lang w:val="en-US" w:eastAsia="zh-CN"/>
              </w:rPr>
              <w:t xml:space="preserve">                                                                         </w:t>
            </w:r>
          </w:p>
          <w:p w14:paraId="07AE6A09">
            <w:pPr>
              <w:numPr>
                <w:ilvl w:val="2"/>
                <w:numId w:val="0"/>
              </w:numPr>
              <w:tabs>
                <w:tab w:val="left" w:pos="2126"/>
              </w:tabs>
              <w:adjustRightInd w:val="0"/>
              <w:snapToGrid w:val="0"/>
              <w:spacing w:line="360" w:lineRule="auto"/>
              <w:ind w:firstLine="420" w:firstLineChars="200"/>
              <w:rPr>
                <w:bCs/>
                <w:szCs w:val="21"/>
              </w:rPr>
            </w:pPr>
            <w:r>
              <w:rPr>
                <w:rFonts w:hint="eastAsia"/>
                <w:bCs/>
                <w:szCs w:val="21"/>
                <w:highlight w:val="black"/>
                <w:lang w:val="en-US" w:eastAsia="zh-CN"/>
              </w:rPr>
              <w:t xml:space="preserve">                         </w:t>
            </w:r>
            <w:r>
              <w:rPr>
                <w:rFonts w:hint="eastAsia"/>
                <w:bCs/>
                <w:szCs w:val="21"/>
                <w:highlight w:val="none"/>
                <w:lang w:val="en-US" w:eastAsia="zh-CN"/>
              </w:rPr>
              <w:t>生产废水</w:t>
            </w:r>
            <w:r>
              <w:rPr>
                <w:bCs/>
                <w:szCs w:val="21"/>
              </w:rPr>
              <w:t>经厂区污水处理设施处理后回用于</w:t>
            </w:r>
            <w:r>
              <w:rPr>
                <w:rFonts w:hint="eastAsia"/>
                <w:bCs/>
                <w:szCs w:val="21"/>
              </w:rPr>
              <w:t>生产</w:t>
            </w:r>
            <w:r>
              <w:rPr>
                <w:bCs/>
                <w:szCs w:val="21"/>
              </w:rPr>
              <w:t>。</w:t>
            </w:r>
          </w:p>
          <w:p w14:paraId="33A76226">
            <w:pPr>
              <w:adjustRightInd w:val="0"/>
              <w:snapToGrid w:val="0"/>
              <w:spacing w:line="360" w:lineRule="auto"/>
              <w:ind w:firstLine="422" w:firstLineChars="200"/>
              <w:rPr>
                <w:szCs w:val="21"/>
              </w:rPr>
            </w:pPr>
            <w:r>
              <w:rPr>
                <w:b/>
                <w:bCs/>
                <w:szCs w:val="21"/>
              </w:rPr>
              <w:t>喷淋塔用水：</w:t>
            </w:r>
            <w:r>
              <w:rPr>
                <w:bCs/>
                <w:szCs w:val="21"/>
              </w:rPr>
              <w:t>本次依托现有</w:t>
            </w:r>
            <w:r>
              <w:rPr>
                <w:szCs w:val="21"/>
              </w:rPr>
              <w:t>已设置的</w:t>
            </w:r>
            <w:r>
              <w:rPr>
                <w:rFonts w:hint="eastAsia"/>
                <w:szCs w:val="21"/>
              </w:rPr>
              <w:t>4台</w:t>
            </w:r>
            <w:r>
              <w:rPr>
                <w:szCs w:val="21"/>
              </w:rPr>
              <w:t>碱喷淋塔处理挤出、硫化、二次硫化等工序产生的硫化氢废气，单台喷淋塔循环水量为</w:t>
            </w:r>
            <w:r>
              <w:rPr>
                <w:rFonts w:hint="eastAsia"/>
                <w:szCs w:val="21"/>
              </w:rPr>
              <w:t>75m</w:t>
            </w:r>
            <w:r>
              <w:rPr>
                <w:rFonts w:hint="eastAsia"/>
                <w:szCs w:val="21"/>
                <w:vertAlign w:val="superscript"/>
              </w:rPr>
              <w:t>3</w:t>
            </w:r>
            <w:r>
              <w:rPr>
                <w:szCs w:val="21"/>
              </w:rPr>
              <w:t>/h（</w:t>
            </w:r>
            <w:r>
              <w:rPr>
                <w:rFonts w:hint="eastAsia"/>
                <w:szCs w:val="21"/>
              </w:rPr>
              <w:t>72000m</w:t>
            </w:r>
            <w:r>
              <w:rPr>
                <w:rFonts w:hint="eastAsia"/>
                <w:szCs w:val="21"/>
                <w:vertAlign w:val="superscript"/>
              </w:rPr>
              <w:t>3</w:t>
            </w:r>
            <w:r>
              <w:rPr>
                <w:szCs w:val="21"/>
              </w:rPr>
              <w:t>/a），</w:t>
            </w:r>
            <w:r>
              <w:rPr>
                <w:rFonts w:hint="eastAsia"/>
                <w:szCs w:val="21"/>
              </w:rPr>
              <w:t>循环水日蒸发损耗量约为小时循环水量的1%</w:t>
            </w:r>
            <w:r>
              <w:rPr>
                <w:szCs w:val="21"/>
              </w:rPr>
              <w:t>，则</w:t>
            </w:r>
            <w:r>
              <w:rPr>
                <w:rFonts w:hint="eastAsia"/>
                <w:szCs w:val="21"/>
              </w:rPr>
              <w:t>全厂总的</w:t>
            </w:r>
            <w:r>
              <w:rPr>
                <w:szCs w:val="21"/>
              </w:rPr>
              <w:t>损耗量共为</w:t>
            </w:r>
            <w:r>
              <w:rPr>
                <w:rFonts w:hint="eastAsia"/>
                <w:szCs w:val="21"/>
              </w:rPr>
              <w:t>3m</w:t>
            </w:r>
            <w:r>
              <w:rPr>
                <w:rFonts w:hint="eastAsia"/>
                <w:szCs w:val="21"/>
                <w:vertAlign w:val="superscript"/>
              </w:rPr>
              <w:t>3</w:t>
            </w:r>
            <w:r>
              <w:rPr>
                <w:szCs w:val="21"/>
              </w:rPr>
              <w:t>/</w:t>
            </w:r>
            <w:r>
              <w:rPr>
                <w:rFonts w:hint="eastAsia"/>
                <w:szCs w:val="21"/>
              </w:rPr>
              <w:t>d</w:t>
            </w:r>
            <w:r>
              <w:rPr>
                <w:szCs w:val="21"/>
              </w:rPr>
              <w:t>（</w:t>
            </w:r>
            <w:r>
              <w:rPr>
                <w:rFonts w:hint="eastAsia"/>
                <w:szCs w:val="21"/>
              </w:rPr>
              <w:t>900m</w:t>
            </w:r>
            <w:r>
              <w:rPr>
                <w:rFonts w:hint="eastAsia"/>
                <w:szCs w:val="21"/>
                <w:vertAlign w:val="superscript"/>
              </w:rPr>
              <w:t>3</w:t>
            </w:r>
            <w:r>
              <w:rPr>
                <w:szCs w:val="21"/>
              </w:rPr>
              <w:t>/a）。喷淋废水约</w:t>
            </w:r>
            <w:r>
              <w:rPr>
                <w:rFonts w:hint="eastAsia"/>
                <w:szCs w:val="21"/>
              </w:rPr>
              <w:t>每周</w:t>
            </w:r>
            <w:r>
              <w:rPr>
                <w:szCs w:val="21"/>
              </w:rPr>
              <w:t>更换一次，</w:t>
            </w:r>
            <w:r>
              <w:rPr>
                <w:rFonts w:hint="eastAsia"/>
                <w:szCs w:val="21"/>
              </w:rPr>
              <w:t>全厂总</w:t>
            </w:r>
            <w:r>
              <w:rPr>
                <w:szCs w:val="21"/>
              </w:rPr>
              <w:t>更换量为</w:t>
            </w:r>
            <w:r>
              <w:rPr>
                <w:rFonts w:hint="eastAsia"/>
                <w:szCs w:val="21"/>
              </w:rPr>
              <w:t>12m</w:t>
            </w:r>
            <w:r>
              <w:rPr>
                <w:rFonts w:hint="eastAsia"/>
                <w:szCs w:val="21"/>
                <w:vertAlign w:val="superscript"/>
              </w:rPr>
              <w:t>3</w:t>
            </w:r>
            <w:r>
              <w:rPr>
                <w:szCs w:val="21"/>
              </w:rPr>
              <w:t>/次（</w:t>
            </w:r>
            <w:r>
              <w:rPr>
                <w:rFonts w:hint="eastAsia"/>
                <w:szCs w:val="21"/>
              </w:rPr>
              <w:t>514m</w:t>
            </w:r>
            <w:r>
              <w:rPr>
                <w:rFonts w:hint="eastAsia"/>
                <w:szCs w:val="21"/>
                <w:vertAlign w:val="superscript"/>
              </w:rPr>
              <w:t>3</w:t>
            </w:r>
            <w:r>
              <w:rPr>
                <w:szCs w:val="21"/>
              </w:rPr>
              <w:t>/a），经厂区污水处理设施处理后回用于</w:t>
            </w:r>
            <w:r>
              <w:rPr>
                <w:rFonts w:hint="eastAsia"/>
                <w:szCs w:val="21"/>
              </w:rPr>
              <w:t>生产</w:t>
            </w:r>
            <w:r>
              <w:rPr>
                <w:szCs w:val="21"/>
              </w:rPr>
              <w:t>。</w:t>
            </w:r>
            <w:r>
              <w:rPr>
                <w:rFonts w:hint="eastAsia"/>
                <w:szCs w:val="21"/>
              </w:rPr>
              <w:t>则本次新增喷淋用水量为730m</w:t>
            </w:r>
            <w:r>
              <w:rPr>
                <w:rFonts w:hint="eastAsia"/>
                <w:szCs w:val="21"/>
                <w:vertAlign w:val="superscript"/>
              </w:rPr>
              <w:t>3</w:t>
            </w:r>
            <w:r>
              <w:rPr>
                <w:rFonts w:hint="eastAsia"/>
                <w:szCs w:val="21"/>
              </w:rPr>
              <w:t>/a，新增喷淋塔排水量为384m</w:t>
            </w:r>
            <w:r>
              <w:rPr>
                <w:rFonts w:hint="eastAsia"/>
                <w:szCs w:val="21"/>
                <w:vertAlign w:val="superscript"/>
              </w:rPr>
              <w:t>3</w:t>
            </w:r>
            <w:r>
              <w:rPr>
                <w:rFonts w:hint="eastAsia"/>
                <w:szCs w:val="21"/>
              </w:rPr>
              <w:t>/a</w:t>
            </w:r>
            <w:r>
              <w:rPr>
                <w:szCs w:val="21"/>
              </w:rPr>
              <w:t>。</w:t>
            </w:r>
          </w:p>
          <w:p w14:paraId="6AB0A8BC">
            <w:pPr>
              <w:adjustRightInd w:val="0"/>
              <w:snapToGrid w:val="0"/>
              <w:spacing w:line="360" w:lineRule="auto"/>
              <w:ind w:firstLine="422" w:firstLineChars="200"/>
              <w:rPr>
                <w:szCs w:val="21"/>
              </w:rPr>
            </w:pPr>
            <w:r>
              <w:rPr>
                <w:b/>
                <w:bCs/>
                <w:szCs w:val="21"/>
              </w:rPr>
              <w:t>纯水制备弃水：</w:t>
            </w:r>
            <w:bookmarkStart w:id="61" w:name="OLE_LINK81"/>
            <w:bookmarkStart w:id="62" w:name="OLE_LINK69"/>
            <w:r>
              <w:rPr>
                <w:szCs w:val="21"/>
              </w:rPr>
              <w:t>本项目采用纯水机制备纯水，纯水制备过程中会产生纯水制备废水，产生量约为</w:t>
            </w:r>
            <w:r>
              <w:rPr>
                <w:rFonts w:hint="eastAsia"/>
                <w:szCs w:val="21"/>
              </w:rPr>
              <w:t>218</w:t>
            </w:r>
            <w:r>
              <w:rPr>
                <w:szCs w:val="21"/>
              </w:rPr>
              <w:t>m</w:t>
            </w:r>
            <w:r>
              <w:rPr>
                <w:szCs w:val="21"/>
                <w:vertAlign w:val="superscript"/>
              </w:rPr>
              <w:t>3</w:t>
            </w:r>
            <w:r>
              <w:rPr>
                <w:szCs w:val="21"/>
              </w:rPr>
              <w:t>/a，主要污染物为COD和SS，污染物浓度分别约为</w:t>
            </w:r>
            <w:r>
              <w:rPr>
                <w:rFonts w:hint="eastAsia"/>
                <w:szCs w:val="21"/>
              </w:rPr>
              <w:t>18</w:t>
            </w:r>
            <w:r>
              <w:rPr>
                <w:szCs w:val="21"/>
              </w:rPr>
              <w:t>和10mg/L。</w:t>
            </w:r>
            <w:r>
              <w:rPr>
                <w:rFonts w:hint="eastAsia"/>
                <w:szCs w:val="21"/>
              </w:rPr>
              <w:t>现有项目产生的纯水制备弃水（308</w:t>
            </w:r>
            <w:r>
              <w:rPr>
                <w:szCs w:val="21"/>
              </w:rPr>
              <w:t>m</w:t>
            </w:r>
            <w:r>
              <w:rPr>
                <w:szCs w:val="21"/>
                <w:vertAlign w:val="superscript"/>
              </w:rPr>
              <w:t>3</w:t>
            </w:r>
            <w:r>
              <w:rPr>
                <w:szCs w:val="21"/>
              </w:rPr>
              <w:t>/a</w:t>
            </w:r>
            <w:r>
              <w:rPr>
                <w:rFonts w:hint="eastAsia"/>
                <w:szCs w:val="21"/>
              </w:rPr>
              <w:t>）</w:t>
            </w:r>
            <w:r>
              <w:rPr>
                <w:szCs w:val="21"/>
              </w:rPr>
              <w:t>现作为清下水排入雨水管网。本次环评将该股废水</w:t>
            </w:r>
            <w:r>
              <w:rPr>
                <w:rFonts w:hint="eastAsia"/>
                <w:szCs w:val="21"/>
              </w:rPr>
              <w:t>（</w:t>
            </w:r>
            <w:bookmarkStart w:id="63" w:name="OLE_LINK161"/>
            <w:bookmarkStart w:id="64" w:name="OLE_LINK162"/>
            <w:r>
              <w:rPr>
                <w:rFonts w:hint="eastAsia"/>
                <w:szCs w:val="21"/>
              </w:rPr>
              <w:t>本次新增218</w:t>
            </w:r>
            <w:r>
              <w:rPr>
                <w:szCs w:val="21"/>
              </w:rPr>
              <w:t>m</w:t>
            </w:r>
            <w:r>
              <w:rPr>
                <w:szCs w:val="21"/>
                <w:vertAlign w:val="superscript"/>
              </w:rPr>
              <w:t>3</w:t>
            </w:r>
            <w:r>
              <w:rPr>
                <w:szCs w:val="21"/>
              </w:rPr>
              <w:t>/a</w:t>
            </w:r>
            <w:r>
              <w:rPr>
                <w:rFonts w:hint="eastAsia"/>
                <w:szCs w:val="21"/>
              </w:rPr>
              <w:t>，现有308</w:t>
            </w:r>
            <w:r>
              <w:rPr>
                <w:szCs w:val="21"/>
              </w:rPr>
              <w:t>m</w:t>
            </w:r>
            <w:r>
              <w:rPr>
                <w:szCs w:val="21"/>
                <w:vertAlign w:val="superscript"/>
              </w:rPr>
              <w:t>3</w:t>
            </w:r>
            <w:r>
              <w:rPr>
                <w:szCs w:val="21"/>
              </w:rPr>
              <w:t>/a</w:t>
            </w:r>
            <w:r>
              <w:rPr>
                <w:rFonts w:hint="eastAsia"/>
                <w:szCs w:val="21"/>
              </w:rPr>
              <w:t>，共526</w:t>
            </w:r>
            <w:r>
              <w:rPr>
                <w:szCs w:val="21"/>
              </w:rPr>
              <w:t>m</w:t>
            </w:r>
            <w:r>
              <w:rPr>
                <w:szCs w:val="21"/>
                <w:vertAlign w:val="superscript"/>
              </w:rPr>
              <w:t>3</w:t>
            </w:r>
            <w:r>
              <w:rPr>
                <w:szCs w:val="21"/>
              </w:rPr>
              <w:t>/a</w:t>
            </w:r>
            <w:bookmarkEnd w:id="63"/>
            <w:bookmarkEnd w:id="64"/>
            <w:r>
              <w:rPr>
                <w:rFonts w:hint="eastAsia"/>
                <w:szCs w:val="21"/>
              </w:rPr>
              <w:t>）</w:t>
            </w:r>
            <w:r>
              <w:rPr>
                <w:rFonts w:hint="eastAsia"/>
                <w:bCs/>
                <w:szCs w:val="21"/>
              </w:rPr>
              <w:t>作为清下水</w:t>
            </w:r>
            <w:r>
              <w:rPr>
                <w:szCs w:val="21"/>
              </w:rPr>
              <w:t>排入雨水管网。</w:t>
            </w:r>
          </w:p>
          <w:bookmarkEnd w:id="61"/>
          <w:bookmarkEnd w:id="62"/>
          <w:p w14:paraId="6CF534AD">
            <w:pPr>
              <w:adjustRightInd w:val="0"/>
              <w:snapToGrid w:val="0"/>
              <w:spacing w:line="360" w:lineRule="auto"/>
              <w:ind w:firstLine="420" w:firstLineChars="200"/>
              <w:rPr>
                <w:szCs w:val="21"/>
              </w:rPr>
            </w:pPr>
            <w:r>
              <w:rPr>
                <w:szCs w:val="21"/>
              </w:rPr>
              <w:t>本次扩建项目水平衡见图2-1，项目建成后全厂水平衡见图2-2。</w:t>
            </w:r>
          </w:p>
          <w:p w14:paraId="42F100B3">
            <w:pPr>
              <w:adjustRightInd w:val="0"/>
              <w:snapToGrid w:val="0"/>
              <w:spacing w:line="360" w:lineRule="auto"/>
              <w:rPr>
                <w:szCs w:val="21"/>
              </w:rPr>
            </w:pPr>
          </w:p>
          <w:p w14:paraId="20E50DDB">
            <w:pPr>
              <w:adjustRightInd w:val="0"/>
              <w:snapToGrid w:val="0"/>
              <w:spacing w:line="360" w:lineRule="auto"/>
              <w:rPr>
                <w:szCs w:val="21"/>
              </w:rPr>
            </w:pPr>
          </w:p>
          <w:p w14:paraId="54BD633B">
            <w:pPr>
              <w:adjustRightInd w:val="0"/>
              <w:snapToGrid w:val="0"/>
              <w:spacing w:line="360" w:lineRule="auto"/>
              <w:rPr>
                <w:szCs w:val="21"/>
              </w:rPr>
            </w:pPr>
          </w:p>
          <w:p w14:paraId="16B86DE1">
            <w:pPr>
              <w:adjustRightInd w:val="0"/>
              <w:snapToGrid w:val="0"/>
              <w:spacing w:line="360" w:lineRule="auto"/>
              <w:rPr>
                <w:szCs w:val="21"/>
              </w:rPr>
            </w:pPr>
          </w:p>
          <w:p w14:paraId="7BC3F7F3">
            <w:pPr>
              <w:adjustRightInd w:val="0"/>
              <w:snapToGrid w:val="0"/>
              <w:spacing w:line="360" w:lineRule="auto"/>
              <w:rPr>
                <w:szCs w:val="21"/>
              </w:rPr>
            </w:pPr>
          </w:p>
          <w:p w14:paraId="679BA217">
            <w:pPr>
              <w:pStyle w:val="8"/>
              <w:rPr>
                <w:szCs w:val="21"/>
              </w:rPr>
            </w:pPr>
          </w:p>
          <w:p w14:paraId="1093DD26">
            <w:pPr>
              <w:rPr>
                <w:szCs w:val="21"/>
              </w:rPr>
            </w:pPr>
          </w:p>
          <w:p w14:paraId="0293E71F">
            <w:pPr>
              <w:pStyle w:val="8"/>
              <w:rPr>
                <w:szCs w:val="21"/>
              </w:rPr>
            </w:pPr>
          </w:p>
          <w:p w14:paraId="7C3DB9EF"/>
          <w:p w14:paraId="4A8B726C">
            <w:pPr>
              <w:adjustRightInd w:val="0"/>
              <w:snapToGrid w:val="0"/>
              <w:spacing w:line="360" w:lineRule="auto"/>
              <w:rPr>
                <w:szCs w:val="21"/>
              </w:rPr>
            </w:pPr>
          </w:p>
          <w:p w14:paraId="399E6E98">
            <w:pPr>
              <w:adjustRightInd w:val="0"/>
              <w:snapToGrid w:val="0"/>
              <w:spacing w:line="360" w:lineRule="auto"/>
              <w:rPr>
                <w:szCs w:val="21"/>
              </w:rPr>
            </w:pPr>
          </w:p>
          <w:p w14:paraId="6707FA41">
            <w:pPr>
              <w:adjustRightInd w:val="0"/>
              <w:snapToGrid w:val="0"/>
              <w:spacing w:line="360" w:lineRule="auto"/>
              <w:rPr>
                <w:szCs w:val="21"/>
              </w:rPr>
            </w:pPr>
          </w:p>
          <w:p w14:paraId="79F860E9">
            <w:pPr>
              <w:adjustRightInd w:val="0"/>
              <w:snapToGrid w:val="0"/>
              <w:spacing w:line="360" w:lineRule="auto"/>
              <w:rPr>
                <w:szCs w:val="21"/>
              </w:rPr>
            </w:pPr>
          </w:p>
          <w:p w14:paraId="1058CEA4">
            <w:pPr>
              <w:adjustRightInd w:val="0"/>
              <w:snapToGrid w:val="0"/>
              <w:spacing w:line="360" w:lineRule="auto"/>
              <w:rPr>
                <w:szCs w:val="21"/>
              </w:rPr>
            </w:pPr>
          </w:p>
          <w:p w14:paraId="602675AA">
            <w:pPr>
              <w:adjustRightInd w:val="0"/>
              <w:snapToGrid w:val="0"/>
              <w:spacing w:line="360" w:lineRule="auto"/>
              <w:rPr>
                <w:szCs w:val="21"/>
              </w:rPr>
            </w:pPr>
          </w:p>
          <w:p w14:paraId="23B08155">
            <w:pPr>
              <w:pStyle w:val="8"/>
            </w:pPr>
          </w:p>
          <w:p w14:paraId="57E41E11"/>
          <w:p w14:paraId="610FB7AC">
            <w:pPr>
              <w:pStyle w:val="8"/>
            </w:pPr>
          </w:p>
          <w:p w14:paraId="59FF091C"/>
          <w:p w14:paraId="434B6890">
            <w:pPr>
              <w:pStyle w:val="8"/>
            </w:pPr>
          </w:p>
          <w:p w14:paraId="446E222D"/>
          <w:p w14:paraId="2634FBF9">
            <w:pPr>
              <w:pStyle w:val="8"/>
            </w:pPr>
          </w:p>
          <w:p w14:paraId="2DEACE06"/>
          <w:p w14:paraId="0CDFDEF0">
            <w:pPr>
              <w:adjustRightInd w:val="0"/>
              <w:snapToGrid w:val="0"/>
              <w:spacing w:line="360" w:lineRule="auto"/>
              <w:rPr>
                <w:rFonts w:hint="eastAsia" w:eastAsia="宋体"/>
                <w:lang w:eastAsia="zh-CN"/>
              </w:rPr>
            </w:pPr>
            <w:r>
              <w:rPr>
                <w:rFonts w:hint="eastAsia"/>
                <w:lang w:eastAsia="zh-CN"/>
              </w:rPr>
              <w:t>（</w:t>
            </w:r>
            <w:r>
              <w:rPr>
                <w:rFonts w:hint="eastAsia"/>
                <w:lang w:val="en-US" w:eastAsia="zh-CN"/>
              </w:rPr>
              <w:t>涉及企业机密，故隐去</w:t>
            </w:r>
            <w:r>
              <w:rPr>
                <w:rFonts w:hint="eastAsia"/>
                <w:lang w:eastAsia="zh-CN"/>
              </w:rPr>
              <w:t>）</w:t>
            </w:r>
          </w:p>
          <w:p w14:paraId="11EBE945">
            <w:pPr>
              <w:adjustRightInd w:val="0"/>
              <w:snapToGrid w:val="0"/>
              <w:spacing w:line="360" w:lineRule="auto"/>
            </w:pPr>
          </w:p>
          <w:p w14:paraId="7F0530D8">
            <w:pPr>
              <w:adjustRightInd w:val="0"/>
              <w:snapToGrid w:val="0"/>
              <w:spacing w:line="360" w:lineRule="auto"/>
            </w:pPr>
          </w:p>
          <w:p w14:paraId="28328FB1">
            <w:pPr>
              <w:adjustRightInd w:val="0"/>
              <w:snapToGrid w:val="0"/>
              <w:spacing w:line="360" w:lineRule="auto"/>
            </w:pPr>
          </w:p>
          <w:p w14:paraId="4E0A8C58">
            <w:pPr>
              <w:adjustRightInd w:val="0"/>
              <w:snapToGrid w:val="0"/>
              <w:spacing w:line="360" w:lineRule="auto"/>
            </w:pPr>
          </w:p>
          <w:p w14:paraId="5DF9AE6E">
            <w:pPr>
              <w:adjustRightInd w:val="0"/>
              <w:snapToGrid w:val="0"/>
              <w:spacing w:line="360" w:lineRule="auto"/>
            </w:pPr>
          </w:p>
          <w:p w14:paraId="15749914">
            <w:pPr>
              <w:adjustRightInd w:val="0"/>
              <w:snapToGrid w:val="0"/>
              <w:spacing w:line="360" w:lineRule="auto"/>
            </w:pPr>
          </w:p>
          <w:p w14:paraId="16AF245A">
            <w:pPr>
              <w:adjustRightInd w:val="0"/>
              <w:snapToGrid w:val="0"/>
              <w:spacing w:line="360" w:lineRule="auto"/>
            </w:pPr>
          </w:p>
          <w:p w14:paraId="55559F5C">
            <w:pPr>
              <w:adjustRightInd w:val="0"/>
              <w:snapToGrid w:val="0"/>
              <w:spacing w:line="360" w:lineRule="auto"/>
            </w:pPr>
          </w:p>
          <w:p w14:paraId="76446C81">
            <w:pPr>
              <w:adjustRightInd w:val="0"/>
              <w:snapToGrid w:val="0"/>
              <w:spacing w:line="360" w:lineRule="auto"/>
            </w:pPr>
          </w:p>
          <w:p w14:paraId="5E735DAB">
            <w:pPr>
              <w:adjustRightInd w:val="0"/>
              <w:snapToGrid w:val="0"/>
              <w:spacing w:line="360" w:lineRule="auto"/>
            </w:pPr>
          </w:p>
          <w:p w14:paraId="6B138F14">
            <w:pPr>
              <w:adjustRightInd w:val="0"/>
              <w:snapToGrid w:val="0"/>
              <w:spacing w:line="360" w:lineRule="auto"/>
            </w:pPr>
          </w:p>
          <w:p w14:paraId="58C91205">
            <w:pPr>
              <w:adjustRightInd w:val="0"/>
              <w:snapToGrid w:val="0"/>
              <w:spacing w:line="360" w:lineRule="auto"/>
            </w:pPr>
          </w:p>
          <w:p w14:paraId="790BE465">
            <w:pPr>
              <w:adjustRightInd w:val="0"/>
              <w:snapToGrid w:val="0"/>
              <w:spacing w:line="360" w:lineRule="auto"/>
            </w:pPr>
          </w:p>
          <w:p w14:paraId="1C189F7E">
            <w:pPr>
              <w:adjustRightInd w:val="0"/>
              <w:snapToGrid w:val="0"/>
              <w:spacing w:line="360" w:lineRule="auto"/>
            </w:pPr>
          </w:p>
          <w:p w14:paraId="07F6BDFA">
            <w:pPr>
              <w:adjustRightInd w:val="0"/>
              <w:snapToGrid w:val="0"/>
              <w:spacing w:line="360" w:lineRule="auto"/>
            </w:pPr>
          </w:p>
          <w:p w14:paraId="5DAA71D5">
            <w:pPr>
              <w:adjustRightInd w:val="0"/>
              <w:snapToGrid w:val="0"/>
              <w:spacing w:line="360" w:lineRule="auto"/>
            </w:pPr>
          </w:p>
          <w:p w14:paraId="0A863B18">
            <w:pPr>
              <w:adjustRightInd w:val="0"/>
              <w:snapToGrid w:val="0"/>
              <w:spacing w:line="360" w:lineRule="auto"/>
            </w:pPr>
          </w:p>
          <w:p w14:paraId="69EA729E">
            <w:pPr>
              <w:adjustRightInd w:val="0"/>
              <w:snapToGrid w:val="0"/>
              <w:spacing w:line="360" w:lineRule="auto"/>
            </w:pPr>
          </w:p>
          <w:p w14:paraId="48BD070A">
            <w:pPr>
              <w:adjustRightInd w:val="0"/>
              <w:snapToGrid w:val="0"/>
              <w:spacing w:line="360" w:lineRule="auto"/>
            </w:pPr>
          </w:p>
          <w:p w14:paraId="65433D30">
            <w:pPr>
              <w:adjustRightInd w:val="0"/>
              <w:snapToGrid w:val="0"/>
              <w:spacing w:line="360" w:lineRule="auto"/>
            </w:pPr>
          </w:p>
          <w:p w14:paraId="5F6A5B78">
            <w:pPr>
              <w:adjustRightInd w:val="0"/>
              <w:snapToGrid w:val="0"/>
              <w:spacing w:line="360" w:lineRule="auto"/>
            </w:pPr>
          </w:p>
          <w:p w14:paraId="4675C5D2">
            <w:pPr>
              <w:adjustRightInd w:val="0"/>
              <w:snapToGrid w:val="0"/>
              <w:spacing w:line="360" w:lineRule="auto"/>
            </w:pPr>
          </w:p>
          <w:p w14:paraId="11B7791C">
            <w:pPr>
              <w:adjustRightInd w:val="0"/>
              <w:snapToGrid w:val="0"/>
              <w:spacing w:line="360" w:lineRule="auto"/>
            </w:pPr>
          </w:p>
          <w:p w14:paraId="6CBC82C1">
            <w:pPr>
              <w:adjustRightInd w:val="0"/>
              <w:snapToGrid w:val="0"/>
              <w:spacing w:line="360" w:lineRule="auto"/>
            </w:pPr>
          </w:p>
          <w:p w14:paraId="605CCDF8">
            <w:pPr>
              <w:adjustRightInd w:val="0"/>
              <w:snapToGrid w:val="0"/>
              <w:spacing w:line="360" w:lineRule="auto"/>
            </w:pPr>
          </w:p>
          <w:p w14:paraId="64B5872E">
            <w:pPr>
              <w:adjustRightInd w:val="0"/>
              <w:snapToGrid w:val="0"/>
              <w:spacing w:line="360" w:lineRule="auto"/>
            </w:pPr>
          </w:p>
          <w:p w14:paraId="50AFF72D">
            <w:pPr>
              <w:adjustRightInd w:val="0"/>
              <w:snapToGrid w:val="0"/>
              <w:spacing w:line="360" w:lineRule="auto"/>
            </w:pPr>
          </w:p>
          <w:p w14:paraId="64F446CA">
            <w:pPr>
              <w:adjustRightInd w:val="0"/>
              <w:snapToGrid w:val="0"/>
              <w:spacing w:line="360" w:lineRule="auto"/>
            </w:pPr>
          </w:p>
          <w:p w14:paraId="3E64FA38">
            <w:pPr>
              <w:adjustRightInd w:val="0"/>
              <w:snapToGrid w:val="0"/>
              <w:spacing w:line="360" w:lineRule="auto"/>
            </w:pPr>
          </w:p>
          <w:p w14:paraId="2B118E35">
            <w:pPr>
              <w:adjustRightInd w:val="0"/>
              <w:snapToGrid w:val="0"/>
              <w:spacing w:line="360" w:lineRule="auto"/>
            </w:pPr>
          </w:p>
          <w:p w14:paraId="0683738E">
            <w:pPr>
              <w:numPr>
                <w:ilvl w:val="2"/>
                <w:numId w:val="0"/>
              </w:numPr>
              <w:tabs>
                <w:tab w:val="left" w:pos="2126"/>
              </w:tabs>
              <w:adjustRightInd w:val="0"/>
              <w:snapToGrid w:val="0"/>
              <w:spacing w:line="360" w:lineRule="auto"/>
              <w:jc w:val="center"/>
              <w:rPr>
                <w:b/>
                <w:szCs w:val="21"/>
              </w:rPr>
            </w:pPr>
            <w:r>
              <w:rPr>
                <w:b/>
                <w:szCs w:val="21"/>
              </w:rPr>
              <w:t>图2-1  扩建项目水平衡图（</w:t>
            </w:r>
            <w:r>
              <w:rPr>
                <w:rFonts w:hint="eastAsia"/>
                <w:b/>
                <w:szCs w:val="21"/>
              </w:rPr>
              <w:t>m</w:t>
            </w:r>
            <w:r>
              <w:rPr>
                <w:rFonts w:hint="eastAsia"/>
                <w:b/>
                <w:szCs w:val="21"/>
                <w:vertAlign w:val="superscript"/>
              </w:rPr>
              <w:t>3</w:t>
            </w:r>
            <w:r>
              <w:rPr>
                <w:b/>
                <w:szCs w:val="21"/>
              </w:rPr>
              <w:t>/a）</w:t>
            </w:r>
          </w:p>
          <w:p w14:paraId="40C8B415">
            <w:pPr>
              <w:pStyle w:val="8"/>
              <w:rPr>
                <w:b/>
                <w:sz w:val="24"/>
                <w:szCs w:val="21"/>
              </w:rPr>
            </w:pPr>
          </w:p>
          <w:p w14:paraId="093E4226">
            <w:pPr>
              <w:rPr>
                <w:b/>
                <w:szCs w:val="21"/>
              </w:rPr>
            </w:pPr>
          </w:p>
          <w:p w14:paraId="5A87E48E">
            <w:pPr>
              <w:pStyle w:val="8"/>
              <w:rPr>
                <w:b/>
                <w:sz w:val="24"/>
                <w:szCs w:val="21"/>
              </w:rPr>
            </w:pPr>
          </w:p>
          <w:p w14:paraId="4991C520">
            <w:pPr>
              <w:pStyle w:val="9"/>
            </w:pPr>
          </w:p>
          <w:p w14:paraId="4C61E122">
            <w:pPr>
              <w:pStyle w:val="9"/>
            </w:pPr>
          </w:p>
          <w:p w14:paraId="44282A59">
            <w:pPr>
              <w:adjustRightInd w:val="0"/>
              <w:snapToGrid w:val="0"/>
              <w:spacing w:line="360" w:lineRule="auto"/>
              <w:rPr>
                <w:rFonts w:hint="eastAsia" w:eastAsia="宋体"/>
                <w:lang w:eastAsia="zh-CN"/>
              </w:rPr>
            </w:pPr>
            <w:r>
              <w:rPr>
                <w:rFonts w:hint="eastAsia"/>
                <w:lang w:eastAsia="zh-CN"/>
              </w:rPr>
              <w:t>（</w:t>
            </w:r>
            <w:r>
              <w:rPr>
                <w:rFonts w:hint="eastAsia"/>
                <w:lang w:val="en-US" w:eastAsia="zh-CN"/>
              </w:rPr>
              <w:t>涉及企业机密，故隐去</w:t>
            </w:r>
            <w:r>
              <w:rPr>
                <w:rFonts w:hint="eastAsia"/>
                <w:lang w:eastAsia="zh-CN"/>
              </w:rPr>
              <w:t>）</w:t>
            </w:r>
          </w:p>
          <w:p w14:paraId="68ED924F"/>
          <w:p w14:paraId="17983A48"/>
          <w:p w14:paraId="2B795303"/>
          <w:p w14:paraId="68213C88"/>
          <w:p w14:paraId="02E94148"/>
          <w:p w14:paraId="39279B89"/>
          <w:p w14:paraId="16A2FFB6"/>
          <w:p w14:paraId="06958FAC"/>
          <w:p w14:paraId="1CDB7087"/>
          <w:p w14:paraId="1D9A5A24"/>
          <w:p w14:paraId="1B7B586F"/>
          <w:p w14:paraId="1B408D81"/>
          <w:p w14:paraId="700A4CF3"/>
          <w:p w14:paraId="512138E4"/>
          <w:p w14:paraId="3757E234"/>
          <w:p w14:paraId="7666F8E2"/>
          <w:p w14:paraId="15C87A64"/>
          <w:p w14:paraId="277D9DEA"/>
          <w:p w14:paraId="38C70C5A"/>
          <w:p w14:paraId="241ABD80"/>
          <w:p w14:paraId="5596E834"/>
          <w:p w14:paraId="4ECC0CCB"/>
          <w:p w14:paraId="74084B4C"/>
          <w:p w14:paraId="1A33FDFE"/>
          <w:p w14:paraId="0B603B09"/>
          <w:p w14:paraId="05CD0DBC"/>
          <w:p w14:paraId="1EB0B4C4"/>
          <w:p w14:paraId="5440644C"/>
          <w:p w14:paraId="6D0EAE56"/>
          <w:p w14:paraId="548EED71"/>
          <w:p w14:paraId="52E83C65"/>
          <w:p w14:paraId="51181012"/>
          <w:p w14:paraId="41F86DBD"/>
          <w:p w14:paraId="69C17D06"/>
          <w:p w14:paraId="65277D37"/>
          <w:p w14:paraId="34057C62"/>
          <w:p w14:paraId="2268E535"/>
          <w:p w14:paraId="2654CB3F"/>
          <w:p w14:paraId="1ABC2637"/>
          <w:p w14:paraId="2E943340"/>
          <w:p w14:paraId="3080583A"/>
          <w:p w14:paraId="30017DB9"/>
          <w:p w14:paraId="2B274201"/>
          <w:p w14:paraId="308B9502"/>
          <w:p w14:paraId="19EBC124"/>
          <w:p w14:paraId="3A4B0B2A"/>
          <w:p w14:paraId="1FD6ED33"/>
          <w:p w14:paraId="01A97872"/>
          <w:p w14:paraId="12A18E09"/>
          <w:p w14:paraId="586F78A8"/>
          <w:p w14:paraId="7FDC621C"/>
          <w:p w14:paraId="6AB1E3B1"/>
          <w:p w14:paraId="60E31ADA">
            <w:pPr>
              <w:numPr>
                <w:ilvl w:val="2"/>
                <w:numId w:val="0"/>
              </w:numPr>
              <w:tabs>
                <w:tab w:val="left" w:pos="2126"/>
              </w:tabs>
              <w:adjustRightInd w:val="0"/>
              <w:snapToGrid w:val="0"/>
              <w:spacing w:line="360" w:lineRule="auto"/>
              <w:jc w:val="center"/>
              <w:rPr>
                <w:b/>
                <w:szCs w:val="21"/>
              </w:rPr>
            </w:pPr>
            <w:r>
              <w:rPr>
                <w:b/>
                <w:szCs w:val="21"/>
              </w:rPr>
              <w:t>图2-2  项目建成后全厂水平衡图（</w:t>
            </w:r>
            <w:r>
              <w:rPr>
                <w:rFonts w:hint="eastAsia"/>
                <w:b/>
                <w:szCs w:val="21"/>
              </w:rPr>
              <w:t>m</w:t>
            </w:r>
            <w:r>
              <w:rPr>
                <w:rFonts w:hint="eastAsia"/>
                <w:b/>
                <w:szCs w:val="21"/>
                <w:vertAlign w:val="superscript"/>
              </w:rPr>
              <w:t>3</w:t>
            </w:r>
            <w:r>
              <w:rPr>
                <w:b/>
                <w:szCs w:val="21"/>
              </w:rPr>
              <w:t>/a）</w:t>
            </w:r>
          </w:p>
          <w:p w14:paraId="06B6494C">
            <w:pPr>
              <w:numPr>
                <w:ilvl w:val="2"/>
                <w:numId w:val="0"/>
              </w:numPr>
              <w:tabs>
                <w:tab w:val="left" w:pos="2126"/>
              </w:tabs>
              <w:adjustRightInd w:val="0"/>
              <w:snapToGrid w:val="0"/>
              <w:spacing w:line="360" w:lineRule="auto"/>
              <w:ind w:firstLine="422" w:firstLineChars="200"/>
              <w:rPr>
                <w:b/>
                <w:szCs w:val="21"/>
              </w:rPr>
            </w:pPr>
          </w:p>
          <w:p w14:paraId="714A1597">
            <w:pPr>
              <w:numPr>
                <w:ilvl w:val="2"/>
                <w:numId w:val="0"/>
              </w:numPr>
              <w:tabs>
                <w:tab w:val="left" w:pos="2126"/>
              </w:tabs>
              <w:adjustRightInd w:val="0"/>
              <w:snapToGrid w:val="0"/>
              <w:spacing w:line="360" w:lineRule="auto"/>
              <w:ind w:firstLine="422" w:firstLineChars="200"/>
              <w:rPr>
                <w:b/>
                <w:szCs w:val="21"/>
              </w:rPr>
            </w:pPr>
            <w:r>
              <w:rPr>
                <w:b/>
                <w:szCs w:val="21"/>
              </w:rPr>
              <w:t>8、厂区平面布置</w:t>
            </w:r>
            <w:bookmarkEnd w:id="54"/>
          </w:p>
          <w:p w14:paraId="7C8B615B">
            <w:pPr>
              <w:numPr>
                <w:ilvl w:val="2"/>
                <w:numId w:val="0"/>
              </w:numPr>
              <w:tabs>
                <w:tab w:val="left" w:pos="2126"/>
              </w:tabs>
              <w:adjustRightInd w:val="0"/>
              <w:snapToGrid w:val="0"/>
              <w:spacing w:line="360" w:lineRule="auto"/>
              <w:ind w:firstLine="420" w:firstLineChars="200"/>
              <w:rPr>
                <w:bCs/>
                <w:szCs w:val="21"/>
              </w:rPr>
            </w:pPr>
            <w:bookmarkStart w:id="65" w:name="_Toc71671771"/>
            <w:r>
              <w:rPr>
                <w:bCs/>
                <w:szCs w:val="21"/>
              </w:rPr>
              <w:t>企业现有厂区占地面积约75000m</w:t>
            </w:r>
            <w:r>
              <w:rPr>
                <w:bCs/>
                <w:szCs w:val="21"/>
                <w:vertAlign w:val="superscript"/>
              </w:rPr>
              <w:t>2</w:t>
            </w:r>
            <w:r>
              <w:rPr>
                <w:bCs/>
                <w:szCs w:val="21"/>
              </w:rPr>
              <w:t>，现建有5座生产车间（1#车间、2#车间、3#车间、4#车间、5#车间）、办公楼、食堂及其他附属设施等。其中，1#~4#生产车间位于厂区西部，并呈逆时针对称分布；5#生产车间、食堂和办公楼位于厂区西部，并至北向南竖向排开；研发大楼位于厂区西北角。厂区设有2个出入口，分别位于厂区北侧和南侧。</w:t>
            </w:r>
          </w:p>
          <w:p w14:paraId="2431BA2A">
            <w:pPr>
              <w:numPr>
                <w:ilvl w:val="2"/>
                <w:numId w:val="0"/>
              </w:numPr>
              <w:tabs>
                <w:tab w:val="left" w:pos="2126"/>
              </w:tabs>
              <w:adjustRightInd w:val="0"/>
              <w:snapToGrid w:val="0"/>
              <w:spacing w:line="360" w:lineRule="auto"/>
              <w:ind w:firstLine="420" w:firstLineChars="200"/>
              <w:rPr>
                <w:bCs/>
                <w:szCs w:val="21"/>
              </w:rPr>
            </w:pPr>
            <w:r>
              <w:rPr>
                <w:bCs/>
                <w:szCs w:val="21"/>
              </w:rPr>
              <w:t>1#车间布设有筛选区、冷冻去边区、一次硫化区、二次硫化区、材料准备区等；2#车间布设有</w:t>
            </w:r>
            <w:r>
              <w:t>成品仓库、抛丸车间、金属表面处理车间、冲压区等</w:t>
            </w:r>
            <w:r>
              <w:rPr>
                <w:bCs/>
                <w:szCs w:val="21"/>
              </w:rPr>
              <w:t>；3#车间布设有</w:t>
            </w:r>
            <w:r>
              <w:t>原料仓库、危废仓库、混料区、炼胶区、橡胶预成型区等；4#车间布设有一次硫化区、二次硫化区、修剪区、滚边区等；5#车间布设有检测区、模具加工区、模具堆放区等。危废仓库位于3#车间北侧</w:t>
            </w:r>
            <w:r>
              <w:rPr>
                <w:rFonts w:hint="eastAsia"/>
              </w:rPr>
              <w:t>，</w:t>
            </w:r>
            <w:r>
              <w:t>一般固废仓库</w:t>
            </w:r>
            <w:r>
              <w:rPr>
                <w:rFonts w:hint="eastAsia"/>
              </w:rPr>
              <w:t>位于2#车间外西侧</w:t>
            </w:r>
            <w:r>
              <w:t>。</w:t>
            </w:r>
          </w:p>
          <w:bookmarkEnd w:id="65"/>
          <w:p w14:paraId="17C3C1CA">
            <w:pPr>
              <w:numPr>
                <w:ilvl w:val="2"/>
                <w:numId w:val="0"/>
              </w:numPr>
              <w:tabs>
                <w:tab w:val="left" w:pos="2126"/>
              </w:tabs>
              <w:adjustRightInd w:val="0"/>
              <w:snapToGrid w:val="0"/>
              <w:spacing w:line="360" w:lineRule="auto"/>
              <w:ind w:firstLine="420" w:firstLineChars="200"/>
              <w:rPr>
                <w:bCs/>
                <w:szCs w:val="21"/>
              </w:rPr>
            </w:pPr>
            <w:r>
              <w:rPr>
                <w:bCs/>
                <w:szCs w:val="21"/>
              </w:rPr>
              <w:t>项目厂区平面布置图见附图三，车间平面布置图见附图四（附图4-1~4-5）。</w:t>
            </w:r>
          </w:p>
          <w:p w14:paraId="0864CF66">
            <w:pPr>
              <w:numPr>
                <w:ilvl w:val="2"/>
                <w:numId w:val="0"/>
              </w:numPr>
              <w:tabs>
                <w:tab w:val="left" w:pos="2126"/>
              </w:tabs>
              <w:adjustRightInd w:val="0"/>
              <w:snapToGrid w:val="0"/>
              <w:spacing w:line="360" w:lineRule="auto"/>
              <w:ind w:firstLine="422" w:firstLineChars="200"/>
              <w:rPr>
                <w:b/>
                <w:szCs w:val="21"/>
              </w:rPr>
            </w:pPr>
            <w:bookmarkStart w:id="66" w:name="_Toc71671772"/>
            <w:r>
              <w:rPr>
                <w:b/>
                <w:szCs w:val="21"/>
              </w:rPr>
              <w:t>9、周边环境概况</w:t>
            </w:r>
            <w:bookmarkEnd w:id="66"/>
          </w:p>
          <w:p w14:paraId="644A0A0E">
            <w:pPr>
              <w:adjustRightInd w:val="0"/>
              <w:snapToGrid w:val="0"/>
              <w:spacing w:line="360" w:lineRule="auto"/>
              <w:ind w:firstLine="420" w:firstLineChars="200"/>
              <w:rPr>
                <w:bCs/>
                <w:kern w:val="0"/>
                <w:szCs w:val="21"/>
              </w:rPr>
            </w:pPr>
            <w:r>
              <w:rPr>
                <w:snapToGrid w:val="0"/>
                <w:kern w:val="0"/>
                <w:szCs w:val="21"/>
              </w:rPr>
              <w:t>项目厂区位于</w:t>
            </w:r>
            <w:r>
              <w:rPr>
                <w:szCs w:val="21"/>
              </w:rPr>
              <w:t>江苏省常州市金坛区尧塘街道金博路1号</w:t>
            </w:r>
            <w:r>
              <w:rPr>
                <w:snapToGrid w:val="0"/>
                <w:kern w:val="0"/>
                <w:szCs w:val="21"/>
              </w:rPr>
              <w:t>。项目北侧为迎春路</w:t>
            </w:r>
            <w:r>
              <w:rPr>
                <w:rFonts w:hint="eastAsia"/>
                <w:snapToGrid w:val="0"/>
                <w:kern w:val="0"/>
                <w:szCs w:val="21"/>
              </w:rPr>
              <w:t>（水西线）</w:t>
            </w:r>
            <w:r>
              <w:rPr>
                <w:snapToGrid w:val="0"/>
                <w:kern w:val="0"/>
                <w:szCs w:val="21"/>
              </w:rPr>
              <w:t>，隔路为金坛金顺线带厂、</w:t>
            </w:r>
            <w:r>
              <w:rPr>
                <w:rFonts w:hint="eastAsia"/>
                <w:snapToGrid w:val="0"/>
                <w:kern w:val="0"/>
                <w:szCs w:val="21"/>
              </w:rPr>
              <w:t>新利橡塑制品、祥恒（常州）包装有限公司等</w:t>
            </w:r>
            <w:r>
              <w:rPr>
                <w:snapToGrid w:val="0"/>
                <w:kern w:val="0"/>
                <w:szCs w:val="21"/>
              </w:rPr>
              <w:t>，西侧为</w:t>
            </w:r>
            <w:r>
              <w:rPr>
                <w:rFonts w:hint="eastAsia"/>
                <w:snapToGrid w:val="0"/>
                <w:kern w:val="0"/>
                <w:szCs w:val="21"/>
              </w:rPr>
              <w:t>金湖南路</w:t>
            </w:r>
            <w:r>
              <w:rPr>
                <w:snapToGrid w:val="0"/>
                <w:kern w:val="0"/>
                <w:szCs w:val="21"/>
              </w:rPr>
              <w:t>（S240省道），南侧为金博路，隔路为空地</w:t>
            </w:r>
            <w:r>
              <w:rPr>
                <w:rFonts w:hint="eastAsia"/>
                <w:snapToGrid w:val="0"/>
                <w:kern w:val="0"/>
                <w:szCs w:val="21"/>
              </w:rPr>
              <w:t>（远期规划为居住用地）</w:t>
            </w:r>
            <w:r>
              <w:rPr>
                <w:snapToGrid w:val="0"/>
                <w:kern w:val="0"/>
                <w:szCs w:val="21"/>
              </w:rPr>
              <w:t>，东侧为企业二期预留用地，隔二期预留用地为庆升路。项目500m范围内敏感点</w:t>
            </w:r>
            <w:r>
              <w:rPr>
                <w:rFonts w:hint="eastAsia"/>
                <w:snapToGrid w:val="0"/>
                <w:kern w:val="0"/>
                <w:szCs w:val="21"/>
              </w:rPr>
              <w:t>为</w:t>
            </w:r>
            <w:r>
              <w:rPr>
                <w:snapToGrid w:val="0"/>
                <w:kern w:val="0"/>
                <w:szCs w:val="21"/>
              </w:rPr>
              <w:t>西南侧75m外的上汤村</w:t>
            </w:r>
            <w:r>
              <w:rPr>
                <w:rFonts w:hint="eastAsia"/>
                <w:snapToGrid w:val="0"/>
                <w:kern w:val="0"/>
                <w:szCs w:val="21"/>
              </w:rPr>
              <w:t>，其中：</w:t>
            </w:r>
            <w:r>
              <w:rPr>
                <w:rFonts w:hint="eastAsia"/>
              </w:rPr>
              <w:t>上汤村最近居民点距离本项目2#车间93m；上汤村最近居民点距离本项目抛丸车间102m，上汤村最近居民点距离本项目金属表面处理车间115m</w:t>
            </w:r>
            <w:r>
              <w:rPr>
                <w:szCs w:val="21"/>
              </w:rPr>
              <w:t>。</w:t>
            </w:r>
          </w:p>
          <w:p w14:paraId="18377FB6">
            <w:pPr>
              <w:adjustRightInd w:val="0"/>
              <w:snapToGrid w:val="0"/>
              <w:spacing w:line="360" w:lineRule="auto"/>
              <w:ind w:firstLine="420" w:firstLineChars="200"/>
              <w:rPr>
                <w:szCs w:val="21"/>
              </w:rPr>
            </w:pPr>
            <w:r>
              <w:rPr>
                <w:szCs w:val="21"/>
              </w:rPr>
              <w:t>项目周边环境概况见附图二。</w:t>
            </w:r>
          </w:p>
        </w:tc>
      </w:tr>
      <w:tr w14:paraId="4CBBC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dxa"/>
            <w:vAlign w:val="center"/>
          </w:tcPr>
          <w:p w14:paraId="35517CB6">
            <w:pPr>
              <w:pStyle w:val="21"/>
              <w:adjustRightInd w:val="0"/>
              <w:snapToGrid w:val="0"/>
              <w:spacing w:before="0" w:beforeAutospacing="0" w:after="0" w:afterAutospacing="0"/>
              <w:jc w:val="center"/>
              <w:rPr>
                <w:rFonts w:ascii="Times New Roman" w:hAnsi="Times New Roman"/>
                <w:kern w:val="2"/>
                <w:sz w:val="21"/>
                <w:szCs w:val="21"/>
              </w:rPr>
            </w:pPr>
          </w:p>
          <w:p w14:paraId="214B1F2E">
            <w:pPr>
              <w:pStyle w:val="21"/>
              <w:adjustRightInd w:val="0"/>
              <w:snapToGrid w:val="0"/>
              <w:spacing w:before="0" w:beforeAutospacing="0" w:after="0" w:afterAutospacing="0"/>
              <w:jc w:val="center"/>
              <w:rPr>
                <w:rFonts w:ascii="Times New Roman" w:hAnsi="Times New Roman"/>
                <w:kern w:val="2"/>
                <w:sz w:val="21"/>
                <w:szCs w:val="21"/>
              </w:rPr>
            </w:pPr>
          </w:p>
          <w:p w14:paraId="1AB2C2DE">
            <w:pPr>
              <w:pStyle w:val="21"/>
              <w:adjustRightInd w:val="0"/>
              <w:snapToGrid w:val="0"/>
              <w:spacing w:before="0" w:beforeAutospacing="0" w:after="0" w:afterAutospacing="0"/>
              <w:jc w:val="center"/>
              <w:rPr>
                <w:rFonts w:ascii="Times New Roman" w:hAnsi="Times New Roman"/>
                <w:kern w:val="2"/>
                <w:sz w:val="21"/>
                <w:szCs w:val="21"/>
              </w:rPr>
            </w:pPr>
          </w:p>
          <w:p w14:paraId="1CE5F68A">
            <w:pPr>
              <w:pStyle w:val="21"/>
              <w:adjustRightInd w:val="0"/>
              <w:snapToGrid w:val="0"/>
              <w:spacing w:before="0" w:beforeAutospacing="0" w:after="0" w:afterAutospacing="0"/>
              <w:jc w:val="center"/>
              <w:rPr>
                <w:rFonts w:ascii="Times New Roman" w:hAnsi="Times New Roman"/>
                <w:kern w:val="2"/>
                <w:sz w:val="21"/>
                <w:szCs w:val="21"/>
              </w:rPr>
            </w:pPr>
          </w:p>
          <w:p w14:paraId="3E4F26D9">
            <w:pPr>
              <w:pStyle w:val="21"/>
              <w:adjustRightInd w:val="0"/>
              <w:snapToGrid w:val="0"/>
              <w:spacing w:before="0" w:beforeAutospacing="0" w:after="0" w:afterAutospacing="0"/>
              <w:jc w:val="center"/>
              <w:rPr>
                <w:rFonts w:ascii="Times New Roman" w:hAnsi="Times New Roman"/>
                <w:kern w:val="2"/>
                <w:sz w:val="21"/>
                <w:szCs w:val="21"/>
              </w:rPr>
            </w:pPr>
          </w:p>
          <w:p w14:paraId="19ACD376">
            <w:pPr>
              <w:pStyle w:val="21"/>
              <w:adjustRightInd w:val="0"/>
              <w:snapToGrid w:val="0"/>
              <w:spacing w:before="0" w:beforeAutospacing="0" w:after="0" w:afterAutospacing="0"/>
              <w:jc w:val="center"/>
              <w:rPr>
                <w:rFonts w:ascii="Times New Roman" w:hAnsi="Times New Roman"/>
                <w:kern w:val="2"/>
                <w:sz w:val="21"/>
                <w:szCs w:val="21"/>
              </w:rPr>
            </w:pPr>
          </w:p>
          <w:p w14:paraId="08A5AB64">
            <w:pPr>
              <w:pStyle w:val="21"/>
              <w:adjustRightInd w:val="0"/>
              <w:snapToGrid w:val="0"/>
              <w:spacing w:before="0" w:beforeAutospacing="0" w:after="0" w:afterAutospacing="0"/>
              <w:jc w:val="center"/>
              <w:rPr>
                <w:rFonts w:ascii="Times New Roman" w:hAnsi="Times New Roman"/>
                <w:kern w:val="2"/>
                <w:sz w:val="21"/>
                <w:szCs w:val="21"/>
              </w:rPr>
            </w:pPr>
          </w:p>
          <w:p w14:paraId="0AEBFC1B">
            <w:pPr>
              <w:pStyle w:val="21"/>
              <w:adjustRightInd w:val="0"/>
              <w:snapToGrid w:val="0"/>
              <w:spacing w:before="0" w:beforeAutospacing="0" w:after="0" w:afterAutospacing="0"/>
              <w:jc w:val="center"/>
              <w:rPr>
                <w:rFonts w:ascii="Times New Roman" w:hAnsi="Times New Roman"/>
                <w:kern w:val="2"/>
                <w:sz w:val="21"/>
                <w:szCs w:val="21"/>
              </w:rPr>
            </w:pPr>
          </w:p>
          <w:p w14:paraId="67F1AE5F">
            <w:pPr>
              <w:pStyle w:val="21"/>
              <w:adjustRightInd w:val="0"/>
              <w:snapToGrid w:val="0"/>
              <w:spacing w:before="0" w:beforeAutospacing="0" w:after="0" w:afterAutospacing="0"/>
              <w:jc w:val="center"/>
              <w:rPr>
                <w:rFonts w:ascii="Times New Roman" w:hAnsi="Times New Roman"/>
                <w:kern w:val="2"/>
                <w:sz w:val="21"/>
                <w:szCs w:val="21"/>
              </w:rPr>
            </w:pPr>
          </w:p>
          <w:p w14:paraId="08E1A6D6">
            <w:pPr>
              <w:pStyle w:val="21"/>
              <w:adjustRightInd w:val="0"/>
              <w:snapToGrid w:val="0"/>
              <w:spacing w:before="0" w:beforeAutospacing="0" w:after="0" w:afterAutospacing="0"/>
              <w:jc w:val="center"/>
              <w:rPr>
                <w:rFonts w:ascii="Times New Roman" w:hAnsi="Times New Roman"/>
                <w:kern w:val="2"/>
                <w:sz w:val="21"/>
                <w:szCs w:val="21"/>
              </w:rPr>
            </w:pPr>
          </w:p>
          <w:p w14:paraId="0E142AC2">
            <w:pPr>
              <w:pStyle w:val="21"/>
              <w:adjustRightInd w:val="0"/>
              <w:snapToGrid w:val="0"/>
              <w:spacing w:before="0" w:beforeAutospacing="0" w:after="0" w:afterAutospacing="0"/>
              <w:jc w:val="center"/>
              <w:rPr>
                <w:rFonts w:ascii="Times New Roman" w:hAnsi="Times New Roman"/>
                <w:kern w:val="2"/>
                <w:sz w:val="21"/>
                <w:szCs w:val="21"/>
              </w:rPr>
            </w:pPr>
          </w:p>
          <w:p w14:paraId="0A2DC6D1">
            <w:pPr>
              <w:pStyle w:val="21"/>
              <w:adjustRightInd w:val="0"/>
              <w:snapToGrid w:val="0"/>
              <w:spacing w:before="0" w:beforeAutospacing="0" w:after="0" w:afterAutospacing="0"/>
              <w:jc w:val="center"/>
              <w:rPr>
                <w:rFonts w:ascii="Times New Roman" w:hAnsi="Times New Roman"/>
                <w:kern w:val="2"/>
                <w:sz w:val="21"/>
                <w:szCs w:val="21"/>
              </w:rPr>
            </w:pPr>
          </w:p>
          <w:p w14:paraId="0A4CF147">
            <w:pPr>
              <w:pStyle w:val="21"/>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工艺流程和产排污环节</w:t>
            </w:r>
          </w:p>
          <w:p w14:paraId="09F107CC">
            <w:pPr>
              <w:pStyle w:val="21"/>
              <w:adjustRightInd w:val="0"/>
              <w:snapToGrid w:val="0"/>
              <w:spacing w:before="0" w:beforeAutospacing="0" w:after="0" w:afterAutospacing="0"/>
              <w:jc w:val="center"/>
              <w:rPr>
                <w:rFonts w:ascii="Times New Roman" w:hAnsi="Times New Roman"/>
                <w:kern w:val="2"/>
                <w:sz w:val="21"/>
                <w:szCs w:val="21"/>
              </w:rPr>
            </w:pPr>
          </w:p>
          <w:p w14:paraId="7CE8024D">
            <w:pPr>
              <w:pStyle w:val="21"/>
              <w:adjustRightInd w:val="0"/>
              <w:snapToGrid w:val="0"/>
              <w:spacing w:before="0" w:beforeAutospacing="0" w:after="0" w:afterAutospacing="0"/>
              <w:jc w:val="center"/>
              <w:rPr>
                <w:rFonts w:ascii="Times New Roman" w:hAnsi="Times New Roman"/>
                <w:kern w:val="2"/>
                <w:sz w:val="21"/>
                <w:szCs w:val="21"/>
              </w:rPr>
            </w:pPr>
          </w:p>
          <w:p w14:paraId="61C0C4E4">
            <w:pPr>
              <w:pStyle w:val="21"/>
              <w:adjustRightInd w:val="0"/>
              <w:snapToGrid w:val="0"/>
              <w:spacing w:before="0" w:beforeAutospacing="0" w:after="0" w:afterAutospacing="0"/>
              <w:jc w:val="center"/>
              <w:rPr>
                <w:rFonts w:ascii="Times New Roman" w:hAnsi="Times New Roman"/>
                <w:kern w:val="2"/>
                <w:sz w:val="21"/>
                <w:szCs w:val="21"/>
              </w:rPr>
            </w:pPr>
          </w:p>
          <w:p w14:paraId="1D3AF502">
            <w:pPr>
              <w:pStyle w:val="21"/>
              <w:adjustRightInd w:val="0"/>
              <w:snapToGrid w:val="0"/>
              <w:spacing w:before="0" w:beforeAutospacing="0" w:after="0" w:afterAutospacing="0"/>
              <w:jc w:val="center"/>
              <w:rPr>
                <w:rFonts w:ascii="Times New Roman" w:hAnsi="Times New Roman"/>
                <w:kern w:val="2"/>
                <w:sz w:val="21"/>
                <w:szCs w:val="21"/>
              </w:rPr>
            </w:pPr>
          </w:p>
          <w:p w14:paraId="0297B0E3">
            <w:pPr>
              <w:pStyle w:val="21"/>
              <w:adjustRightInd w:val="0"/>
              <w:snapToGrid w:val="0"/>
              <w:spacing w:before="0" w:beforeAutospacing="0" w:after="0" w:afterAutospacing="0"/>
              <w:jc w:val="center"/>
              <w:rPr>
                <w:rFonts w:ascii="Times New Roman" w:hAnsi="Times New Roman"/>
                <w:kern w:val="2"/>
                <w:sz w:val="21"/>
                <w:szCs w:val="21"/>
              </w:rPr>
            </w:pPr>
          </w:p>
          <w:p w14:paraId="5A6CF46B">
            <w:pPr>
              <w:pStyle w:val="21"/>
              <w:adjustRightInd w:val="0"/>
              <w:snapToGrid w:val="0"/>
              <w:spacing w:before="0" w:beforeAutospacing="0" w:after="0" w:afterAutospacing="0"/>
              <w:jc w:val="center"/>
              <w:rPr>
                <w:rFonts w:ascii="Times New Roman" w:hAnsi="Times New Roman"/>
                <w:kern w:val="2"/>
                <w:sz w:val="21"/>
                <w:szCs w:val="21"/>
              </w:rPr>
            </w:pPr>
          </w:p>
          <w:p w14:paraId="6B52DB16">
            <w:pPr>
              <w:pStyle w:val="21"/>
              <w:adjustRightInd w:val="0"/>
              <w:snapToGrid w:val="0"/>
              <w:spacing w:before="0" w:beforeAutospacing="0" w:after="0" w:afterAutospacing="0"/>
              <w:jc w:val="center"/>
              <w:rPr>
                <w:rFonts w:ascii="Times New Roman" w:hAnsi="Times New Roman"/>
                <w:kern w:val="2"/>
                <w:sz w:val="21"/>
                <w:szCs w:val="21"/>
              </w:rPr>
            </w:pPr>
          </w:p>
          <w:p w14:paraId="3427AB29">
            <w:pPr>
              <w:pStyle w:val="21"/>
              <w:adjustRightInd w:val="0"/>
              <w:snapToGrid w:val="0"/>
              <w:spacing w:before="0" w:beforeAutospacing="0" w:after="0" w:afterAutospacing="0"/>
              <w:jc w:val="center"/>
              <w:rPr>
                <w:rFonts w:ascii="Times New Roman" w:hAnsi="Times New Roman"/>
                <w:kern w:val="2"/>
                <w:sz w:val="21"/>
                <w:szCs w:val="21"/>
              </w:rPr>
            </w:pPr>
          </w:p>
          <w:p w14:paraId="40A0C4A6">
            <w:pPr>
              <w:pStyle w:val="21"/>
              <w:adjustRightInd w:val="0"/>
              <w:snapToGrid w:val="0"/>
              <w:spacing w:before="0" w:beforeAutospacing="0" w:after="0" w:afterAutospacing="0"/>
              <w:jc w:val="center"/>
              <w:rPr>
                <w:rFonts w:ascii="Times New Roman" w:hAnsi="Times New Roman"/>
                <w:kern w:val="2"/>
                <w:sz w:val="21"/>
                <w:szCs w:val="21"/>
              </w:rPr>
            </w:pPr>
          </w:p>
          <w:p w14:paraId="65E2E4E3">
            <w:pPr>
              <w:pStyle w:val="21"/>
              <w:adjustRightInd w:val="0"/>
              <w:snapToGrid w:val="0"/>
              <w:spacing w:before="0" w:beforeAutospacing="0" w:after="0" w:afterAutospacing="0"/>
              <w:jc w:val="center"/>
              <w:rPr>
                <w:rFonts w:ascii="Times New Roman" w:hAnsi="Times New Roman"/>
                <w:kern w:val="2"/>
                <w:sz w:val="21"/>
                <w:szCs w:val="21"/>
              </w:rPr>
            </w:pPr>
          </w:p>
          <w:p w14:paraId="0E4BB051">
            <w:pPr>
              <w:pStyle w:val="21"/>
              <w:adjustRightInd w:val="0"/>
              <w:snapToGrid w:val="0"/>
              <w:spacing w:before="0" w:beforeAutospacing="0" w:after="0" w:afterAutospacing="0"/>
              <w:jc w:val="center"/>
              <w:rPr>
                <w:rFonts w:ascii="Times New Roman" w:hAnsi="Times New Roman"/>
                <w:kern w:val="2"/>
                <w:sz w:val="21"/>
                <w:szCs w:val="21"/>
              </w:rPr>
            </w:pPr>
          </w:p>
          <w:p w14:paraId="169DBD9B">
            <w:pPr>
              <w:pStyle w:val="21"/>
              <w:adjustRightInd w:val="0"/>
              <w:snapToGrid w:val="0"/>
              <w:spacing w:before="0" w:beforeAutospacing="0" w:after="0" w:afterAutospacing="0"/>
              <w:jc w:val="center"/>
              <w:rPr>
                <w:rFonts w:ascii="Times New Roman" w:hAnsi="Times New Roman"/>
                <w:kern w:val="2"/>
                <w:sz w:val="21"/>
                <w:szCs w:val="21"/>
              </w:rPr>
            </w:pPr>
          </w:p>
          <w:p w14:paraId="61700DA5">
            <w:pPr>
              <w:pStyle w:val="21"/>
              <w:adjustRightInd w:val="0"/>
              <w:snapToGrid w:val="0"/>
              <w:spacing w:before="0" w:beforeAutospacing="0" w:after="0" w:afterAutospacing="0"/>
              <w:jc w:val="center"/>
              <w:rPr>
                <w:rFonts w:ascii="Times New Roman" w:hAnsi="Times New Roman"/>
                <w:kern w:val="2"/>
                <w:sz w:val="21"/>
                <w:szCs w:val="21"/>
              </w:rPr>
            </w:pPr>
          </w:p>
          <w:p w14:paraId="23AB70F2">
            <w:pPr>
              <w:pStyle w:val="21"/>
              <w:adjustRightInd w:val="0"/>
              <w:snapToGrid w:val="0"/>
              <w:spacing w:before="0" w:beforeAutospacing="0" w:after="0" w:afterAutospacing="0"/>
              <w:jc w:val="center"/>
              <w:rPr>
                <w:rFonts w:ascii="Times New Roman" w:hAnsi="Times New Roman"/>
                <w:kern w:val="2"/>
                <w:sz w:val="21"/>
                <w:szCs w:val="21"/>
              </w:rPr>
            </w:pPr>
          </w:p>
          <w:p w14:paraId="5AE10943">
            <w:pPr>
              <w:pStyle w:val="21"/>
              <w:adjustRightInd w:val="0"/>
              <w:snapToGrid w:val="0"/>
              <w:spacing w:before="0" w:beforeAutospacing="0" w:after="0" w:afterAutospacing="0"/>
              <w:jc w:val="center"/>
              <w:rPr>
                <w:rFonts w:ascii="Times New Roman" w:hAnsi="Times New Roman"/>
                <w:kern w:val="2"/>
                <w:sz w:val="21"/>
                <w:szCs w:val="21"/>
              </w:rPr>
            </w:pPr>
          </w:p>
          <w:p w14:paraId="0A042D6D">
            <w:pPr>
              <w:pStyle w:val="21"/>
              <w:adjustRightInd w:val="0"/>
              <w:snapToGrid w:val="0"/>
              <w:spacing w:before="0" w:beforeAutospacing="0" w:after="0" w:afterAutospacing="0"/>
              <w:jc w:val="center"/>
              <w:rPr>
                <w:rFonts w:ascii="Times New Roman" w:hAnsi="Times New Roman"/>
                <w:kern w:val="2"/>
                <w:sz w:val="21"/>
                <w:szCs w:val="21"/>
              </w:rPr>
            </w:pPr>
          </w:p>
          <w:p w14:paraId="04D7999D">
            <w:pPr>
              <w:pStyle w:val="21"/>
              <w:adjustRightInd w:val="0"/>
              <w:snapToGrid w:val="0"/>
              <w:spacing w:before="0" w:beforeAutospacing="0" w:after="0" w:afterAutospacing="0"/>
              <w:jc w:val="center"/>
              <w:rPr>
                <w:rFonts w:ascii="Times New Roman" w:hAnsi="Times New Roman"/>
                <w:kern w:val="2"/>
                <w:sz w:val="21"/>
                <w:szCs w:val="21"/>
              </w:rPr>
            </w:pPr>
          </w:p>
          <w:p w14:paraId="74E94F8F">
            <w:pPr>
              <w:pStyle w:val="21"/>
              <w:adjustRightInd w:val="0"/>
              <w:snapToGrid w:val="0"/>
              <w:spacing w:before="0" w:beforeAutospacing="0" w:after="0" w:afterAutospacing="0"/>
              <w:jc w:val="center"/>
              <w:rPr>
                <w:rFonts w:ascii="Times New Roman" w:hAnsi="Times New Roman"/>
                <w:kern w:val="2"/>
                <w:sz w:val="21"/>
                <w:szCs w:val="21"/>
              </w:rPr>
            </w:pPr>
          </w:p>
          <w:p w14:paraId="6FCD6E77">
            <w:pPr>
              <w:pStyle w:val="21"/>
              <w:adjustRightInd w:val="0"/>
              <w:snapToGrid w:val="0"/>
              <w:spacing w:before="0" w:beforeAutospacing="0" w:after="0" w:afterAutospacing="0"/>
              <w:jc w:val="both"/>
              <w:rPr>
                <w:rFonts w:ascii="Times New Roman" w:hAnsi="Times New Roman"/>
                <w:kern w:val="2"/>
                <w:sz w:val="21"/>
                <w:szCs w:val="21"/>
              </w:rPr>
            </w:pPr>
          </w:p>
        </w:tc>
        <w:tc>
          <w:tcPr>
            <w:tcW w:w="8602" w:type="dxa"/>
            <w:vAlign w:val="center"/>
          </w:tcPr>
          <w:p w14:paraId="3D70220F">
            <w:pPr>
              <w:pStyle w:val="64"/>
              <w:adjustRightInd w:val="0"/>
              <w:snapToGrid w:val="0"/>
              <w:spacing w:line="360" w:lineRule="auto"/>
              <w:ind w:firstLine="420"/>
              <w:jc w:val="both"/>
              <w:rPr>
                <w:rFonts w:eastAsia="宋体"/>
                <w:sz w:val="21"/>
                <w:szCs w:val="21"/>
              </w:rPr>
            </w:pPr>
            <w:r>
              <w:rPr>
                <w:rFonts w:eastAsia="宋体"/>
                <w:sz w:val="21"/>
                <w:szCs w:val="21"/>
              </w:rPr>
              <w:t>项目从事</w:t>
            </w:r>
            <w:r>
              <w:rPr>
                <w:rFonts w:hint="eastAsia" w:eastAsia="宋体"/>
                <w:sz w:val="21"/>
                <w:szCs w:val="21"/>
              </w:rPr>
              <w:t>新能源汽车配套橡胶功能件</w:t>
            </w:r>
            <w:r>
              <w:rPr>
                <w:rFonts w:eastAsia="宋体"/>
                <w:sz w:val="21"/>
                <w:szCs w:val="21"/>
              </w:rPr>
              <w:t>生产</w:t>
            </w:r>
            <w:r>
              <w:rPr>
                <w:rFonts w:hint="eastAsia" w:eastAsia="宋体"/>
                <w:sz w:val="21"/>
                <w:szCs w:val="21"/>
              </w:rPr>
              <w:t>，主要包括O型圈、橡胶杂件、轴封、油封，其中</w:t>
            </w:r>
            <w:r>
              <w:rPr>
                <w:rFonts w:eastAsia="宋体"/>
                <w:sz w:val="21"/>
                <w:szCs w:val="21"/>
              </w:rPr>
              <w:t>，O型圈和橡胶</w:t>
            </w:r>
            <w:r>
              <w:rPr>
                <w:rFonts w:hint="eastAsia" w:eastAsia="宋体"/>
                <w:sz w:val="21"/>
                <w:szCs w:val="21"/>
              </w:rPr>
              <w:t>杂件</w:t>
            </w:r>
            <w:r>
              <w:rPr>
                <w:rFonts w:eastAsia="宋体"/>
                <w:sz w:val="21"/>
                <w:szCs w:val="21"/>
              </w:rPr>
              <w:t>仅为橡胶加工，不需要金属件处理，故仅需混炼胶和硫化</w:t>
            </w:r>
            <w:r>
              <w:rPr>
                <w:rFonts w:hint="eastAsia" w:eastAsia="宋体"/>
                <w:sz w:val="21"/>
                <w:szCs w:val="21"/>
              </w:rPr>
              <w:t>等；轴封和油封为</w:t>
            </w:r>
            <w:r>
              <w:rPr>
                <w:rFonts w:eastAsia="宋体"/>
                <w:sz w:val="21"/>
                <w:szCs w:val="21"/>
              </w:rPr>
              <w:t>金属&amp;橡胶复合制品</w:t>
            </w:r>
            <w:r>
              <w:rPr>
                <w:rFonts w:hint="eastAsia" w:eastAsia="宋体"/>
                <w:sz w:val="21"/>
                <w:szCs w:val="21"/>
              </w:rPr>
              <w:t>需要进行金属加工、混炼胶硫化等以及</w:t>
            </w:r>
            <w:r>
              <w:rPr>
                <w:rFonts w:eastAsia="宋体"/>
                <w:sz w:val="21"/>
                <w:szCs w:val="21"/>
              </w:rPr>
              <w:t>金属&amp;橡胶复合。项目营运期工艺流程及产污环节见图2-3。</w:t>
            </w:r>
          </w:p>
          <w:p w14:paraId="612EC1CF">
            <w:pPr>
              <w:pStyle w:val="64"/>
              <w:adjustRightInd w:val="0"/>
              <w:snapToGrid w:val="0"/>
              <w:spacing w:line="360" w:lineRule="auto"/>
              <w:ind w:firstLine="422"/>
              <w:jc w:val="both"/>
              <w:rPr>
                <w:rFonts w:eastAsia="宋体"/>
                <w:b/>
                <w:bCs/>
                <w:sz w:val="21"/>
                <w:szCs w:val="21"/>
              </w:rPr>
            </w:pPr>
            <w:r>
              <w:rPr>
                <w:rFonts w:hint="eastAsia" w:eastAsia="宋体"/>
                <w:b/>
                <w:bCs/>
                <w:sz w:val="21"/>
                <w:szCs w:val="21"/>
              </w:rPr>
              <w:t>（1）新能源汽车配套橡胶功能件</w:t>
            </w:r>
            <w:r>
              <w:rPr>
                <w:rFonts w:eastAsia="宋体"/>
                <w:b/>
                <w:bCs/>
                <w:sz w:val="21"/>
                <w:szCs w:val="21"/>
              </w:rPr>
              <w:t>生产</w:t>
            </w:r>
          </w:p>
          <w:p w14:paraId="2BC91C76">
            <w:pPr>
              <w:adjustRightInd w:val="0"/>
              <w:snapToGrid w:val="0"/>
              <w:spacing w:line="360" w:lineRule="auto"/>
              <w:jc w:val="center"/>
              <w:rPr>
                <w:rFonts w:hint="eastAsia" w:ascii="宋体" w:hAnsi="宋体"/>
                <w:bCs/>
                <w:lang w:val="en-US" w:eastAsia="zh-CN"/>
              </w:rPr>
            </w:pPr>
            <w:r>
              <w:rPr>
                <w:rFonts w:hint="eastAsia" w:ascii="宋体" w:hAnsi="宋体"/>
                <w:bCs/>
                <w:lang w:val="en-US" w:eastAsia="zh-CN"/>
              </w:rPr>
              <w:t xml:space="preserve">   </w:t>
            </w:r>
          </w:p>
          <w:p w14:paraId="353A05AA">
            <w:pPr>
              <w:adjustRightInd w:val="0"/>
              <w:snapToGrid w:val="0"/>
              <w:spacing w:line="360" w:lineRule="auto"/>
              <w:jc w:val="center"/>
              <w:rPr>
                <w:rFonts w:hint="eastAsia" w:ascii="宋体" w:hAnsi="宋体"/>
                <w:bCs/>
                <w:lang w:val="en-US" w:eastAsia="zh-CN"/>
              </w:rPr>
            </w:pPr>
          </w:p>
          <w:p w14:paraId="22E7D53A">
            <w:pPr>
              <w:adjustRightInd w:val="0"/>
              <w:snapToGrid w:val="0"/>
              <w:spacing w:line="360" w:lineRule="auto"/>
              <w:jc w:val="center"/>
              <w:rPr>
                <w:rFonts w:hint="eastAsia" w:ascii="宋体" w:hAnsi="宋体"/>
                <w:bCs/>
                <w:lang w:val="en-US" w:eastAsia="zh-CN"/>
              </w:rPr>
            </w:pPr>
          </w:p>
          <w:p w14:paraId="4009C169">
            <w:pPr>
              <w:adjustRightInd w:val="0"/>
              <w:snapToGrid w:val="0"/>
              <w:spacing w:line="360" w:lineRule="auto"/>
              <w:jc w:val="center"/>
              <w:rPr>
                <w:rFonts w:hint="eastAsia" w:ascii="宋体" w:hAnsi="宋体"/>
                <w:bCs/>
                <w:lang w:val="en-US" w:eastAsia="zh-CN"/>
              </w:rPr>
            </w:pPr>
          </w:p>
          <w:p w14:paraId="6727EA2C">
            <w:pPr>
              <w:adjustRightInd w:val="0"/>
              <w:snapToGrid w:val="0"/>
              <w:spacing w:line="360" w:lineRule="auto"/>
              <w:jc w:val="center"/>
              <w:rPr>
                <w:rFonts w:hint="eastAsia" w:ascii="宋体" w:hAnsi="宋体"/>
                <w:bCs/>
                <w:lang w:val="en-US" w:eastAsia="zh-CN"/>
              </w:rPr>
            </w:pPr>
          </w:p>
          <w:p w14:paraId="57FE0A7F">
            <w:pPr>
              <w:adjustRightInd w:val="0"/>
              <w:snapToGrid w:val="0"/>
              <w:spacing w:line="360" w:lineRule="auto"/>
              <w:jc w:val="center"/>
              <w:rPr>
                <w:rFonts w:hint="eastAsia" w:ascii="宋体" w:hAnsi="宋体"/>
                <w:bCs/>
                <w:lang w:val="en-US" w:eastAsia="zh-CN"/>
              </w:rPr>
            </w:pPr>
          </w:p>
          <w:p w14:paraId="0BA19F26">
            <w:pPr>
              <w:adjustRightInd w:val="0"/>
              <w:snapToGrid w:val="0"/>
              <w:spacing w:line="360" w:lineRule="auto"/>
              <w:jc w:val="center"/>
              <w:rPr>
                <w:rFonts w:hint="eastAsia" w:ascii="宋体" w:hAnsi="宋体"/>
                <w:bCs/>
                <w:lang w:val="en-US" w:eastAsia="zh-CN"/>
              </w:rPr>
            </w:pPr>
          </w:p>
          <w:p w14:paraId="236B4372">
            <w:pPr>
              <w:adjustRightInd w:val="0"/>
              <w:snapToGrid w:val="0"/>
              <w:spacing w:line="360" w:lineRule="auto"/>
              <w:jc w:val="center"/>
              <w:rPr>
                <w:rFonts w:hint="eastAsia" w:ascii="宋体" w:hAnsi="宋体"/>
                <w:bCs/>
                <w:lang w:val="en-US" w:eastAsia="zh-CN"/>
              </w:rPr>
            </w:pPr>
          </w:p>
          <w:p w14:paraId="3A444B9E">
            <w:pPr>
              <w:adjustRightInd w:val="0"/>
              <w:snapToGrid w:val="0"/>
              <w:spacing w:line="360" w:lineRule="auto"/>
              <w:jc w:val="center"/>
              <w:rPr>
                <w:rFonts w:hint="eastAsia" w:ascii="宋体" w:hAnsi="宋体"/>
                <w:bCs/>
                <w:lang w:val="en-US" w:eastAsia="zh-CN"/>
              </w:rPr>
            </w:pPr>
          </w:p>
          <w:p w14:paraId="4D8B7A1A">
            <w:pPr>
              <w:adjustRightInd w:val="0"/>
              <w:snapToGrid w:val="0"/>
              <w:spacing w:line="360" w:lineRule="auto"/>
              <w:jc w:val="center"/>
              <w:rPr>
                <w:rFonts w:hint="eastAsia" w:ascii="宋体" w:hAnsi="宋体"/>
                <w:bCs/>
                <w:lang w:val="en-US" w:eastAsia="zh-CN"/>
              </w:rPr>
            </w:pPr>
          </w:p>
          <w:p w14:paraId="6FF02B72">
            <w:pPr>
              <w:adjustRightInd w:val="0"/>
              <w:snapToGrid w:val="0"/>
              <w:spacing w:line="360" w:lineRule="auto"/>
              <w:jc w:val="center"/>
              <w:rPr>
                <w:rFonts w:hint="eastAsia" w:ascii="宋体" w:hAnsi="宋体"/>
                <w:bCs/>
                <w:lang w:val="en-US" w:eastAsia="zh-CN"/>
              </w:rPr>
            </w:pPr>
          </w:p>
          <w:p w14:paraId="389F491D">
            <w:pPr>
              <w:adjustRightInd w:val="0"/>
              <w:snapToGrid w:val="0"/>
              <w:spacing w:line="360" w:lineRule="auto"/>
              <w:jc w:val="center"/>
              <w:rPr>
                <w:rFonts w:hint="eastAsia" w:ascii="宋体" w:hAnsi="宋体"/>
                <w:bCs/>
                <w:lang w:val="en-US" w:eastAsia="zh-CN"/>
              </w:rPr>
            </w:pPr>
          </w:p>
          <w:p w14:paraId="60AA480A">
            <w:pPr>
              <w:adjustRightInd w:val="0"/>
              <w:snapToGrid w:val="0"/>
              <w:spacing w:line="360" w:lineRule="auto"/>
              <w:jc w:val="center"/>
              <w:rPr>
                <w:rFonts w:hint="eastAsia" w:ascii="宋体" w:hAnsi="宋体"/>
                <w:bCs/>
                <w:lang w:val="en-US" w:eastAsia="zh-CN"/>
              </w:rPr>
            </w:pPr>
          </w:p>
          <w:p w14:paraId="18C1D9DF">
            <w:pPr>
              <w:adjustRightInd w:val="0"/>
              <w:snapToGrid w:val="0"/>
              <w:spacing w:line="360" w:lineRule="auto"/>
              <w:jc w:val="center"/>
              <w:rPr>
                <w:rFonts w:hint="eastAsia" w:ascii="宋体" w:hAnsi="宋体"/>
                <w:bCs/>
                <w:lang w:val="en-US" w:eastAsia="zh-CN"/>
              </w:rPr>
            </w:pPr>
          </w:p>
          <w:p w14:paraId="5E34BD36">
            <w:pPr>
              <w:adjustRightInd w:val="0"/>
              <w:snapToGrid w:val="0"/>
              <w:spacing w:line="360" w:lineRule="auto"/>
              <w:jc w:val="center"/>
              <w:rPr>
                <w:rFonts w:hint="eastAsia" w:ascii="宋体" w:hAnsi="宋体"/>
                <w:bCs/>
                <w:lang w:val="en-US" w:eastAsia="zh-CN"/>
              </w:rPr>
            </w:pPr>
          </w:p>
          <w:p w14:paraId="3F19EC4F">
            <w:pPr>
              <w:adjustRightInd w:val="0"/>
              <w:snapToGrid w:val="0"/>
              <w:spacing w:line="360" w:lineRule="auto"/>
              <w:jc w:val="center"/>
              <w:rPr>
                <w:rFonts w:hint="eastAsia" w:ascii="宋体" w:hAnsi="宋体"/>
                <w:bCs/>
                <w:lang w:val="en-US" w:eastAsia="zh-CN"/>
              </w:rPr>
            </w:pPr>
          </w:p>
          <w:p w14:paraId="5913468E">
            <w:pPr>
              <w:adjustRightInd w:val="0"/>
              <w:snapToGrid w:val="0"/>
              <w:spacing w:line="360" w:lineRule="auto"/>
              <w:jc w:val="center"/>
              <w:rPr>
                <w:rFonts w:hint="eastAsia" w:ascii="宋体" w:hAnsi="宋体"/>
                <w:bCs/>
                <w:lang w:val="en-US" w:eastAsia="zh-CN"/>
              </w:rPr>
            </w:pPr>
          </w:p>
          <w:p w14:paraId="3B099D12">
            <w:pPr>
              <w:adjustRightInd w:val="0"/>
              <w:snapToGrid w:val="0"/>
              <w:spacing w:line="360" w:lineRule="auto"/>
              <w:jc w:val="center"/>
              <w:rPr>
                <w:rFonts w:hint="eastAsia" w:ascii="宋体" w:hAnsi="宋体"/>
                <w:bCs/>
                <w:lang w:val="en-US" w:eastAsia="zh-CN"/>
              </w:rPr>
            </w:pPr>
          </w:p>
          <w:p w14:paraId="3AE495CA">
            <w:pPr>
              <w:adjustRightInd w:val="0"/>
              <w:snapToGrid w:val="0"/>
              <w:spacing w:line="360" w:lineRule="auto"/>
              <w:jc w:val="center"/>
              <w:rPr>
                <w:rFonts w:hint="eastAsia" w:ascii="宋体" w:hAnsi="宋体"/>
                <w:bCs/>
                <w:lang w:val="en-US" w:eastAsia="zh-CN"/>
              </w:rPr>
            </w:pPr>
          </w:p>
          <w:p w14:paraId="6B1A31A7">
            <w:pPr>
              <w:adjustRightInd w:val="0"/>
              <w:snapToGrid w:val="0"/>
              <w:spacing w:line="360" w:lineRule="auto"/>
              <w:jc w:val="center"/>
              <w:rPr>
                <w:rFonts w:hint="eastAsia" w:ascii="宋体" w:hAnsi="宋体"/>
                <w:bCs/>
                <w:lang w:val="en-US" w:eastAsia="zh-CN"/>
              </w:rPr>
            </w:pPr>
          </w:p>
          <w:p w14:paraId="1CADFA44">
            <w:pPr>
              <w:adjustRightInd w:val="0"/>
              <w:snapToGrid w:val="0"/>
              <w:spacing w:line="360" w:lineRule="auto"/>
              <w:jc w:val="center"/>
              <w:rPr>
                <w:rFonts w:hint="eastAsia" w:ascii="宋体" w:hAnsi="宋体"/>
                <w:bCs/>
                <w:lang w:val="en-US" w:eastAsia="zh-CN"/>
              </w:rPr>
            </w:pPr>
          </w:p>
          <w:p w14:paraId="74EB3698">
            <w:pPr>
              <w:adjustRightInd w:val="0"/>
              <w:snapToGrid w:val="0"/>
              <w:spacing w:line="360" w:lineRule="auto"/>
              <w:jc w:val="center"/>
              <w:rPr>
                <w:rFonts w:hint="eastAsia" w:ascii="宋体" w:hAnsi="宋体"/>
                <w:bCs/>
                <w:lang w:val="en-US" w:eastAsia="zh-CN"/>
              </w:rPr>
            </w:pPr>
          </w:p>
          <w:p w14:paraId="3E4732D8">
            <w:pPr>
              <w:adjustRightInd w:val="0"/>
              <w:snapToGrid w:val="0"/>
              <w:spacing w:line="360" w:lineRule="auto"/>
              <w:jc w:val="center"/>
              <w:rPr>
                <w:rFonts w:hint="eastAsia" w:ascii="宋体" w:hAnsi="宋体"/>
                <w:bCs/>
                <w:lang w:val="en-US" w:eastAsia="zh-CN"/>
              </w:rPr>
            </w:pPr>
          </w:p>
          <w:p w14:paraId="451DFB21">
            <w:pPr>
              <w:adjustRightInd w:val="0"/>
              <w:snapToGrid w:val="0"/>
              <w:spacing w:line="360" w:lineRule="auto"/>
              <w:jc w:val="center"/>
              <w:rPr>
                <w:rFonts w:hint="eastAsia" w:ascii="宋体" w:hAnsi="宋体"/>
                <w:bCs/>
                <w:lang w:val="en-US" w:eastAsia="zh-CN"/>
              </w:rPr>
            </w:pPr>
          </w:p>
          <w:p w14:paraId="19C86CB5">
            <w:pPr>
              <w:adjustRightInd w:val="0"/>
              <w:snapToGrid w:val="0"/>
              <w:spacing w:line="360" w:lineRule="auto"/>
              <w:jc w:val="center"/>
              <w:rPr>
                <w:rFonts w:hint="eastAsia" w:ascii="宋体" w:hAnsi="宋体"/>
                <w:bCs/>
                <w:lang w:val="en-US" w:eastAsia="zh-CN"/>
              </w:rPr>
            </w:pPr>
          </w:p>
          <w:p w14:paraId="0C8CB3F4">
            <w:pPr>
              <w:adjustRightInd w:val="0"/>
              <w:snapToGrid w:val="0"/>
              <w:spacing w:line="360" w:lineRule="auto"/>
              <w:jc w:val="center"/>
              <w:rPr>
                <w:rFonts w:hint="eastAsia" w:ascii="宋体" w:hAnsi="宋体"/>
                <w:bCs/>
                <w:lang w:val="en-US" w:eastAsia="zh-CN"/>
              </w:rPr>
            </w:pPr>
          </w:p>
          <w:p w14:paraId="28600E41">
            <w:pPr>
              <w:adjustRightInd w:val="0"/>
              <w:snapToGrid w:val="0"/>
              <w:spacing w:line="360" w:lineRule="auto"/>
              <w:jc w:val="center"/>
              <w:rPr>
                <w:rFonts w:hint="eastAsia" w:ascii="宋体" w:hAnsi="宋体"/>
                <w:bCs/>
                <w:lang w:val="en-US" w:eastAsia="zh-CN"/>
              </w:rPr>
            </w:pPr>
          </w:p>
          <w:p w14:paraId="32763B43">
            <w:pPr>
              <w:adjustRightInd w:val="0"/>
              <w:snapToGrid w:val="0"/>
              <w:spacing w:line="360" w:lineRule="auto"/>
              <w:jc w:val="center"/>
              <w:rPr>
                <w:rFonts w:hint="eastAsia" w:ascii="宋体" w:hAnsi="宋体"/>
                <w:bCs/>
                <w:lang w:val="en-US" w:eastAsia="zh-CN"/>
              </w:rPr>
            </w:pPr>
          </w:p>
          <w:p w14:paraId="2DF48E2E">
            <w:pPr>
              <w:adjustRightInd w:val="0"/>
              <w:snapToGrid w:val="0"/>
              <w:spacing w:line="360" w:lineRule="auto"/>
              <w:jc w:val="center"/>
              <w:rPr>
                <w:rFonts w:hint="eastAsia" w:ascii="宋体" w:hAnsi="宋体"/>
                <w:bCs/>
                <w:lang w:val="en-US" w:eastAsia="zh-CN"/>
              </w:rPr>
            </w:pPr>
          </w:p>
          <w:p w14:paraId="337A2469">
            <w:pPr>
              <w:adjustRightInd w:val="0"/>
              <w:snapToGrid w:val="0"/>
              <w:spacing w:line="360" w:lineRule="auto"/>
              <w:jc w:val="center"/>
              <w:rPr>
                <w:rFonts w:hint="eastAsia" w:ascii="宋体" w:hAnsi="宋体"/>
                <w:bCs/>
                <w:lang w:val="en-US" w:eastAsia="zh-CN"/>
              </w:rPr>
            </w:pPr>
          </w:p>
          <w:p w14:paraId="1F70EC2A">
            <w:pPr>
              <w:adjustRightInd w:val="0"/>
              <w:snapToGrid w:val="0"/>
              <w:spacing w:line="360" w:lineRule="auto"/>
              <w:jc w:val="center"/>
              <w:rPr>
                <w:rFonts w:hint="eastAsia" w:ascii="宋体" w:hAnsi="宋体"/>
                <w:bCs/>
                <w:lang w:eastAsia="zh-CN"/>
              </w:rPr>
            </w:pPr>
            <w:r>
              <w:rPr>
                <w:rFonts w:hint="eastAsia" w:ascii="宋体" w:hAnsi="宋体"/>
                <w:bCs/>
                <w:lang w:eastAsia="zh-CN"/>
              </w:rPr>
              <w:t>（</w:t>
            </w:r>
            <w:r>
              <w:rPr>
                <w:rFonts w:hint="eastAsia" w:ascii="宋体" w:hAnsi="宋体"/>
                <w:bCs/>
                <w:lang w:val="en-US" w:eastAsia="zh-CN"/>
              </w:rPr>
              <w:t>涉及企业机密，故隐去</w:t>
            </w:r>
            <w:r>
              <w:rPr>
                <w:rFonts w:hint="eastAsia" w:ascii="宋体" w:hAnsi="宋体"/>
                <w:bCs/>
                <w:lang w:eastAsia="zh-CN"/>
              </w:rPr>
              <w:t>）</w:t>
            </w:r>
          </w:p>
          <w:p w14:paraId="40C6B05D">
            <w:pPr>
              <w:adjustRightInd w:val="0"/>
              <w:snapToGrid w:val="0"/>
              <w:spacing w:line="360" w:lineRule="auto"/>
              <w:jc w:val="center"/>
              <w:rPr>
                <w:rFonts w:hint="eastAsia" w:ascii="宋体" w:hAnsi="宋体"/>
                <w:bCs/>
                <w:lang w:eastAsia="zh-CN"/>
              </w:rPr>
            </w:pPr>
          </w:p>
          <w:p w14:paraId="6CF1790E">
            <w:pPr>
              <w:adjustRightInd w:val="0"/>
              <w:snapToGrid w:val="0"/>
              <w:spacing w:line="360" w:lineRule="auto"/>
              <w:jc w:val="center"/>
              <w:rPr>
                <w:rFonts w:hint="eastAsia" w:ascii="宋体" w:hAnsi="宋体"/>
                <w:bCs/>
                <w:lang w:eastAsia="zh-CN"/>
              </w:rPr>
            </w:pPr>
          </w:p>
          <w:p w14:paraId="4954A46D">
            <w:pPr>
              <w:adjustRightInd w:val="0"/>
              <w:snapToGrid w:val="0"/>
              <w:spacing w:line="360" w:lineRule="auto"/>
              <w:jc w:val="center"/>
              <w:rPr>
                <w:rFonts w:hint="eastAsia" w:ascii="宋体" w:hAnsi="宋体"/>
                <w:bCs/>
                <w:lang w:eastAsia="zh-CN"/>
              </w:rPr>
            </w:pPr>
          </w:p>
          <w:p w14:paraId="441CE188">
            <w:pPr>
              <w:adjustRightInd w:val="0"/>
              <w:snapToGrid w:val="0"/>
              <w:spacing w:line="360" w:lineRule="auto"/>
              <w:jc w:val="center"/>
              <w:rPr>
                <w:rFonts w:hint="eastAsia" w:ascii="宋体" w:hAnsi="宋体"/>
                <w:bCs/>
                <w:lang w:eastAsia="zh-CN"/>
              </w:rPr>
            </w:pPr>
          </w:p>
          <w:p w14:paraId="51FD2B03">
            <w:pPr>
              <w:adjustRightInd w:val="0"/>
              <w:snapToGrid w:val="0"/>
              <w:spacing w:line="360" w:lineRule="auto"/>
              <w:jc w:val="center"/>
              <w:rPr>
                <w:rFonts w:hint="eastAsia" w:ascii="宋体" w:hAnsi="宋体"/>
                <w:bCs/>
                <w:lang w:eastAsia="zh-CN"/>
              </w:rPr>
            </w:pPr>
          </w:p>
          <w:p w14:paraId="7783A707">
            <w:pPr>
              <w:adjustRightInd w:val="0"/>
              <w:snapToGrid w:val="0"/>
              <w:spacing w:line="360" w:lineRule="auto"/>
              <w:jc w:val="center"/>
              <w:rPr>
                <w:rFonts w:hint="eastAsia" w:ascii="宋体" w:hAnsi="宋体"/>
                <w:bCs/>
                <w:lang w:eastAsia="zh-CN"/>
              </w:rPr>
            </w:pPr>
          </w:p>
          <w:p w14:paraId="0160B8F1">
            <w:pPr>
              <w:adjustRightInd w:val="0"/>
              <w:snapToGrid w:val="0"/>
              <w:spacing w:line="360" w:lineRule="auto"/>
              <w:jc w:val="center"/>
              <w:rPr>
                <w:rFonts w:hint="eastAsia" w:ascii="宋体" w:hAnsi="宋体"/>
                <w:bCs/>
                <w:lang w:eastAsia="zh-CN"/>
              </w:rPr>
            </w:pPr>
          </w:p>
          <w:p w14:paraId="38190C73">
            <w:pPr>
              <w:adjustRightInd w:val="0"/>
              <w:snapToGrid w:val="0"/>
              <w:spacing w:line="360" w:lineRule="auto"/>
              <w:jc w:val="center"/>
              <w:rPr>
                <w:rFonts w:hint="eastAsia" w:ascii="宋体" w:hAnsi="宋体"/>
                <w:bCs/>
                <w:lang w:eastAsia="zh-CN"/>
              </w:rPr>
            </w:pPr>
          </w:p>
          <w:p w14:paraId="31EA0332">
            <w:pPr>
              <w:adjustRightInd w:val="0"/>
              <w:snapToGrid w:val="0"/>
              <w:spacing w:line="360" w:lineRule="auto"/>
              <w:jc w:val="center"/>
              <w:rPr>
                <w:rFonts w:hint="eastAsia" w:ascii="宋体" w:hAnsi="宋体"/>
                <w:bCs/>
                <w:lang w:eastAsia="zh-CN"/>
              </w:rPr>
            </w:pPr>
          </w:p>
          <w:p w14:paraId="70E70D02">
            <w:pPr>
              <w:adjustRightInd w:val="0"/>
              <w:snapToGrid w:val="0"/>
              <w:spacing w:line="360" w:lineRule="auto"/>
              <w:jc w:val="center"/>
              <w:rPr>
                <w:rFonts w:hint="eastAsia" w:ascii="宋体" w:hAnsi="宋体"/>
                <w:bCs/>
                <w:lang w:eastAsia="zh-CN"/>
              </w:rPr>
            </w:pPr>
          </w:p>
          <w:p w14:paraId="2CC51427">
            <w:pPr>
              <w:pStyle w:val="39"/>
              <w:ind w:firstLine="0" w:firstLineChars="0"/>
              <w:jc w:val="center"/>
              <w:rPr>
                <w:b/>
                <w:bCs/>
              </w:rPr>
            </w:pPr>
            <w:r>
              <w:rPr>
                <w:b/>
                <w:bCs/>
              </w:rPr>
              <w:t xml:space="preserve">图2-3  </w:t>
            </w:r>
            <w:r>
              <w:rPr>
                <w:rFonts w:hint="eastAsia"/>
                <w:b/>
                <w:bCs/>
              </w:rPr>
              <w:t>新能源汽车配套橡胶功能件</w:t>
            </w:r>
            <w:r>
              <w:rPr>
                <w:b/>
                <w:bCs/>
              </w:rPr>
              <w:t>生产工艺流程及产污环节图</w:t>
            </w:r>
          </w:p>
          <w:p w14:paraId="4774D890">
            <w:pPr>
              <w:pStyle w:val="39"/>
              <w:ind w:firstLine="0" w:firstLineChars="0"/>
            </w:pPr>
            <w:r>
              <w:rPr>
                <w:b/>
                <w:bCs/>
              </w:rPr>
              <w:t>工艺流程简述：</w:t>
            </w:r>
          </w:p>
          <w:p w14:paraId="46DD6DAF">
            <w:pPr>
              <w:pStyle w:val="5"/>
              <w:adjustRightInd w:val="0"/>
              <w:snapToGrid w:val="0"/>
              <w:spacing w:line="360" w:lineRule="auto"/>
              <w:ind w:firstLine="422"/>
              <w:rPr>
                <w:szCs w:val="21"/>
              </w:rPr>
            </w:pPr>
            <w:r>
              <w:rPr>
                <w:b/>
                <w:bCs/>
                <w:szCs w:val="21"/>
              </w:rPr>
              <w:t>配料：</w:t>
            </w:r>
            <w:r>
              <w:rPr>
                <w:szCs w:val="21"/>
              </w:rPr>
              <w:t>主要将炼胶过程中使用的主要配料如</w:t>
            </w:r>
            <w:r>
              <w:rPr>
                <w:rFonts w:hint="eastAsia"/>
                <w:szCs w:val="21"/>
              </w:rPr>
              <w:t>橡胶原料（氢化丁腈橡胶或三元乙丙橡胶或丁腈橡胶或丙烯酸酯橡胶或氟橡胶或硅橡胶）、交联剂、防老剂、硫化剂</w:t>
            </w:r>
            <w:r>
              <w:rPr>
                <w:szCs w:val="21"/>
              </w:rPr>
              <w:t>、石蜡油、</w:t>
            </w:r>
            <w:r>
              <w:rPr>
                <w:rFonts w:hint="eastAsia"/>
                <w:szCs w:val="21"/>
              </w:rPr>
              <w:t>氧化锌、</w:t>
            </w:r>
            <w:r>
              <w:rPr>
                <w:szCs w:val="21"/>
              </w:rPr>
              <w:t>炭黑等在进入混炼生产线混炼前，根据配方要求进行准确计量。各种粉状原料由台秤人工称量后进入</w:t>
            </w:r>
            <w:r>
              <w:rPr>
                <w:rFonts w:hint="eastAsia"/>
                <w:szCs w:val="21"/>
              </w:rPr>
              <w:t>捏炼生产线</w:t>
            </w:r>
            <w:r>
              <w:rPr>
                <w:szCs w:val="21"/>
              </w:rPr>
              <w:t>进行混炼。此工序产生配料粉尘G</w:t>
            </w:r>
            <w:r>
              <w:rPr>
                <w:rFonts w:hint="eastAsia"/>
                <w:szCs w:val="21"/>
              </w:rPr>
              <w:t>31</w:t>
            </w:r>
            <w:r>
              <w:rPr>
                <w:szCs w:val="21"/>
              </w:rPr>
              <w:t>’。</w:t>
            </w:r>
          </w:p>
          <w:p w14:paraId="1C858A8A">
            <w:pPr>
              <w:tabs>
                <w:tab w:val="left" w:pos="0"/>
                <w:tab w:val="left" w:pos="2160"/>
              </w:tabs>
              <w:spacing w:line="360" w:lineRule="auto"/>
              <w:ind w:firstLine="422" w:firstLineChars="200"/>
              <w:rPr>
                <w:szCs w:val="21"/>
              </w:rPr>
            </w:pPr>
            <w:r>
              <w:rPr>
                <w:rFonts w:hint="eastAsia"/>
                <w:b/>
                <w:szCs w:val="21"/>
              </w:rPr>
              <w:t>混炼：</w:t>
            </w:r>
            <w:r>
              <w:rPr>
                <w:szCs w:val="21"/>
              </w:rPr>
              <w:t>将配好的原料</w:t>
            </w:r>
            <w:r>
              <w:rPr>
                <w:rFonts w:hint="eastAsia"/>
                <w:szCs w:val="21"/>
              </w:rPr>
              <w:t>经密闭管道首先输送到捏炼机或者密炼线（自动加压），使其在两个相对回转的转子间隙中受到不断变化的剪切挤压作用，促使胶料产生剪切变形而进行捏炼，</w:t>
            </w:r>
            <w:r>
              <w:rPr>
                <w:szCs w:val="21"/>
              </w:rPr>
              <w:t>通过机械拌合作用，使配合剂完全、均匀地分散在生胶中</w:t>
            </w:r>
            <w:r>
              <w:rPr>
                <w:rFonts w:hint="eastAsia"/>
                <w:szCs w:val="21"/>
              </w:rPr>
              <w:t>，原料在捏炼过程中得到初步混合。密炼过程由于物料之间相互碾压会使温度上升，项目采用间接冷却循环系统，使温度控制在60℃以下。密炼时间约为5min。</w:t>
            </w:r>
          </w:p>
          <w:p w14:paraId="5314B47B">
            <w:pPr>
              <w:tabs>
                <w:tab w:val="left" w:pos="0"/>
                <w:tab w:val="left" w:pos="2160"/>
              </w:tabs>
              <w:spacing w:line="360" w:lineRule="auto"/>
              <w:ind w:firstLine="420" w:firstLineChars="200"/>
              <w:rPr>
                <w:szCs w:val="21"/>
              </w:rPr>
            </w:pPr>
            <w:r>
              <w:rPr>
                <w:rFonts w:hint="eastAsia"/>
                <w:szCs w:val="21"/>
              </w:rPr>
              <w:t>然后</w:t>
            </w:r>
            <w:r>
              <w:rPr>
                <w:szCs w:val="21"/>
              </w:rPr>
              <w:t>将经过捏炼后的橡胶送入开炼机</w:t>
            </w:r>
            <w:r>
              <w:rPr>
                <w:rFonts w:hint="eastAsia"/>
                <w:szCs w:val="21"/>
              </w:rPr>
              <w:t>（在20-50℃的条件下）</w:t>
            </w:r>
            <w:r>
              <w:rPr>
                <w:szCs w:val="21"/>
              </w:rPr>
              <w:t>中开炼及成片</w:t>
            </w:r>
            <w:r>
              <w:rPr>
                <w:rFonts w:hint="eastAsia"/>
                <w:szCs w:val="21"/>
              </w:rPr>
              <w:t>。混炼过程是配合剂（主要是炭黑）在生胶中均匀分散的过程。由于生胶的粘度很高，不利于配合剂的分散。因此配合剂在生胶中的分散与液态的分散体不完全相同，必须借助开练机的强烈机械作用来强化混炼过程。即混炼主要</w:t>
            </w:r>
            <w:r>
              <w:rPr>
                <w:szCs w:val="21"/>
              </w:rPr>
              <w:t>是以机械力作用为主，机械力使橡胶长链分子断裂成短链分子，断链的活性游离基被氧或其他游离基接收体所稳定，生成较短的分子，这样生胶的弹性降低，可塑度提高。力的作用集中在分子链中部位置，分子链大多断裂在中间部分。</w:t>
            </w:r>
            <w:r>
              <w:rPr>
                <w:rFonts w:hint="eastAsia"/>
                <w:szCs w:val="21"/>
              </w:rPr>
              <w:t>开炼机为半密闭式，混炼时间约20min。此过程会产生混炼废气（G32</w:t>
            </w:r>
            <w:r>
              <w:rPr>
                <w:szCs w:val="21"/>
              </w:rPr>
              <w:t>’</w:t>
            </w:r>
            <w:r>
              <w:rPr>
                <w:rFonts w:hint="eastAsia"/>
                <w:szCs w:val="21"/>
              </w:rPr>
              <w:t>）。</w:t>
            </w:r>
          </w:p>
          <w:p w14:paraId="341B29C6">
            <w:pPr>
              <w:tabs>
                <w:tab w:val="left" w:pos="0"/>
                <w:tab w:val="left" w:pos="2160"/>
              </w:tabs>
              <w:spacing w:line="360" w:lineRule="auto"/>
              <w:ind w:firstLine="422" w:firstLineChars="200"/>
              <w:rPr>
                <w:szCs w:val="21"/>
              </w:rPr>
            </w:pPr>
            <w:r>
              <w:rPr>
                <w:rFonts w:hint="eastAsia"/>
                <w:b/>
                <w:szCs w:val="21"/>
              </w:rPr>
              <w:t>返炼：</w:t>
            </w:r>
            <w:r>
              <w:rPr>
                <w:rFonts w:hint="eastAsia"/>
                <w:szCs w:val="21"/>
              </w:rPr>
              <w:t>胶料混炼结束后，应经过一段时间的停放。使各种配合剂能与生胶充分起作用。经停放后，胶料变硬，部分产品使用前必须进行返炼。返炼采用开炼机，开始时辊距较大，此时胶料较硬，表面是皱纹状，包在前辊上。随着返炼时间的延长，胶料逐渐变软；慢慢缩小辊距，很快胶料即包在后辊上。“待胶料充分柔软，表面光滑平整后，即可下料出片。返炼温度一般控制为室温。</w:t>
            </w:r>
            <w:r>
              <w:rPr>
                <w:rFonts w:hint="eastAsia" w:ascii="宋体" w:hAnsi="宋体"/>
                <w:szCs w:val="21"/>
              </w:rPr>
              <w:t>由于开练温度较低，此过程有极少量返炼废气</w:t>
            </w:r>
            <w:r>
              <w:rPr>
                <w:rFonts w:hint="eastAsia"/>
                <w:szCs w:val="21"/>
              </w:rPr>
              <w:t>（G33</w:t>
            </w:r>
            <w:r>
              <w:rPr>
                <w:szCs w:val="21"/>
              </w:rPr>
              <w:t>’</w:t>
            </w:r>
            <w:r>
              <w:rPr>
                <w:rFonts w:hint="eastAsia"/>
                <w:szCs w:val="21"/>
              </w:rPr>
              <w:t>）</w:t>
            </w:r>
            <w:r>
              <w:rPr>
                <w:rFonts w:hint="eastAsia" w:ascii="宋体" w:hAnsi="宋体"/>
                <w:szCs w:val="21"/>
              </w:rPr>
              <w:t>产生，此外，</w:t>
            </w:r>
            <w:r>
              <w:fldChar w:fldCharType="begin"/>
            </w:r>
            <w:r>
              <w:instrText xml:space="preserve"> HYPERLINK "http://baike.baidu.com/view/45797.htm" \t "_blank" </w:instrText>
            </w:r>
            <w:r>
              <w:fldChar w:fldCharType="separate"/>
            </w:r>
            <w:r>
              <w:rPr>
                <w:szCs w:val="21"/>
              </w:rPr>
              <w:t>橡胶</w:t>
            </w:r>
            <w:r>
              <w:rPr>
                <w:szCs w:val="21"/>
              </w:rPr>
              <w:fldChar w:fldCharType="end"/>
            </w:r>
            <w:r>
              <w:rPr>
                <w:szCs w:val="21"/>
              </w:rPr>
              <w:t>加工中，在</w:t>
            </w:r>
            <w:r>
              <w:rPr>
                <w:rFonts w:hint="eastAsia"/>
                <w:szCs w:val="21"/>
              </w:rPr>
              <w:t>橡胶预</w:t>
            </w:r>
            <w:r>
              <w:fldChar w:fldCharType="begin"/>
            </w:r>
            <w:r>
              <w:instrText xml:space="preserve"> HYPERLINK "http://baike.baidu.com/view/709028.htm" \t "_blank" </w:instrText>
            </w:r>
            <w:r>
              <w:fldChar w:fldCharType="separate"/>
            </w:r>
            <w:r>
              <w:rPr>
                <w:szCs w:val="21"/>
              </w:rPr>
              <w:t>成型</w:t>
            </w:r>
            <w:r>
              <w:rPr>
                <w:szCs w:val="21"/>
              </w:rPr>
              <w:fldChar w:fldCharType="end"/>
            </w:r>
            <w:r>
              <w:rPr>
                <w:szCs w:val="21"/>
              </w:rPr>
              <w:t>时，均有一些</w:t>
            </w:r>
            <w:r>
              <w:rPr>
                <w:rFonts w:hint="eastAsia"/>
                <w:szCs w:val="21"/>
              </w:rPr>
              <w:t>废边角</w:t>
            </w:r>
            <w:r>
              <w:fldChar w:fldCharType="begin"/>
            </w:r>
            <w:r>
              <w:instrText xml:space="preserve"> HYPERLINK "http://baike.baidu.com/view/1559954.htm" \t "_blank" </w:instrText>
            </w:r>
            <w:r>
              <w:fldChar w:fldCharType="separate"/>
            </w:r>
            <w:r>
              <w:rPr>
                <w:szCs w:val="21"/>
              </w:rPr>
              <w:t>胶料</w:t>
            </w:r>
            <w:r>
              <w:rPr>
                <w:szCs w:val="21"/>
              </w:rPr>
              <w:fldChar w:fldCharType="end"/>
            </w:r>
            <w:r>
              <w:rPr>
                <w:szCs w:val="21"/>
              </w:rPr>
              <w:t>须集中再</w:t>
            </w:r>
            <w:r>
              <w:fldChar w:fldCharType="begin"/>
            </w:r>
            <w:r>
              <w:instrText xml:space="preserve"> HYPERLINK "http://baike.baidu.com/view/2000729.htm" \t "_blank" </w:instrText>
            </w:r>
            <w:r>
              <w:fldChar w:fldCharType="separate"/>
            </w:r>
            <w:r>
              <w:rPr>
                <w:szCs w:val="21"/>
              </w:rPr>
              <w:t>热炼</w:t>
            </w:r>
            <w:r>
              <w:rPr>
                <w:szCs w:val="21"/>
              </w:rPr>
              <w:fldChar w:fldCharType="end"/>
            </w:r>
            <w:r>
              <w:rPr>
                <w:rFonts w:hint="eastAsia"/>
                <w:szCs w:val="21"/>
              </w:rPr>
              <w:t>，</w:t>
            </w:r>
            <w:r>
              <w:fldChar w:fldCharType="begin"/>
            </w:r>
            <w:r>
              <w:instrText xml:space="preserve"> HYPERLINK "http://baike.baidu.com/view/5373365.htm" \t "_blank" </w:instrText>
            </w:r>
            <w:r>
              <w:fldChar w:fldCharType="separate"/>
            </w:r>
            <w:r>
              <w:rPr>
                <w:szCs w:val="21"/>
              </w:rPr>
              <w:t>返炼胶</w:t>
            </w:r>
            <w:r>
              <w:rPr>
                <w:szCs w:val="21"/>
              </w:rPr>
              <w:fldChar w:fldCharType="end"/>
            </w:r>
            <w:r>
              <w:rPr>
                <w:szCs w:val="21"/>
              </w:rPr>
              <w:t>须与新的</w:t>
            </w:r>
            <w:r>
              <w:fldChar w:fldCharType="begin"/>
            </w:r>
            <w:r>
              <w:instrText xml:space="preserve"> HYPERLINK "http://baike.baidu.com/view/2072063.htm" \t "_blank" </w:instrText>
            </w:r>
            <w:r>
              <w:fldChar w:fldCharType="separate"/>
            </w:r>
            <w:r>
              <w:rPr>
                <w:szCs w:val="21"/>
              </w:rPr>
              <w:t>混炼胶</w:t>
            </w:r>
            <w:r>
              <w:rPr>
                <w:szCs w:val="21"/>
              </w:rPr>
              <w:fldChar w:fldCharType="end"/>
            </w:r>
            <w:r>
              <w:rPr>
                <w:szCs w:val="21"/>
              </w:rPr>
              <w:t>搭配再炼合。</w:t>
            </w:r>
          </w:p>
          <w:p w14:paraId="71B98875">
            <w:pPr>
              <w:tabs>
                <w:tab w:val="left" w:pos="0"/>
                <w:tab w:val="left" w:pos="2160"/>
              </w:tabs>
              <w:snapToGrid w:val="0"/>
              <w:spacing w:line="360" w:lineRule="auto"/>
              <w:ind w:firstLine="422" w:firstLineChars="200"/>
              <w:rPr>
                <w:szCs w:val="21"/>
              </w:rPr>
            </w:pPr>
            <w:r>
              <w:rPr>
                <w:rFonts w:hint="eastAsia"/>
                <w:b/>
                <w:szCs w:val="21"/>
              </w:rPr>
              <w:t>挤出预成型：</w:t>
            </w:r>
            <w:r>
              <w:rPr>
                <w:rFonts w:hint="eastAsia"/>
                <w:szCs w:val="21"/>
              </w:rPr>
              <w:t>预成型机是将未硫化胶料加工成半成品（如环形、矩形和条形等）精密胶坯的设备，这些胶坯必须具有正确形状和精确体积，以保证过滤挤出的产品质量。本项目的预成型机采用了微机控制，可以准确地记录柱塞前进速度和切刀转速的双变量函数值，并对其复合动态进行数据处理和监控（温度约为65~80℃</w:t>
            </w:r>
            <w:r>
              <w:rPr>
                <w:szCs w:val="21"/>
              </w:rPr>
              <w:t>，</w:t>
            </w:r>
            <w:r>
              <w:rPr>
                <w:rFonts w:hint="eastAsia"/>
                <w:szCs w:val="21"/>
              </w:rPr>
              <w:t>5</w:t>
            </w:r>
            <w:r>
              <w:rPr>
                <w:szCs w:val="21"/>
              </w:rPr>
              <w:t>分钟左右</w:t>
            </w:r>
            <w:r>
              <w:rPr>
                <w:rFonts w:hint="eastAsia"/>
                <w:szCs w:val="21"/>
              </w:rPr>
              <w:t>）。</w:t>
            </w:r>
          </w:p>
          <w:p w14:paraId="19FF4A86">
            <w:pPr>
              <w:adjustRightInd w:val="0"/>
              <w:snapToGrid w:val="0"/>
              <w:spacing w:line="360" w:lineRule="auto"/>
              <w:ind w:firstLine="420" w:firstLineChars="200"/>
              <w:rPr>
                <w:szCs w:val="21"/>
              </w:rPr>
            </w:pPr>
            <w:r>
              <w:rPr>
                <w:rFonts w:hint="eastAsia"/>
                <w:szCs w:val="21"/>
              </w:rPr>
              <w:t>胶坯经过滤挤出机挤出后再由高精密度橡胶切条机切断、预成型，即为半成品橡胶坯料。挤出时采用循环冷却水进行冷却。此工序会产生挤出废气（G34</w:t>
            </w:r>
            <w:r>
              <w:rPr>
                <w:szCs w:val="21"/>
              </w:rPr>
              <w:t>’</w:t>
            </w:r>
            <w:r>
              <w:rPr>
                <w:rFonts w:hint="eastAsia"/>
                <w:szCs w:val="21"/>
              </w:rPr>
              <w:t>）、废胶料（S31</w:t>
            </w:r>
            <w:r>
              <w:rPr>
                <w:szCs w:val="21"/>
              </w:rPr>
              <w:t>’</w:t>
            </w:r>
            <w:r>
              <w:rPr>
                <w:rFonts w:hint="eastAsia"/>
                <w:szCs w:val="21"/>
              </w:rPr>
              <w:t>）和设备运行噪声</w:t>
            </w:r>
            <w:r>
              <w:rPr>
                <w:szCs w:val="21"/>
              </w:rPr>
              <w:t>。</w:t>
            </w:r>
          </w:p>
          <w:p w14:paraId="5A0966AF">
            <w:pPr>
              <w:tabs>
                <w:tab w:val="left" w:pos="2160"/>
              </w:tabs>
              <w:snapToGrid w:val="0"/>
              <w:spacing w:line="360" w:lineRule="auto"/>
              <w:ind w:firstLine="420" w:firstLineChars="200"/>
              <w:rPr>
                <w:szCs w:val="21"/>
              </w:rPr>
            </w:pPr>
            <w:r>
              <w:rPr>
                <w:rFonts w:hint="eastAsia"/>
                <w:szCs w:val="21"/>
              </w:rPr>
              <w:t>将外购的金属件</w:t>
            </w:r>
            <w:r>
              <w:rPr>
                <w:szCs w:val="21"/>
              </w:rPr>
              <w:t>进入</w:t>
            </w:r>
            <w:r>
              <w:rPr>
                <w:rFonts w:hint="eastAsia"/>
                <w:szCs w:val="21"/>
                <w:lang w:val="en-US" w:eastAsia="zh-CN"/>
              </w:rPr>
              <w:t>表面处理线</w:t>
            </w:r>
            <w:r>
              <w:rPr>
                <w:szCs w:val="21"/>
              </w:rPr>
              <w:t>生产线进行表面处理，依次</w:t>
            </w:r>
            <w:r>
              <w:rPr>
                <w:rFonts w:hint="eastAsia"/>
                <w:szCs w:val="21"/>
              </w:rPr>
              <w:t>经过脱脂、水洗、表调、</w:t>
            </w:r>
            <w:r>
              <w:rPr>
                <w:rFonts w:hint="eastAsia"/>
                <w:szCs w:val="21"/>
                <w:highlight w:val="black"/>
                <w:lang w:val="en-US" w:eastAsia="zh-CN"/>
              </w:rPr>
              <w:t xml:space="preserve">    </w:t>
            </w:r>
            <w:r>
              <w:rPr>
                <w:rFonts w:hint="eastAsia"/>
                <w:szCs w:val="21"/>
              </w:rPr>
              <w:t>、纯水洗、烘干等工序。金属件经过表面处理后，再喷浸涂胶粘剂并干燥（烘干温度为100～200℃，电加热），然后进入金属橡胶件复合生产线。</w:t>
            </w:r>
          </w:p>
          <w:p w14:paraId="671202E1">
            <w:pPr>
              <w:tabs>
                <w:tab w:val="left" w:pos="2160"/>
              </w:tabs>
              <w:snapToGrid w:val="0"/>
              <w:spacing w:line="360" w:lineRule="auto"/>
              <w:ind w:firstLine="422" w:firstLineChars="200"/>
              <w:rPr>
                <w:szCs w:val="21"/>
              </w:rPr>
            </w:pPr>
            <w:r>
              <w:rPr>
                <w:rFonts w:hint="eastAsia"/>
                <w:b/>
                <w:szCs w:val="21"/>
              </w:rPr>
              <w:t>抛丸/喷砂：</w:t>
            </w:r>
            <w:r>
              <w:rPr>
                <w:rFonts w:hint="eastAsia"/>
                <w:szCs w:val="21"/>
              </w:rPr>
              <w:t>根据产品性能要求，金属嵌件需经过抛丸或者喷砂表面处理，以达到增强工件表面的粗糙度，有利于增强和提高与胶黏剂的附着率，抛丸或者喷砂工序有粉尘（G21</w:t>
            </w:r>
            <w:r>
              <w:rPr>
                <w:szCs w:val="21"/>
              </w:rPr>
              <w:t>’</w:t>
            </w:r>
            <w:r>
              <w:rPr>
                <w:rFonts w:hint="eastAsia"/>
                <w:szCs w:val="21"/>
              </w:rPr>
              <w:t>）和噪声（N21</w:t>
            </w:r>
            <w:r>
              <w:rPr>
                <w:szCs w:val="21"/>
              </w:rPr>
              <w:t>’</w:t>
            </w:r>
            <w:r>
              <w:rPr>
                <w:rFonts w:hint="eastAsia"/>
                <w:szCs w:val="21"/>
              </w:rPr>
              <w:t>）产生。</w:t>
            </w:r>
          </w:p>
          <w:p w14:paraId="3F2A8C1B">
            <w:pPr>
              <w:snapToGrid w:val="0"/>
              <w:spacing w:line="360" w:lineRule="auto"/>
              <w:ind w:firstLine="422" w:firstLineChars="200"/>
              <w:rPr>
                <w:rFonts w:hAnsi="宋体"/>
                <w:szCs w:val="21"/>
              </w:rPr>
            </w:pPr>
            <w:r>
              <w:rPr>
                <w:rFonts w:hint="eastAsia"/>
                <w:b/>
                <w:szCs w:val="21"/>
              </w:rPr>
              <w:t>脱脂：</w:t>
            </w:r>
            <w:r>
              <w:rPr>
                <w:rFonts w:hint="eastAsia"/>
                <w:szCs w:val="21"/>
              </w:rPr>
              <w:t>本项目脱脂和</w:t>
            </w:r>
            <w:r>
              <w:rPr>
                <w:rFonts w:hint="eastAsia"/>
                <w:szCs w:val="21"/>
                <w:highlight w:val="black"/>
                <w:lang w:val="en-US" w:eastAsia="zh-CN"/>
              </w:rPr>
              <w:t xml:space="preserve">    </w:t>
            </w:r>
            <w:r>
              <w:rPr>
                <w:rFonts w:hint="eastAsia"/>
                <w:szCs w:val="21"/>
              </w:rPr>
              <w:t>为连续半自动生产线作业，首先将外购的金属件转入专用的作业笼，用提升机移入脱脂槽，共1个预脱脂槽、2个脱脂槽，平均每个脱脂槽容积约为1.2</w:t>
            </w:r>
            <w:r>
              <w:rPr>
                <w:szCs w:val="21"/>
              </w:rPr>
              <w:t>m</w:t>
            </w:r>
            <w:r>
              <w:rPr>
                <w:szCs w:val="21"/>
                <w:vertAlign w:val="superscript"/>
              </w:rPr>
              <w:t>3</w:t>
            </w:r>
            <w:r>
              <w:rPr>
                <w:szCs w:val="21"/>
              </w:rPr>
              <w:t>，</w:t>
            </w:r>
            <w:r>
              <w:rPr>
                <w:rFonts w:hint="eastAsia"/>
                <w:szCs w:val="21"/>
              </w:rPr>
              <w:t>槽内温度约为80℃（电加热），作业笼自动转动脱脂，脱脂槽内为配置好的脱脂液。脱脂液循环使用，浓度不足时添加脱脂剂</w:t>
            </w:r>
            <w:r>
              <w:rPr>
                <w:szCs w:val="21"/>
              </w:rPr>
              <w:t>。</w:t>
            </w:r>
            <w:r>
              <w:rPr>
                <w:rFonts w:hint="eastAsia"/>
                <w:szCs w:val="21"/>
              </w:rPr>
              <w:t>脱脂槽中的脱脂液循环使用，只添加不更换。</w:t>
            </w:r>
            <w:r>
              <w:rPr>
                <w:szCs w:val="21"/>
              </w:rPr>
              <w:t>采用清洁能源电能，不消耗高污染能源</w:t>
            </w:r>
            <w:r>
              <w:rPr>
                <w:rFonts w:hint="eastAsia"/>
                <w:szCs w:val="21"/>
              </w:rPr>
              <w:t>，清洁程度较高。</w:t>
            </w:r>
          </w:p>
          <w:p w14:paraId="25E9E5DF">
            <w:pPr>
              <w:tabs>
                <w:tab w:val="left" w:pos="2160"/>
              </w:tabs>
              <w:snapToGrid w:val="0"/>
              <w:spacing w:line="360" w:lineRule="auto"/>
              <w:ind w:firstLine="422" w:firstLineChars="200"/>
              <w:rPr>
                <w:szCs w:val="21"/>
              </w:rPr>
            </w:pPr>
            <w:r>
              <w:rPr>
                <w:rFonts w:hint="eastAsia"/>
                <w:b/>
                <w:szCs w:val="21"/>
              </w:rPr>
              <w:t>水</w:t>
            </w:r>
            <w:r>
              <w:rPr>
                <w:b/>
                <w:szCs w:val="21"/>
              </w:rPr>
              <w:t>洗：</w:t>
            </w:r>
            <w:r>
              <w:rPr>
                <w:rFonts w:hint="eastAsia"/>
                <w:szCs w:val="21"/>
              </w:rPr>
              <w:t>用提升机将脱脂好金属件移到清洗槽进行清洗，清洗用水为自来水，清洗槽为两道逆流设计，每个清洗槽</w:t>
            </w:r>
            <w:r>
              <w:rPr>
                <w:szCs w:val="21"/>
              </w:rPr>
              <w:t>容积约为</w:t>
            </w:r>
            <w:r>
              <w:rPr>
                <w:rFonts w:hint="eastAsia"/>
                <w:szCs w:val="21"/>
              </w:rPr>
              <w:t>1.6</w:t>
            </w:r>
            <w:r>
              <w:rPr>
                <w:szCs w:val="21"/>
              </w:rPr>
              <w:t>m</w:t>
            </w:r>
            <w:r>
              <w:rPr>
                <w:szCs w:val="21"/>
                <w:vertAlign w:val="superscript"/>
              </w:rPr>
              <w:t>3</w:t>
            </w:r>
            <w:r>
              <w:rPr>
                <w:szCs w:val="21"/>
              </w:rPr>
              <w:t>，</w:t>
            </w:r>
            <w:r>
              <w:rPr>
                <w:rFonts w:hint="eastAsia"/>
                <w:szCs w:val="21"/>
              </w:rPr>
              <w:t>槽内温度约为50℃。定期补充新鲜水，本次扩建项目金属嵌件依托现有的</w:t>
            </w:r>
            <w:r>
              <w:rPr>
                <w:rFonts w:hint="eastAsia"/>
                <w:szCs w:val="21"/>
                <w:lang w:val="en-US" w:eastAsia="zh-CN"/>
              </w:rPr>
              <w:t>表面处理</w:t>
            </w:r>
            <w:r>
              <w:rPr>
                <w:rFonts w:hint="eastAsia"/>
                <w:szCs w:val="21"/>
              </w:rPr>
              <w:t>线进行表面处理，故由现有的每天更换2次清洗水，加大更换频率，改为每天更换四次清洗水，此过程产生脱脂清洗废水（W21</w:t>
            </w:r>
            <w:r>
              <w:rPr>
                <w:szCs w:val="21"/>
              </w:rPr>
              <w:t>’</w:t>
            </w:r>
            <w:r>
              <w:rPr>
                <w:rFonts w:hint="eastAsia"/>
                <w:szCs w:val="21"/>
              </w:rPr>
              <w:t>）</w:t>
            </w:r>
            <w:r>
              <w:rPr>
                <w:szCs w:val="21"/>
              </w:rPr>
              <w:t>。</w:t>
            </w:r>
          </w:p>
          <w:p w14:paraId="720F5005">
            <w:pPr>
              <w:snapToGrid w:val="0"/>
              <w:spacing w:line="360" w:lineRule="auto"/>
              <w:ind w:firstLine="422" w:firstLineChars="200"/>
              <w:rPr>
                <w:rFonts w:hAnsi="宋体"/>
                <w:szCs w:val="21"/>
              </w:rPr>
            </w:pPr>
            <w:r>
              <w:rPr>
                <w:rFonts w:hint="eastAsia"/>
                <w:b/>
                <w:szCs w:val="21"/>
              </w:rPr>
              <w:t>表调</w:t>
            </w:r>
            <w:r>
              <w:rPr>
                <w:b/>
                <w:szCs w:val="21"/>
              </w:rPr>
              <w:t>：</w:t>
            </w:r>
            <w:r>
              <w:rPr>
                <w:rFonts w:hint="eastAsia"/>
                <w:szCs w:val="21"/>
              </w:rPr>
              <w:t>表调</w:t>
            </w:r>
            <w:r>
              <w:rPr>
                <w:szCs w:val="21"/>
              </w:rPr>
              <w:t>是为了</w:t>
            </w:r>
            <w:r>
              <w:rPr>
                <w:rFonts w:hint="eastAsia"/>
                <w:szCs w:val="21"/>
              </w:rPr>
              <w:t>主要克服皮膜粗化现象，消除金属工件的腐蚀不均等缺陷，</w:t>
            </w:r>
            <w:r>
              <w:rPr>
                <w:szCs w:val="21"/>
              </w:rPr>
              <w:t>以提高后续</w:t>
            </w:r>
            <w:r>
              <w:rPr>
                <w:rFonts w:hint="eastAsia"/>
                <w:szCs w:val="21"/>
                <w:highlight w:val="black"/>
                <w:lang w:val="en-US" w:eastAsia="zh-CN"/>
              </w:rPr>
              <w:t xml:space="preserve">      </w:t>
            </w:r>
            <w:r>
              <w:rPr>
                <w:szCs w:val="21"/>
              </w:rPr>
              <w:t>处理的效率，是低温</w:t>
            </w:r>
            <w:r>
              <w:rPr>
                <w:rFonts w:hint="eastAsia"/>
                <w:szCs w:val="21"/>
                <w:highlight w:val="black"/>
                <w:lang w:val="en-US" w:eastAsia="zh-CN"/>
              </w:rPr>
              <w:t xml:space="preserve">     </w:t>
            </w:r>
            <w:r>
              <w:rPr>
                <w:rFonts w:hint="eastAsia"/>
                <w:szCs w:val="21"/>
                <w:lang w:val="en-US" w:eastAsia="zh-CN"/>
              </w:rPr>
              <w:t xml:space="preserve"> </w:t>
            </w:r>
            <w:r>
              <w:rPr>
                <w:szCs w:val="21"/>
              </w:rPr>
              <w:t>不可缺少的工序。采用浸泡的方式将</w:t>
            </w:r>
            <w:r>
              <w:rPr>
                <w:rFonts w:hint="eastAsia"/>
                <w:szCs w:val="21"/>
              </w:rPr>
              <w:t>金属件</w:t>
            </w:r>
            <w:r>
              <w:rPr>
                <w:szCs w:val="21"/>
              </w:rPr>
              <w:t>浸泡在表面</w:t>
            </w:r>
            <w:r>
              <w:rPr>
                <w:rFonts w:hint="eastAsia"/>
                <w:szCs w:val="21"/>
              </w:rPr>
              <w:t>活化剂</w:t>
            </w:r>
            <w:r>
              <w:rPr>
                <w:szCs w:val="21"/>
              </w:rPr>
              <w:t>溶液中，</w:t>
            </w:r>
            <w:r>
              <w:rPr>
                <w:rFonts w:hint="eastAsia"/>
                <w:szCs w:val="21"/>
              </w:rPr>
              <w:t>共1个表调槽，每个</w:t>
            </w:r>
            <w:r>
              <w:rPr>
                <w:szCs w:val="21"/>
              </w:rPr>
              <w:t>表面</w:t>
            </w:r>
            <w:r>
              <w:rPr>
                <w:rFonts w:hint="eastAsia"/>
                <w:szCs w:val="21"/>
              </w:rPr>
              <w:t>活化剂</w:t>
            </w:r>
            <w:r>
              <w:rPr>
                <w:szCs w:val="21"/>
              </w:rPr>
              <w:t>溶液</w:t>
            </w:r>
            <w:r>
              <w:rPr>
                <w:rFonts w:hint="eastAsia"/>
                <w:szCs w:val="21"/>
              </w:rPr>
              <w:t>槽容积约</w:t>
            </w:r>
            <w:r>
              <w:rPr>
                <w:szCs w:val="21"/>
              </w:rPr>
              <w:t>为</w:t>
            </w:r>
            <w:r>
              <w:rPr>
                <w:rFonts w:hint="eastAsia"/>
                <w:szCs w:val="21"/>
              </w:rPr>
              <w:t>1</w:t>
            </w:r>
            <w:r>
              <w:rPr>
                <w:szCs w:val="21"/>
              </w:rPr>
              <w:t>m</w:t>
            </w:r>
            <w:r>
              <w:rPr>
                <w:szCs w:val="21"/>
                <w:vertAlign w:val="superscript"/>
              </w:rPr>
              <w:t>3</w:t>
            </w:r>
            <w:r>
              <w:rPr>
                <w:szCs w:val="21"/>
              </w:rPr>
              <w:t>，</w:t>
            </w:r>
            <w:r>
              <w:rPr>
                <w:rFonts w:hint="eastAsia"/>
                <w:szCs w:val="21"/>
              </w:rPr>
              <w:t>槽内温度为常温，</w:t>
            </w:r>
            <w:r>
              <w:rPr>
                <w:szCs w:val="21"/>
              </w:rPr>
              <w:t>定期补充运行中损失掉的表面</w:t>
            </w:r>
            <w:r>
              <w:rPr>
                <w:rFonts w:hint="eastAsia"/>
                <w:szCs w:val="21"/>
              </w:rPr>
              <w:t>活化剂</w:t>
            </w:r>
            <w:r>
              <w:rPr>
                <w:szCs w:val="21"/>
              </w:rPr>
              <w:t>溶液，</w:t>
            </w:r>
            <w:r>
              <w:rPr>
                <w:rFonts w:hint="eastAsia"/>
                <w:szCs w:val="21"/>
              </w:rPr>
              <w:t>表调槽中的表调液循环使用，只添加不更换。</w:t>
            </w:r>
          </w:p>
          <w:p w14:paraId="0E0604FE">
            <w:pPr>
              <w:tabs>
                <w:tab w:val="left" w:pos="2160"/>
              </w:tabs>
              <w:snapToGrid w:val="0"/>
              <w:spacing w:line="360" w:lineRule="auto"/>
              <w:ind w:firstLine="422" w:firstLineChars="200"/>
              <w:rPr>
                <w:rFonts w:hint="default" w:eastAsia="宋体"/>
                <w:b/>
                <w:szCs w:val="21"/>
                <w:highlight w:val="black"/>
                <w:lang w:val="en-US" w:eastAsia="zh-CN"/>
              </w:rPr>
            </w:pPr>
            <w:r>
              <w:rPr>
                <w:rFonts w:hint="eastAsia"/>
                <w:b/>
                <w:szCs w:val="21"/>
                <w:highlight w:val="black"/>
                <w:lang w:val="en-US" w:eastAsia="zh-CN"/>
              </w:rPr>
              <w:t xml:space="preserve">                                                                                             </w:t>
            </w:r>
          </w:p>
          <w:p w14:paraId="7FFECE9F">
            <w:pPr>
              <w:tabs>
                <w:tab w:val="left" w:pos="2160"/>
              </w:tabs>
              <w:snapToGrid w:val="0"/>
              <w:spacing w:line="360" w:lineRule="auto"/>
              <w:ind w:firstLine="422" w:firstLineChars="200"/>
              <w:rPr>
                <w:rFonts w:hint="default" w:eastAsia="宋体"/>
                <w:b/>
                <w:szCs w:val="21"/>
                <w:highlight w:val="black"/>
                <w:lang w:val="en-US" w:eastAsia="zh-CN"/>
              </w:rPr>
            </w:pPr>
            <w:r>
              <w:rPr>
                <w:rFonts w:hint="eastAsia"/>
                <w:b/>
                <w:szCs w:val="21"/>
                <w:highlight w:val="black"/>
                <w:lang w:val="en-US" w:eastAsia="zh-CN"/>
              </w:rPr>
              <w:t xml:space="preserve">                                                                             </w:t>
            </w:r>
          </w:p>
          <w:p w14:paraId="50F306D8">
            <w:pPr>
              <w:tabs>
                <w:tab w:val="left" w:pos="2160"/>
              </w:tabs>
              <w:snapToGrid w:val="0"/>
              <w:spacing w:line="360" w:lineRule="auto"/>
              <w:ind w:firstLine="422" w:firstLineChars="200"/>
              <w:rPr>
                <w:szCs w:val="21"/>
              </w:rPr>
            </w:pPr>
            <w:r>
              <w:rPr>
                <w:rFonts w:hint="eastAsia"/>
                <w:b/>
                <w:szCs w:val="21"/>
              </w:rPr>
              <w:t>纯水洗：</w:t>
            </w:r>
            <w:r>
              <w:rPr>
                <w:rFonts w:hint="eastAsia"/>
                <w:szCs w:val="21"/>
                <w:highlight w:val="black"/>
                <w:lang w:val="en-US" w:eastAsia="zh-CN"/>
              </w:rPr>
              <w:t xml:space="preserve">       </w:t>
            </w:r>
            <w:r>
              <w:rPr>
                <w:szCs w:val="21"/>
              </w:rPr>
              <w:t>后</w:t>
            </w:r>
            <w:r>
              <w:rPr>
                <w:rFonts w:hint="eastAsia"/>
                <w:szCs w:val="21"/>
              </w:rPr>
              <w:t>用纯水</w:t>
            </w:r>
            <w:r>
              <w:rPr>
                <w:szCs w:val="21"/>
              </w:rPr>
              <w:t>清洗遗留在工件表面的药剂，</w:t>
            </w:r>
            <w:r>
              <w:rPr>
                <w:rFonts w:hint="eastAsia"/>
                <w:szCs w:val="21"/>
              </w:rPr>
              <w:t>清洗槽为两道逆流设计，每个清洗槽</w:t>
            </w:r>
            <w:r>
              <w:rPr>
                <w:szCs w:val="21"/>
              </w:rPr>
              <w:t>容积约为</w:t>
            </w:r>
            <w:r>
              <w:rPr>
                <w:rFonts w:hint="eastAsia"/>
                <w:szCs w:val="21"/>
              </w:rPr>
              <w:t>1.25</w:t>
            </w:r>
            <w:r>
              <w:rPr>
                <w:szCs w:val="21"/>
              </w:rPr>
              <w:t>m</w:t>
            </w:r>
            <w:r>
              <w:rPr>
                <w:szCs w:val="21"/>
                <w:vertAlign w:val="superscript"/>
              </w:rPr>
              <w:t>3</w:t>
            </w:r>
            <w:r>
              <w:rPr>
                <w:szCs w:val="21"/>
              </w:rPr>
              <w:t>，</w:t>
            </w:r>
            <w:r>
              <w:rPr>
                <w:rFonts w:hint="eastAsia"/>
                <w:szCs w:val="21"/>
              </w:rPr>
              <w:t>清洗槽为两道逆流设计，清洗槽</w:t>
            </w:r>
            <w:r>
              <w:rPr>
                <w:szCs w:val="21"/>
              </w:rPr>
              <w:t>定期补充</w:t>
            </w:r>
            <w:r>
              <w:rPr>
                <w:rFonts w:hint="eastAsia"/>
                <w:szCs w:val="21"/>
              </w:rPr>
              <w:t>纯水</w:t>
            </w:r>
            <w:r>
              <w:rPr>
                <w:szCs w:val="21"/>
              </w:rPr>
              <w:t>，</w:t>
            </w:r>
            <w:r>
              <w:rPr>
                <w:rFonts w:hint="eastAsia"/>
                <w:szCs w:val="21"/>
              </w:rPr>
              <w:t>本次扩建项目金属嵌件依托现有的</w:t>
            </w:r>
            <w:r>
              <w:rPr>
                <w:rFonts w:hint="eastAsia"/>
                <w:szCs w:val="21"/>
                <w:lang w:val="en-US" w:eastAsia="zh-CN"/>
              </w:rPr>
              <w:t>表面处理</w:t>
            </w:r>
            <w:r>
              <w:rPr>
                <w:rFonts w:hint="eastAsia"/>
                <w:szCs w:val="21"/>
              </w:rPr>
              <w:t>线进行表面处理，故由现有的每天更换2次清洗水，加大更换频率，改为每天更换四次清洗水，此过程产生</w:t>
            </w:r>
            <w:r>
              <w:rPr>
                <w:rFonts w:hint="eastAsia"/>
                <w:szCs w:val="21"/>
                <w:highlight w:val="black"/>
                <w:lang w:val="en-US" w:eastAsia="zh-CN"/>
              </w:rPr>
              <w:t xml:space="preserve">     </w:t>
            </w:r>
            <w:r>
              <w:rPr>
                <w:rFonts w:hint="eastAsia"/>
                <w:szCs w:val="21"/>
              </w:rPr>
              <w:t>清洗废水（W22</w:t>
            </w:r>
            <w:r>
              <w:rPr>
                <w:szCs w:val="21"/>
              </w:rPr>
              <w:t>’</w:t>
            </w:r>
            <w:r>
              <w:rPr>
                <w:rFonts w:hint="eastAsia"/>
                <w:szCs w:val="21"/>
              </w:rPr>
              <w:t>）</w:t>
            </w:r>
            <w:r>
              <w:rPr>
                <w:szCs w:val="21"/>
              </w:rPr>
              <w:t>。</w:t>
            </w:r>
          </w:p>
          <w:p w14:paraId="6AAA4BA8">
            <w:pPr>
              <w:spacing w:line="360" w:lineRule="auto"/>
              <w:ind w:firstLine="422" w:firstLineChars="200"/>
              <w:rPr>
                <w:kern w:val="0"/>
                <w:szCs w:val="21"/>
              </w:rPr>
            </w:pPr>
            <w:r>
              <w:rPr>
                <w:rFonts w:hint="eastAsia"/>
                <w:b/>
                <w:szCs w:val="21"/>
              </w:rPr>
              <w:t>烘干：</w:t>
            </w:r>
            <w:r>
              <w:rPr>
                <w:rFonts w:hAnsi="宋体"/>
                <w:kern w:val="0"/>
                <w:szCs w:val="21"/>
              </w:rPr>
              <w:t>为</w:t>
            </w:r>
            <w:r>
              <w:rPr>
                <w:rFonts w:hint="eastAsia" w:hAnsi="宋体"/>
                <w:kern w:val="0"/>
                <w:szCs w:val="21"/>
              </w:rPr>
              <w:t>去除</w:t>
            </w:r>
            <w:r>
              <w:rPr>
                <w:rFonts w:hAnsi="宋体"/>
                <w:kern w:val="0"/>
                <w:szCs w:val="21"/>
              </w:rPr>
              <w:t>工件表面的</w:t>
            </w:r>
            <w:r>
              <w:rPr>
                <w:rFonts w:hint="eastAsia" w:hAnsi="宋体"/>
                <w:kern w:val="0"/>
                <w:szCs w:val="21"/>
              </w:rPr>
              <w:t>水分</w:t>
            </w:r>
            <w:r>
              <w:rPr>
                <w:rFonts w:hAnsi="宋体"/>
                <w:kern w:val="0"/>
                <w:szCs w:val="21"/>
              </w:rPr>
              <w:t>，须将</w:t>
            </w:r>
            <w:r>
              <w:rPr>
                <w:rFonts w:hint="eastAsia" w:hAnsi="宋体"/>
                <w:kern w:val="0"/>
                <w:szCs w:val="21"/>
              </w:rPr>
              <w:t>清洗后的</w:t>
            </w:r>
            <w:r>
              <w:rPr>
                <w:rFonts w:hAnsi="宋体"/>
                <w:kern w:val="0"/>
                <w:szCs w:val="21"/>
              </w:rPr>
              <w:t>工件放入烘干炉中进行烘干，电加热，温度</w:t>
            </w:r>
            <w:r>
              <w:rPr>
                <w:kern w:val="0"/>
                <w:szCs w:val="21"/>
              </w:rPr>
              <w:t>110-120</w:t>
            </w:r>
            <w:r>
              <w:rPr>
                <w:rFonts w:hAnsi="宋体"/>
                <w:kern w:val="0"/>
                <w:szCs w:val="21"/>
              </w:rPr>
              <w:t>℃，时间约</w:t>
            </w:r>
            <w:r>
              <w:rPr>
                <w:rFonts w:hint="eastAsia"/>
                <w:kern w:val="0"/>
                <w:szCs w:val="21"/>
              </w:rPr>
              <w:t>10</w:t>
            </w:r>
            <w:r>
              <w:rPr>
                <w:rFonts w:hAnsi="宋体"/>
                <w:kern w:val="0"/>
                <w:szCs w:val="21"/>
              </w:rPr>
              <w:t>分钟。</w:t>
            </w:r>
          </w:p>
          <w:p w14:paraId="5644F7B6">
            <w:pPr>
              <w:tabs>
                <w:tab w:val="left" w:pos="2160"/>
              </w:tabs>
              <w:snapToGrid w:val="0"/>
              <w:spacing w:line="360" w:lineRule="auto"/>
              <w:ind w:firstLine="422" w:firstLineChars="200"/>
              <w:rPr>
                <w:szCs w:val="21"/>
              </w:rPr>
            </w:pPr>
            <w:r>
              <w:rPr>
                <w:rFonts w:hint="eastAsia"/>
                <w:b/>
                <w:szCs w:val="21"/>
              </w:rPr>
              <w:t>喷、浸、涂胶及干燥</w:t>
            </w:r>
            <w:r>
              <w:rPr>
                <w:b/>
                <w:szCs w:val="21"/>
              </w:rPr>
              <w:t>：</w:t>
            </w:r>
            <w:r>
              <w:rPr>
                <w:rFonts w:hint="eastAsia"/>
                <w:szCs w:val="21"/>
              </w:rPr>
              <w:t>为增加金属与橡胶的结合力，金属件需要作涂胶处理。对体积较大的金属件采用机械自动喷涂，体积较小的采用浸胶的方式处理，涂胶后的金属嵌件经烘干（电烘干，130℃左右）后备用，涂胶和干燥时有废气（G23</w:t>
            </w:r>
            <w:r>
              <w:rPr>
                <w:szCs w:val="21"/>
              </w:rPr>
              <w:t>’</w:t>
            </w:r>
            <w:r>
              <w:rPr>
                <w:rFonts w:hint="eastAsia"/>
                <w:szCs w:val="21"/>
              </w:rPr>
              <w:t>、G24</w:t>
            </w:r>
            <w:r>
              <w:rPr>
                <w:szCs w:val="21"/>
              </w:rPr>
              <w:t>’</w:t>
            </w:r>
            <w:r>
              <w:rPr>
                <w:rFonts w:hint="eastAsia"/>
                <w:szCs w:val="21"/>
              </w:rPr>
              <w:t>）产生。</w:t>
            </w:r>
          </w:p>
          <w:p w14:paraId="53B5BE8F">
            <w:pPr>
              <w:adjustRightInd w:val="0"/>
              <w:snapToGrid w:val="0"/>
              <w:spacing w:line="360" w:lineRule="auto"/>
              <w:ind w:firstLine="422" w:firstLineChars="200"/>
              <w:rPr>
                <w:szCs w:val="21"/>
              </w:rPr>
            </w:pPr>
            <w:r>
              <w:rPr>
                <w:rFonts w:hint="eastAsia"/>
                <w:b/>
                <w:szCs w:val="21"/>
              </w:rPr>
              <w:t>复合硫化成型：</w:t>
            </w:r>
            <w:r>
              <w:rPr>
                <w:rFonts w:hint="eastAsia"/>
                <w:szCs w:val="21"/>
              </w:rPr>
              <w:t>将混炼后的橡胶坯料和经</w:t>
            </w:r>
            <w:r>
              <w:rPr>
                <w:rFonts w:hint="eastAsia"/>
                <w:szCs w:val="21"/>
                <w:lang w:val="en-US" w:eastAsia="zh-CN"/>
              </w:rPr>
              <w:t>表面处理</w:t>
            </w:r>
            <w:r>
              <w:rPr>
                <w:rFonts w:hint="eastAsia"/>
                <w:szCs w:val="21"/>
              </w:rPr>
              <w:t>生产线涂胶处理后的金属件，采用加硫机注射成型（温度约为220～250℃</w:t>
            </w:r>
            <w:r>
              <w:rPr>
                <w:szCs w:val="21"/>
              </w:rPr>
              <w:t>，3分钟左右</w:t>
            </w:r>
            <w:r>
              <w:rPr>
                <w:rFonts w:hint="eastAsia"/>
                <w:szCs w:val="21"/>
              </w:rPr>
              <w:t>，橡胶不发生裂解）。自然冷却后使用密封性能测试设备和压缩空气，采用压降法测试产品密封性。此工序会产生硫化废气（G11</w:t>
            </w:r>
            <w:r>
              <w:rPr>
                <w:szCs w:val="21"/>
              </w:rPr>
              <w:t>’</w:t>
            </w:r>
            <w:r>
              <w:rPr>
                <w:rFonts w:hint="eastAsia"/>
                <w:szCs w:val="21"/>
              </w:rPr>
              <w:t>）</w:t>
            </w:r>
            <w:r>
              <w:rPr>
                <w:szCs w:val="21"/>
              </w:rPr>
              <w:t>。</w:t>
            </w:r>
          </w:p>
          <w:p w14:paraId="61E05B7D">
            <w:pPr>
              <w:adjustRightInd w:val="0"/>
              <w:snapToGrid w:val="0"/>
              <w:spacing w:line="360" w:lineRule="auto"/>
              <w:ind w:firstLine="420" w:firstLineChars="200"/>
              <w:rPr>
                <w:szCs w:val="21"/>
              </w:rPr>
            </w:pPr>
            <w:r>
              <w:rPr>
                <w:rFonts w:hint="eastAsia"/>
                <w:szCs w:val="21"/>
              </w:rPr>
              <w:t>本项目采用的加硫机有注射加硫机、平板硫化机、轨道开模真空加硫机、双掀真空加硫机等。主要区别为硫化加压方式不同、自动化程度、温度控制方法不同。注射加硫机工作原理：通过螺杆将混炼工艺之后的橡胶，按照预先设定好的计量，自动螺旋喂入贮料筒内，进行预塑化保温，然后再注射到模具的产品模腔内，加温硫化成型。</w:t>
            </w:r>
            <w:r>
              <w:rPr>
                <w:szCs w:val="21"/>
              </w:rPr>
              <w:t>平板硫化机</w:t>
            </w:r>
            <w:r>
              <w:rPr>
                <w:rFonts w:hint="eastAsia"/>
                <w:szCs w:val="21"/>
              </w:rPr>
              <w:t>工作原理：</w:t>
            </w:r>
            <w:r>
              <w:rPr>
                <w:szCs w:val="21"/>
              </w:rPr>
              <w:t>在工作时热板使胶料升温并使橡胶分子发生了交联，其结构由线型结构变成网状的体形结构，这是可获得具有一定物理机械性能的制品，但胶料受热后，开始变软，同时胶料内的水份及易挥发的物质要气化，这时依靠液压缸给以足够的压力使胶料充满模型，并限制气泡的生成，使制品组织结构密致。</w:t>
            </w:r>
            <w:r>
              <w:rPr>
                <w:rFonts w:hint="eastAsia"/>
                <w:szCs w:val="21"/>
              </w:rPr>
              <w:t>轨道开模真空加硫机工作原理：是一种具有自动开闭模具、自动进出模具、自动排气及计数、抽真空、自动控温控时并显示、预热及预热时间设定等功能，是一款现代化的平板加硫机。每种硫化机只是加工原理稍有不同，从而操作方法不同，但均可以加工目标产品。</w:t>
            </w:r>
          </w:p>
          <w:p w14:paraId="5F616510">
            <w:pPr>
              <w:tabs>
                <w:tab w:val="left" w:pos="0"/>
                <w:tab w:val="left" w:pos="2160"/>
              </w:tabs>
              <w:snapToGrid w:val="0"/>
              <w:spacing w:line="360" w:lineRule="auto"/>
              <w:ind w:firstLine="422" w:firstLineChars="200"/>
              <w:rPr>
                <w:szCs w:val="21"/>
              </w:rPr>
            </w:pPr>
            <w:r>
              <w:rPr>
                <w:rFonts w:hint="eastAsia"/>
                <w:b/>
                <w:szCs w:val="21"/>
              </w:rPr>
              <w:t>二次硫化：</w:t>
            </w:r>
            <w:r>
              <w:rPr>
                <w:szCs w:val="21"/>
              </w:rPr>
              <w:t>橡胶制品达到一定硫化程度，</w:t>
            </w:r>
            <w:r>
              <w:rPr>
                <w:rFonts w:hint="eastAsia"/>
                <w:szCs w:val="21"/>
              </w:rPr>
              <w:t>部分橡胶胚料</w:t>
            </w:r>
            <w:r>
              <w:rPr>
                <w:szCs w:val="21"/>
              </w:rPr>
              <w:t>除去热源继续进行加热硫化的工艺</w:t>
            </w:r>
            <w:r>
              <w:rPr>
                <w:rFonts w:hint="eastAsia"/>
                <w:szCs w:val="21"/>
              </w:rPr>
              <w:t>，该工艺在二次硫化机或者烘箱中进行</w:t>
            </w:r>
            <w:r>
              <w:rPr>
                <w:szCs w:val="21"/>
              </w:rPr>
              <w:t>。目的是橡胶制品进一步交联，改善橡胶制品的力学性能和压缩永久变形性能等</w:t>
            </w:r>
            <w:r>
              <w:rPr>
                <w:rFonts w:hint="eastAsia"/>
                <w:szCs w:val="21"/>
              </w:rPr>
              <w:t>。自然冷却后得到橡胶半成品，此工序会产生二次硫化废气（G12</w:t>
            </w:r>
            <w:r>
              <w:rPr>
                <w:szCs w:val="21"/>
              </w:rPr>
              <w:t>’</w:t>
            </w:r>
            <w:r>
              <w:rPr>
                <w:rFonts w:hint="eastAsia"/>
                <w:szCs w:val="21"/>
              </w:rPr>
              <w:t>）。</w:t>
            </w:r>
          </w:p>
          <w:p w14:paraId="4F62C1A9">
            <w:pPr>
              <w:tabs>
                <w:tab w:val="left" w:pos="0"/>
                <w:tab w:val="left" w:pos="2160"/>
              </w:tabs>
              <w:spacing w:line="360" w:lineRule="auto"/>
              <w:ind w:firstLine="422" w:firstLineChars="200"/>
              <w:rPr>
                <w:szCs w:val="21"/>
              </w:rPr>
            </w:pPr>
            <w:r>
              <w:rPr>
                <w:rFonts w:hint="eastAsia"/>
                <w:b/>
                <w:szCs w:val="21"/>
              </w:rPr>
              <w:t>切片、四氟成型：</w:t>
            </w:r>
            <w:r>
              <w:rPr>
                <w:rFonts w:hint="eastAsia"/>
                <w:szCs w:val="21"/>
              </w:rPr>
              <w:t>根据产品的不同要求，部分产品需要加入四氟片。通过数控车床将外购的四氟棒切割成四氟片，橡胶和</w:t>
            </w:r>
            <w:r>
              <w:rPr>
                <w:rFonts w:hint="eastAsia"/>
                <w:szCs w:val="21"/>
                <w:lang w:val="en-US" w:eastAsia="zh-CN"/>
              </w:rPr>
              <w:t>表面处理</w:t>
            </w:r>
            <w:r>
              <w:rPr>
                <w:rFonts w:hint="eastAsia"/>
                <w:szCs w:val="21"/>
              </w:rPr>
              <w:t>生产线涂胶后的金属件硫化成型为骨架密封圈、与经四氟成型机成型的四氟片、外购金属件经滚边机滚边后组合成成品。此工序会产生废边角料（S11</w:t>
            </w:r>
            <w:r>
              <w:rPr>
                <w:szCs w:val="21"/>
              </w:rPr>
              <w:t>’</w:t>
            </w:r>
            <w:r>
              <w:rPr>
                <w:rFonts w:hint="eastAsia"/>
                <w:szCs w:val="21"/>
              </w:rPr>
              <w:t>）和噪声（N11</w:t>
            </w:r>
            <w:r>
              <w:rPr>
                <w:szCs w:val="21"/>
              </w:rPr>
              <w:t>’</w:t>
            </w:r>
            <w:r>
              <w:rPr>
                <w:rFonts w:hint="eastAsia"/>
                <w:szCs w:val="21"/>
              </w:rPr>
              <w:t>、N12</w:t>
            </w:r>
            <w:r>
              <w:rPr>
                <w:szCs w:val="21"/>
              </w:rPr>
              <w:t>’</w:t>
            </w:r>
            <w:r>
              <w:rPr>
                <w:rFonts w:hint="eastAsia"/>
                <w:szCs w:val="21"/>
              </w:rPr>
              <w:t>）。</w:t>
            </w:r>
          </w:p>
          <w:p w14:paraId="47034646">
            <w:pPr>
              <w:adjustRightInd w:val="0"/>
              <w:snapToGrid w:val="0"/>
              <w:spacing w:line="360" w:lineRule="auto"/>
              <w:ind w:firstLine="422" w:firstLineChars="200"/>
              <w:rPr>
                <w:szCs w:val="21"/>
              </w:rPr>
            </w:pPr>
            <w:r>
              <w:rPr>
                <w:rFonts w:hint="eastAsia"/>
                <w:b/>
                <w:szCs w:val="21"/>
              </w:rPr>
              <w:t>切割、修整：</w:t>
            </w:r>
            <w:r>
              <w:rPr>
                <w:rFonts w:hint="eastAsia" w:ascii="宋体" w:hAnsi="宋体"/>
                <w:szCs w:val="21"/>
              </w:rPr>
              <w:t>对硫化成型产品或四氟成型产品</w:t>
            </w:r>
            <w:r>
              <w:rPr>
                <w:rFonts w:ascii="宋体" w:hAnsi="宋体"/>
                <w:szCs w:val="21"/>
              </w:rPr>
              <w:t>进行</w:t>
            </w:r>
            <w:r>
              <w:rPr>
                <w:rFonts w:hint="eastAsia" w:ascii="宋体" w:hAnsi="宋体"/>
                <w:szCs w:val="21"/>
              </w:rPr>
              <w:t>切割</w:t>
            </w:r>
            <w:r>
              <w:rPr>
                <w:rFonts w:hint="eastAsia"/>
                <w:szCs w:val="21"/>
              </w:rPr>
              <w:t>、</w:t>
            </w:r>
            <w:r>
              <w:rPr>
                <w:szCs w:val="21"/>
              </w:rPr>
              <w:t>修边整理</w:t>
            </w:r>
            <w:r>
              <w:rPr>
                <w:rFonts w:hint="eastAsia"/>
                <w:szCs w:val="21"/>
              </w:rPr>
              <w:t>，修边</w:t>
            </w:r>
            <w:r>
              <w:rPr>
                <w:rFonts w:hint="eastAsia" w:ascii="宋体" w:hAnsi="宋体"/>
                <w:szCs w:val="21"/>
              </w:rPr>
              <w:t>采用人工精选、气压去毛边或冷冻去边。</w:t>
            </w:r>
            <w:r>
              <w:rPr>
                <w:rFonts w:hint="eastAsia"/>
                <w:szCs w:val="21"/>
              </w:rPr>
              <w:t>此工序会产生废边角料（S12</w:t>
            </w:r>
            <w:r>
              <w:rPr>
                <w:szCs w:val="21"/>
              </w:rPr>
              <w:t>’</w:t>
            </w:r>
            <w:r>
              <w:rPr>
                <w:rFonts w:hint="eastAsia"/>
                <w:szCs w:val="21"/>
              </w:rPr>
              <w:t>）和噪声（N13</w:t>
            </w:r>
            <w:r>
              <w:rPr>
                <w:szCs w:val="21"/>
              </w:rPr>
              <w:t>’</w:t>
            </w:r>
            <w:r>
              <w:rPr>
                <w:rFonts w:hint="eastAsia"/>
                <w:szCs w:val="21"/>
              </w:rPr>
              <w:t>）。</w:t>
            </w:r>
          </w:p>
          <w:p w14:paraId="160BC9A0">
            <w:pPr>
              <w:tabs>
                <w:tab w:val="left" w:pos="0"/>
                <w:tab w:val="left" w:pos="2160"/>
              </w:tabs>
              <w:snapToGrid w:val="0"/>
              <w:spacing w:line="360" w:lineRule="auto"/>
              <w:ind w:firstLine="422" w:firstLineChars="200"/>
              <w:rPr>
                <w:b/>
                <w:szCs w:val="21"/>
              </w:rPr>
            </w:pPr>
            <w:r>
              <w:rPr>
                <w:rFonts w:hint="eastAsia"/>
                <w:b/>
                <w:szCs w:val="21"/>
              </w:rPr>
              <w:t>检验包装：</w:t>
            </w:r>
            <w:r>
              <w:rPr>
                <w:rFonts w:hint="eastAsia"/>
                <w:szCs w:val="21"/>
              </w:rPr>
              <w:t>对产品进行物性试验、尺寸检验、扭力试验、高低温试验等，检验合格后</w:t>
            </w:r>
            <w:r>
              <w:rPr>
                <w:szCs w:val="21"/>
              </w:rPr>
              <w:t>包装入库。</w:t>
            </w:r>
          </w:p>
          <w:p w14:paraId="41D375A7">
            <w:pPr>
              <w:pStyle w:val="39"/>
              <w:ind w:firstLine="422"/>
            </w:pPr>
            <w:r>
              <w:rPr>
                <w:rFonts w:hint="eastAsia"/>
                <w:b/>
                <w:bCs/>
              </w:rPr>
              <w:t>（2）</w:t>
            </w:r>
            <w:r>
              <w:rPr>
                <w:b/>
                <w:bCs/>
              </w:rPr>
              <w:t>模具</w:t>
            </w:r>
            <w:r>
              <w:rPr>
                <w:rFonts w:hint="eastAsia"/>
                <w:b/>
                <w:bCs/>
              </w:rPr>
              <w:t>维护</w:t>
            </w:r>
          </w:p>
          <w:p w14:paraId="340713B9">
            <w:pPr>
              <w:pStyle w:val="39"/>
            </w:pPr>
            <w:r>
              <w:rPr>
                <w:rFonts w:hint="eastAsia"/>
              </w:rPr>
              <w:t>新能源汽车配套橡胶功能件</w:t>
            </w:r>
            <w:r>
              <w:t>生产过程中需根据产品尺寸、规格要求对设备更换不同模具，为确保模具的精度和寿命、保证生产效率及产品质量等需对使用后的模具定期进行维护、保养，</w:t>
            </w:r>
            <w:r>
              <w:rPr>
                <w:rFonts w:hint="eastAsia"/>
              </w:rPr>
              <w:t>检修过程主要采取以下方式：</w:t>
            </w:r>
          </w:p>
          <w:p w14:paraId="40D1660B">
            <w:pPr>
              <w:pStyle w:val="39"/>
              <w:ind w:firstLine="422"/>
            </w:pPr>
            <w:r>
              <w:rPr>
                <w:rFonts w:hint="eastAsia"/>
                <w:b/>
                <w:bCs/>
              </w:rPr>
              <w:t>机加工：</w:t>
            </w:r>
            <w:r>
              <w:rPr>
                <w:rFonts w:hint="eastAsia"/>
              </w:rPr>
              <w:t>模具</w:t>
            </w:r>
            <w:r>
              <w:t>检修过程主要采用加工中心</w:t>
            </w:r>
            <w:r>
              <w:rPr>
                <w:rFonts w:hint="eastAsia"/>
              </w:rPr>
              <w:t>和精雕机</w:t>
            </w:r>
            <w:r>
              <w:t>进行简单机加工调整模具精度</w:t>
            </w:r>
            <w:r>
              <w:rPr>
                <w:rFonts w:hint="eastAsia"/>
              </w:rPr>
              <w:t>，该过程采用切削液进行湿法加工</w:t>
            </w:r>
            <w:r>
              <w:t>。在模具检修维护过程中将产生金属边角料、</w:t>
            </w:r>
            <w:r>
              <w:rPr>
                <w:rFonts w:hint="eastAsia"/>
              </w:rPr>
              <w:t>废切削液和</w:t>
            </w:r>
            <w:r>
              <w:t>噪声。</w:t>
            </w:r>
          </w:p>
          <w:p w14:paraId="75F462FA">
            <w:pPr>
              <w:numPr>
                <w:ilvl w:val="2"/>
                <w:numId w:val="0"/>
              </w:numPr>
              <w:tabs>
                <w:tab w:val="left" w:pos="2126"/>
              </w:tabs>
              <w:adjustRightInd w:val="0"/>
              <w:snapToGrid w:val="0"/>
              <w:spacing w:line="360" w:lineRule="auto"/>
              <w:ind w:firstLine="422" w:firstLineChars="200"/>
              <w:rPr>
                <w:bCs/>
                <w:szCs w:val="21"/>
              </w:rPr>
            </w:pPr>
            <w:r>
              <w:rPr>
                <w:rFonts w:hint="eastAsia"/>
                <w:b/>
                <w:bCs/>
              </w:rPr>
              <w:t>定期</w:t>
            </w:r>
            <w:r>
              <w:rPr>
                <w:b/>
                <w:bCs/>
              </w:rPr>
              <w:t>清洗：</w:t>
            </w:r>
            <w:r>
              <w:rPr>
                <w:rFonts w:hint="eastAsia"/>
                <w:bCs/>
                <w:szCs w:val="21"/>
              </w:rPr>
              <w:t>为提高模具表面洁净度需定期对模具进行清洗，1#车间有1条模具清洗线，模具依次经过碱洗浸洗、清水浸洗、高压清洗或清洗剂喷淋洗、高压清洗；4#车间有2条模具清洗线，模具依次经过碱洗浸洗、清水浸洗、高压冲洗。清洗在常温下进行，清洗过程碱洗槽需添加片碱，片碱与水的配比为1：12，清洗剂喷淋洗需添加清洗剂，主要成分为氢氧化钠、苛性钾、聚醚多元醇及</w:t>
            </w:r>
            <w:r>
              <w:rPr>
                <w:rFonts w:hint="eastAsia"/>
                <w:szCs w:val="21"/>
              </w:rPr>
              <w:t>乙二胺四乙酸</w:t>
            </w:r>
            <w:r>
              <w:rPr>
                <w:rFonts w:hint="eastAsia"/>
                <w:bCs/>
                <w:szCs w:val="21"/>
              </w:rPr>
              <w:t>，清洗剂与水配比为1：10。</w:t>
            </w:r>
          </w:p>
          <w:p w14:paraId="308A00AB">
            <w:pPr>
              <w:numPr>
                <w:ilvl w:val="2"/>
                <w:numId w:val="0"/>
              </w:numPr>
              <w:tabs>
                <w:tab w:val="left" w:pos="2126"/>
              </w:tabs>
              <w:adjustRightInd w:val="0"/>
              <w:snapToGrid w:val="0"/>
              <w:spacing w:line="360" w:lineRule="auto"/>
              <w:ind w:firstLine="420" w:firstLineChars="200"/>
              <w:rPr>
                <w:bCs/>
                <w:szCs w:val="21"/>
              </w:rPr>
            </w:pPr>
            <w:r>
              <w:rPr>
                <w:rFonts w:hint="eastAsia"/>
                <w:bCs/>
                <w:szCs w:val="21"/>
              </w:rPr>
              <w:t>共设置4个碱洗槽，容积分别为0.46m</w:t>
            </w:r>
            <w:r>
              <w:rPr>
                <w:rFonts w:hint="eastAsia"/>
                <w:bCs/>
                <w:szCs w:val="21"/>
                <w:vertAlign w:val="superscript"/>
              </w:rPr>
              <w:t>3</w:t>
            </w:r>
            <w:r>
              <w:rPr>
                <w:rFonts w:hint="eastAsia"/>
                <w:bCs/>
                <w:szCs w:val="21"/>
              </w:rPr>
              <w:t>、0.46m</w:t>
            </w:r>
            <w:r>
              <w:rPr>
                <w:rFonts w:hint="eastAsia"/>
                <w:bCs/>
                <w:szCs w:val="21"/>
                <w:vertAlign w:val="superscript"/>
              </w:rPr>
              <w:t>3</w:t>
            </w:r>
            <w:r>
              <w:rPr>
                <w:rFonts w:hint="eastAsia"/>
                <w:bCs/>
                <w:szCs w:val="21"/>
              </w:rPr>
              <w:t>、0.44m</w:t>
            </w:r>
            <w:r>
              <w:rPr>
                <w:rFonts w:hint="eastAsia"/>
                <w:bCs/>
                <w:szCs w:val="21"/>
                <w:vertAlign w:val="superscript"/>
              </w:rPr>
              <w:t>3</w:t>
            </w:r>
            <w:r>
              <w:rPr>
                <w:rFonts w:hint="eastAsia"/>
                <w:bCs/>
                <w:szCs w:val="21"/>
              </w:rPr>
              <w:t>、0.36m</w:t>
            </w:r>
            <w:r>
              <w:rPr>
                <w:rFonts w:hint="eastAsia"/>
                <w:bCs/>
                <w:szCs w:val="21"/>
                <w:vertAlign w:val="superscript"/>
              </w:rPr>
              <w:t>3</w:t>
            </w:r>
            <w:r>
              <w:rPr>
                <w:rFonts w:hint="eastAsia"/>
                <w:bCs/>
                <w:szCs w:val="21"/>
              </w:rPr>
              <w:t>，每月更换一次，配置用水消耗量为20.6m</w:t>
            </w:r>
            <w:r>
              <w:rPr>
                <w:rFonts w:hint="eastAsia"/>
                <w:bCs/>
                <w:szCs w:val="21"/>
                <w:vertAlign w:val="superscript"/>
              </w:rPr>
              <w:t>3</w:t>
            </w:r>
            <w:r>
              <w:rPr>
                <w:rFonts w:hint="eastAsia"/>
                <w:bCs/>
                <w:szCs w:val="21"/>
              </w:rPr>
              <w:t>/a，损耗量为10%，则产生18.5m</w:t>
            </w:r>
            <w:r>
              <w:rPr>
                <w:rFonts w:hint="eastAsia"/>
                <w:bCs/>
                <w:szCs w:val="21"/>
                <w:vertAlign w:val="superscript"/>
              </w:rPr>
              <w:t>3</w:t>
            </w:r>
            <w:r>
              <w:rPr>
                <w:rFonts w:hint="eastAsia"/>
                <w:bCs/>
                <w:szCs w:val="21"/>
              </w:rPr>
              <w:t>/a清洗废水，进污水处理站处理。共设置3个清水槽，容积分别为0.46m</w:t>
            </w:r>
            <w:r>
              <w:rPr>
                <w:rFonts w:hint="eastAsia"/>
                <w:bCs/>
                <w:szCs w:val="21"/>
                <w:vertAlign w:val="superscript"/>
              </w:rPr>
              <w:t>3</w:t>
            </w:r>
            <w:r>
              <w:rPr>
                <w:rFonts w:hint="eastAsia"/>
                <w:bCs/>
                <w:szCs w:val="21"/>
              </w:rPr>
              <w:t>、0.44m</w:t>
            </w:r>
            <w:r>
              <w:rPr>
                <w:rFonts w:hint="eastAsia"/>
                <w:bCs/>
                <w:szCs w:val="21"/>
                <w:vertAlign w:val="superscript"/>
              </w:rPr>
              <w:t>3</w:t>
            </w:r>
            <w:r>
              <w:rPr>
                <w:rFonts w:hint="eastAsia"/>
                <w:bCs/>
                <w:szCs w:val="21"/>
              </w:rPr>
              <w:t>、0.36m</w:t>
            </w:r>
            <w:r>
              <w:rPr>
                <w:rFonts w:hint="eastAsia"/>
                <w:bCs/>
                <w:szCs w:val="21"/>
                <w:vertAlign w:val="superscript"/>
              </w:rPr>
              <w:t>3</w:t>
            </w:r>
            <w:r>
              <w:rPr>
                <w:rFonts w:hint="eastAsia"/>
                <w:bCs/>
                <w:szCs w:val="21"/>
              </w:rPr>
              <w:t>，每月更换一次，用水消耗量为15.1m</w:t>
            </w:r>
            <w:r>
              <w:rPr>
                <w:rFonts w:hint="eastAsia"/>
                <w:bCs/>
                <w:szCs w:val="21"/>
                <w:vertAlign w:val="superscript"/>
              </w:rPr>
              <w:t>3</w:t>
            </w:r>
            <w:r>
              <w:rPr>
                <w:rFonts w:hint="eastAsia"/>
                <w:bCs/>
                <w:szCs w:val="21"/>
              </w:rPr>
              <w:t>/a，损耗量为10%，则产生13.6m</w:t>
            </w:r>
            <w:r>
              <w:rPr>
                <w:rFonts w:hint="eastAsia"/>
                <w:bCs/>
                <w:szCs w:val="21"/>
                <w:vertAlign w:val="superscript"/>
              </w:rPr>
              <w:t>3</w:t>
            </w:r>
            <w:r>
              <w:rPr>
                <w:rFonts w:hint="eastAsia"/>
                <w:bCs/>
                <w:szCs w:val="21"/>
              </w:rPr>
              <w:t>/a清洗废水，进污水处理站处理。清洗剂喷淋洗配置用水量为30m</w:t>
            </w:r>
            <w:r>
              <w:rPr>
                <w:rFonts w:hint="eastAsia"/>
                <w:bCs/>
                <w:szCs w:val="21"/>
                <w:vertAlign w:val="superscript"/>
              </w:rPr>
              <w:t>3</w:t>
            </w:r>
            <w:r>
              <w:rPr>
                <w:rFonts w:hint="eastAsia"/>
                <w:bCs/>
                <w:szCs w:val="21"/>
              </w:rPr>
              <w:t>/a，损耗量为10%，则产生27m</w:t>
            </w:r>
            <w:r>
              <w:rPr>
                <w:rFonts w:hint="eastAsia"/>
                <w:bCs/>
                <w:szCs w:val="21"/>
                <w:vertAlign w:val="superscript"/>
              </w:rPr>
              <w:t>3</w:t>
            </w:r>
            <w:r>
              <w:rPr>
                <w:rFonts w:hint="eastAsia"/>
                <w:bCs/>
                <w:szCs w:val="21"/>
              </w:rPr>
              <w:t>/a清洗废水，进污水处理站处理。高压冲洗用水量为150m</w:t>
            </w:r>
            <w:r>
              <w:rPr>
                <w:rFonts w:hint="eastAsia"/>
                <w:bCs/>
                <w:szCs w:val="21"/>
                <w:vertAlign w:val="superscript"/>
              </w:rPr>
              <w:t>3</w:t>
            </w:r>
            <w:r>
              <w:rPr>
                <w:rFonts w:hint="eastAsia"/>
                <w:bCs/>
                <w:szCs w:val="21"/>
              </w:rPr>
              <w:t>/a，损耗量为10%，则产生135m</w:t>
            </w:r>
            <w:r>
              <w:rPr>
                <w:rFonts w:hint="eastAsia"/>
                <w:bCs/>
                <w:szCs w:val="21"/>
                <w:vertAlign w:val="superscript"/>
              </w:rPr>
              <w:t>3</w:t>
            </w:r>
            <w:r>
              <w:rPr>
                <w:rFonts w:hint="eastAsia"/>
                <w:bCs/>
                <w:szCs w:val="21"/>
              </w:rPr>
              <w:t>/a清洗废水，进污水处理站处理。</w:t>
            </w:r>
          </w:p>
          <w:p w14:paraId="5ED9FB43">
            <w:pPr>
              <w:numPr>
                <w:ilvl w:val="2"/>
                <w:numId w:val="0"/>
              </w:numPr>
              <w:tabs>
                <w:tab w:val="left" w:pos="2126"/>
              </w:tabs>
              <w:adjustRightInd w:val="0"/>
              <w:snapToGrid w:val="0"/>
              <w:spacing w:line="360" w:lineRule="auto"/>
              <w:ind w:firstLine="420" w:firstLineChars="200"/>
              <w:rPr>
                <w:bCs/>
                <w:szCs w:val="21"/>
              </w:rPr>
            </w:pPr>
            <w:r>
              <w:rPr>
                <w:rFonts w:hint="eastAsia"/>
                <w:bCs/>
                <w:szCs w:val="21"/>
              </w:rPr>
              <w:t>则模具清洗线拢共年用水量为215.7m</w:t>
            </w:r>
            <w:r>
              <w:rPr>
                <w:rFonts w:hint="eastAsia"/>
                <w:bCs/>
                <w:szCs w:val="21"/>
                <w:vertAlign w:val="superscript"/>
              </w:rPr>
              <w:t>3</w:t>
            </w:r>
            <w:r>
              <w:rPr>
                <w:rFonts w:hint="eastAsia"/>
                <w:bCs/>
                <w:szCs w:val="21"/>
              </w:rPr>
              <w:t>/a，损耗量为10%，则清洗废水产生量为194.1m</w:t>
            </w:r>
            <w:r>
              <w:rPr>
                <w:rFonts w:hint="eastAsia"/>
                <w:bCs/>
                <w:szCs w:val="21"/>
                <w:vertAlign w:val="superscript"/>
              </w:rPr>
              <w:t>3</w:t>
            </w:r>
            <w:r>
              <w:rPr>
                <w:rFonts w:hint="eastAsia"/>
                <w:bCs/>
                <w:szCs w:val="21"/>
              </w:rPr>
              <w:t>/a进污水处理站处理后回用于生产。</w:t>
            </w:r>
          </w:p>
          <w:p w14:paraId="785EA39F">
            <w:pPr>
              <w:pStyle w:val="39"/>
            </w:pPr>
            <w:r>
              <w:t>拟扩建项目产污环节一览表见表2-7</w:t>
            </w:r>
            <w:r>
              <w:rPr>
                <w:rFonts w:hint="eastAsia"/>
              </w:rPr>
              <w:t>。</w:t>
            </w:r>
          </w:p>
          <w:p w14:paraId="79A3B8C6">
            <w:pPr>
              <w:pStyle w:val="39"/>
              <w:spacing w:line="240" w:lineRule="auto"/>
              <w:ind w:firstLine="0" w:firstLineChars="0"/>
              <w:jc w:val="center"/>
            </w:pPr>
            <w:r>
              <w:rPr>
                <w:b/>
                <w:bCs/>
              </w:rPr>
              <w:t>表2-7  产污环节一览表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73"/>
              <w:gridCol w:w="1147"/>
              <w:gridCol w:w="2241"/>
              <w:gridCol w:w="4428"/>
            </w:tblGrid>
            <w:tr w14:paraId="4CDEEC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24" w:type="dxa"/>
                  <w:gridSpan w:val="2"/>
                  <w:vAlign w:val="center"/>
                </w:tcPr>
                <w:p w14:paraId="7C7BC381">
                  <w:pPr>
                    <w:adjustRightInd w:val="0"/>
                    <w:snapToGrid w:val="0"/>
                    <w:jc w:val="center"/>
                    <w:rPr>
                      <w:b/>
                      <w:szCs w:val="21"/>
                    </w:rPr>
                  </w:pPr>
                  <w:r>
                    <w:rPr>
                      <w:b/>
                      <w:szCs w:val="21"/>
                    </w:rPr>
                    <w:t>污染源</w:t>
                  </w:r>
                </w:p>
              </w:tc>
              <w:tc>
                <w:tcPr>
                  <w:tcW w:w="2250" w:type="dxa"/>
                  <w:vAlign w:val="center"/>
                </w:tcPr>
                <w:p w14:paraId="5058B165">
                  <w:pPr>
                    <w:adjustRightInd w:val="0"/>
                    <w:snapToGrid w:val="0"/>
                    <w:jc w:val="center"/>
                    <w:rPr>
                      <w:b/>
                      <w:szCs w:val="21"/>
                    </w:rPr>
                  </w:pPr>
                  <w:r>
                    <w:rPr>
                      <w:b/>
                      <w:szCs w:val="21"/>
                    </w:rPr>
                    <w:t>产污环节</w:t>
                  </w:r>
                </w:p>
              </w:tc>
              <w:tc>
                <w:tcPr>
                  <w:tcW w:w="4444" w:type="dxa"/>
                  <w:vAlign w:val="center"/>
                </w:tcPr>
                <w:p w14:paraId="6892322A">
                  <w:pPr>
                    <w:adjustRightInd w:val="0"/>
                    <w:snapToGrid w:val="0"/>
                    <w:jc w:val="center"/>
                    <w:rPr>
                      <w:b/>
                      <w:szCs w:val="21"/>
                    </w:rPr>
                  </w:pPr>
                  <w:r>
                    <w:rPr>
                      <w:b/>
                      <w:szCs w:val="21"/>
                    </w:rPr>
                    <w:t>主要污染物</w:t>
                  </w:r>
                </w:p>
              </w:tc>
            </w:tr>
            <w:tr w14:paraId="752ED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restart"/>
                  <w:vAlign w:val="center"/>
                </w:tcPr>
                <w:p w14:paraId="1C1A9C65">
                  <w:pPr>
                    <w:adjustRightInd w:val="0"/>
                    <w:snapToGrid w:val="0"/>
                    <w:jc w:val="center"/>
                    <w:rPr>
                      <w:bCs/>
                      <w:szCs w:val="21"/>
                    </w:rPr>
                  </w:pPr>
                  <w:r>
                    <w:rPr>
                      <w:bCs/>
                      <w:szCs w:val="21"/>
                    </w:rPr>
                    <w:t>废气</w:t>
                  </w:r>
                </w:p>
              </w:tc>
              <w:tc>
                <w:tcPr>
                  <w:tcW w:w="1150" w:type="dxa"/>
                  <w:vAlign w:val="center"/>
                </w:tcPr>
                <w:p w14:paraId="67760065">
                  <w:pPr>
                    <w:adjustRightInd w:val="0"/>
                    <w:snapToGrid w:val="0"/>
                    <w:jc w:val="center"/>
                    <w:rPr>
                      <w:bCs/>
                      <w:szCs w:val="21"/>
                    </w:rPr>
                  </w:pPr>
                  <w:bookmarkStart w:id="67" w:name="OLE_LINK153"/>
                  <w:bookmarkStart w:id="68" w:name="OLE_LINK152"/>
                  <w:r>
                    <w:rPr>
                      <w:bCs/>
                      <w:szCs w:val="21"/>
                    </w:rPr>
                    <w:t>G</w:t>
                  </w:r>
                  <w:r>
                    <w:rPr>
                      <w:rFonts w:hint="eastAsia"/>
                      <w:bCs/>
                      <w:szCs w:val="21"/>
                    </w:rPr>
                    <w:t>2</w:t>
                  </w:r>
                  <w:r>
                    <w:rPr>
                      <w:bCs/>
                      <w:szCs w:val="21"/>
                    </w:rPr>
                    <w:t>1’</w:t>
                  </w:r>
                  <w:bookmarkEnd w:id="67"/>
                  <w:bookmarkEnd w:id="68"/>
                </w:p>
              </w:tc>
              <w:tc>
                <w:tcPr>
                  <w:tcW w:w="2250" w:type="dxa"/>
                  <w:vAlign w:val="center"/>
                </w:tcPr>
                <w:p w14:paraId="421D8861">
                  <w:pPr>
                    <w:adjustRightInd w:val="0"/>
                    <w:snapToGrid w:val="0"/>
                    <w:jc w:val="center"/>
                    <w:rPr>
                      <w:bCs/>
                      <w:szCs w:val="21"/>
                    </w:rPr>
                  </w:pPr>
                  <w:r>
                    <w:rPr>
                      <w:rFonts w:hint="eastAsia"/>
                      <w:bCs/>
                      <w:szCs w:val="21"/>
                    </w:rPr>
                    <w:t>抛丸/喷砂</w:t>
                  </w:r>
                </w:p>
              </w:tc>
              <w:tc>
                <w:tcPr>
                  <w:tcW w:w="4444" w:type="dxa"/>
                  <w:vAlign w:val="center"/>
                </w:tcPr>
                <w:p w14:paraId="2944C6B3">
                  <w:pPr>
                    <w:adjustRightInd w:val="0"/>
                    <w:snapToGrid w:val="0"/>
                    <w:jc w:val="center"/>
                    <w:rPr>
                      <w:bCs/>
                      <w:szCs w:val="21"/>
                    </w:rPr>
                  </w:pPr>
                  <w:r>
                    <w:rPr>
                      <w:rFonts w:hint="eastAsia"/>
                      <w:bCs/>
                      <w:szCs w:val="21"/>
                    </w:rPr>
                    <w:t>颗粒物</w:t>
                  </w:r>
                </w:p>
              </w:tc>
            </w:tr>
            <w:tr w14:paraId="181B6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017CD941">
                  <w:pPr>
                    <w:adjustRightInd w:val="0"/>
                    <w:snapToGrid w:val="0"/>
                    <w:jc w:val="center"/>
                    <w:rPr>
                      <w:bCs/>
                      <w:szCs w:val="21"/>
                    </w:rPr>
                  </w:pPr>
                </w:p>
              </w:tc>
              <w:tc>
                <w:tcPr>
                  <w:tcW w:w="1150" w:type="dxa"/>
                  <w:vAlign w:val="center"/>
                </w:tcPr>
                <w:p w14:paraId="6D2AF31F">
                  <w:pPr>
                    <w:adjustRightInd w:val="0"/>
                    <w:snapToGrid w:val="0"/>
                    <w:jc w:val="center"/>
                    <w:rPr>
                      <w:bCs/>
                      <w:szCs w:val="21"/>
                    </w:rPr>
                  </w:pPr>
                  <w:bookmarkStart w:id="69" w:name="OLE_LINK149"/>
                  <w:bookmarkStart w:id="70" w:name="OLE_LINK148"/>
                  <w:r>
                    <w:rPr>
                      <w:rFonts w:hint="eastAsia"/>
                      <w:bCs/>
                      <w:szCs w:val="21"/>
                    </w:rPr>
                    <w:t>G22</w:t>
                  </w:r>
                  <w:r>
                    <w:rPr>
                      <w:bCs/>
                      <w:szCs w:val="21"/>
                    </w:rPr>
                    <w:t>’</w:t>
                  </w:r>
                  <w:bookmarkEnd w:id="69"/>
                  <w:bookmarkEnd w:id="70"/>
                </w:p>
              </w:tc>
              <w:tc>
                <w:tcPr>
                  <w:tcW w:w="2250" w:type="dxa"/>
                  <w:vAlign w:val="center"/>
                </w:tcPr>
                <w:p w14:paraId="6D3FAFF6">
                  <w:pPr>
                    <w:adjustRightInd w:val="0"/>
                    <w:snapToGrid w:val="0"/>
                    <w:jc w:val="center"/>
                    <w:rPr>
                      <w:bCs/>
                      <w:szCs w:val="21"/>
                    </w:rPr>
                  </w:pPr>
                  <w:r>
                    <w:rPr>
                      <w:rFonts w:hint="eastAsia"/>
                      <w:bCs/>
                      <w:szCs w:val="21"/>
                    </w:rPr>
                    <w:t>喷浸涂胶</w:t>
                  </w:r>
                </w:p>
              </w:tc>
              <w:tc>
                <w:tcPr>
                  <w:tcW w:w="4444" w:type="dxa"/>
                  <w:vAlign w:val="center"/>
                </w:tcPr>
                <w:p w14:paraId="545F7CAC">
                  <w:pPr>
                    <w:adjustRightInd w:val="0"/>
                    <w:snapToGrid w:val="0"/>
                    <w:jc w:val="center"/>
                    <w:rPr>
                      <w:bCs/>
                      <w:szCs w:val="21"/>
                    </w:rPr>
                  </w:pPr>
                  <w:r>
                    <w:rPr>
                      <w:bCs/>
                      <w:szCs w:val="21"/>
                    </w:rPr>
                    <w:t>非甲烷总烃</w:t>
                  </w:r>
                </w:p>
              </w:tc>
            </w:tr>
            <w:tr w14:paraId="411C02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615129B6">
                  <w:pPr>
                    <w:adjustRightInd w:val="0"/>
                    <w:snapToGrid w:val="0"/>
                    <w:jc w:val="center"/>
                    <w:rPr>
                      <w:bCs/>
                      <w:szCs w:val="21"/>
                    </w:rPr>
                  </w:pPr>
                </w:p>
              </w:tc>
              <w:tc>
                <w:tcPr>
                  <w:tcW w:w="1150" w:type="dxa"/>
                  <w:vAlign w:val="center"/>
                </w:tcPr>
                <w:p w14:paraId="30758D77">
                  <w:pPr>
                    <w:adjustRightInd w:val="0"/>
                    <w:snapToGrid w:val="0"/>
                    <w:jc w:val="center"/>
                    <w:rPr>
                      <w:bCs/>
                      <w:szCs w:val="21"/>
                    </w:rPr>
                  </w:pPr>
                  <w:bookmarkStart w:id="71" w:name="OLE_LINK151"/>
                  <w:bookmarkStart w:id="72" w:name="OLE_LINK150"/>
                  <w:r>
                    <w:rPr>
                      <w:rFonts w:hint="eastAsia"/>
                      <w:bCs/>
                      <w:szCs w:val="21"/>
                    </w:rPr>
                    <w:t>G23</w:t>
                  </w:r>
                  <w:r>
                    <w:rPr>
                      <w:bCs/>
                      <w:szCs w:val="21"/>
                    </w:rPr>
                    <w:t>’</w:t>
                  </w:r>
                  <w:bookmarkEnd w:id="71"/>
                  <w:bookmarkEnd w:id="72"/>
                </w:p>
              </w:tc>
              <w:tc>
                <w:tcPr>
                  <w:tcW w:w="2250" w:type="dxa"/>
                  <w:vAlign w:val="center"/>
                </w:tcPr>
                <w:p w14:paraId="4BCE41F4">
                  <w:pPr>
                    <w:adjustRightInd w:val="0"/>
                    <w:snapToGrid w:val="0"/>
                    <w:jc w:val="center"/>
                    <w:rPr>
                      <w:bCs/>
                      <w:szCs w:val="21"/>
                    </w:rPr>
                  </w:pPr>
                  <w:r>
                    <w:rPr>
                      <w:rFonts w:hint="eastAsia"/>
                      <w:bCs/>
                      <w:szCs w:val="21"/>
                    </w:rPr>
                    <w:t>干燥</w:t>
                  </w:r>
                </w:p>
              </w:tc>
              <w:tc>
                <w:tcPr>
                  <w:tcW w:w="4444" w:type="dxa"/>
                  <w:vAlign w:val="center"/>
                </w:tcPr>
                <w:p w14:paraId="6533EED2">
                  <w:pPr>
                    <w:adjustRightInd w:val="0"/>
                    <w:snapToGrid w:val="0"/>
                    <w:jc w:val="center"/>
                    <w:rPr>
                      <w:bCs/>
                      <w:szCs w:val="21"/>
                    </w:rPr>
                  </w:pPr>
                  <w:r>
                    <w:rPr>
                      <w:bCs/>
                      <w:szCs w:val="21"/>
                    </w:rPr>
                    <w:t>非甲烷总烃</w:t>
                  </w:r>
                </w:p>
              </w:tc>
            </w:tr>
            <w:tr w14:paraId="1946F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1C9597D5">
                  <w:pPr>
                    <w:adjustRightInd w:val="0"/>
                    <w:snapToGrid w:val="0"/>
                    <w:jc w:val="center"/>
                    <w:rPr>
                      <w:bCs/>
                      <w:szCs w:val="21"/>
                    </w:rPr>
                  </w:pPr>
                </w:p>
              </w:tc>
              <w:tc>
                <w:tcPr>
                  <w:tcW w:w="1150" w:type="dxa"/>
                  <w:vAlign w:val="center"/>
                </w:tcPr>
                <w:p w14:paraId="104CFF58">
                  <w:pPr>
                    <w:adjustRightInd w:val="0"/>
                    <w:snapToGrid w:val="0"/>
                    <w:jc w:val="center"/>
                    <w:rPr>
                      <w:bCs/>
                      <w:szCs w:val="21"/>
                    </w:rPr>
                  </w:pPr>
                  <w:bookmarkStart w:id="73" w:name="OLE_LINK137"/>
                  <w:bookmarkStart w:id="74" w:name="OLE_LINK138"/>
                  <w:r>
                    <w:rPr>
                      <w:bCs/>
                      <w:szCs w:val="21"/>
                    </w:rPr>
                    <w:t>G</w:t>
                  </w:r>
                  <w:r>
                    <w:rPr>
                      <w:rFonts w:hint="eastAsia"/>
                      <w:bCs/>
                      <w:szCs w:val="21"/>
                    </w:rPr>
                    <w:t>31</w:t>
                  </w:r>
                  <w:r>
                    <w:rPr>
                      <w:bCs/>
                      <w:szCs w:val="21"/>
                    </w:rPr>
                    <w:t>’</w:t>
                  </w:r>
                  <w:bookmarkEnd w:id="73"/>
                  <w:bookmarkEnd w:id="74"/>
                </w:p>
              </w:tc>
              <w:tc>
                <w:tcPr>
                  <w:tcW w:w="2250" w:type="dxa"/>
                  <w:vAlign w:val="center"/>
                </w:tcPr>
                <w:p w14:paraId="3572EFB9">
                  <w:pPr>
                    <w:adjustRightInd w:val="0"/>
                    <w:snapToGrid w:val="0"/>
                    <w:jc w:val="center"/>
                    <w:rPr>
                      <w:bCs/>
                      <w:szCs w:val="21"/>
                    </w:rPr>
                  </w:pPr>
                  <w:r>
                    <w:rPr>
                      <w:rFonts w:hint="eastAsia"/>
                      <w:bCs/>
                      <w:szCs w:val="21"/>
                    </w:rPr>
                    <w:t>配料</w:t>
                  </w:r>
                </w:p>
              </w:tc>
              <w:tc>
                <w:tcPr>
                  <w:tcW w:w="4444" w:type="dxa"/>
                  <w:vAlign w:val="center"/>
                </w:tcPr>
                <w:p w14:paraId="1F2AA530">
                  <w:pPr>
                    <w:adjustRightInd w:val="0"/>
                    <w:snapToGrid w:val="0"/>
                    <w:jc w:val="center"/>
                    <w:rPr>
                      <w:bCs/>
                      <w:szCs w:val="21"/>
                    </w:rPr>
                  </w:pPr>
                  <w:r>
                    <w:rPr>
                      <w:rFonts w:hint="eastAsia"/>
                      <w:bCs/>
                      <w:szCs w:val="21"/>
                    </w:rPr>
                    <w:t>颗粒物</w:t>
                  </w:r>
                </w:p>
              </w:tc>
            </w:tr>
            <w:tr w14:paraId="0CFAF6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3880F622">
                  <w:pPr>
                    <w:adjustRightInd w:val="0"/>
                    <w:snapToGrid w:val="0"/>
                    <w:jc w:val="center"/>
                    <w:rPr>
                      <w:szCs w:val="21"/>
                    </w:rPr>
                  </w:pPr>
                </w:p>
              </w:tc>
              <w:tc>
                <w:tcPr>
                  <w:tcW w:w="1150" w:type="dxa"/>
                  <w:vAlign w:val="center"/>
                </w:tcPr>
                <w:p w14:paraId="3960D624">
                  <w:pPr>
                    <w:adjustRightInd w:val="0"/>
                    <w:snapToGrid w:val="0"/>
                    <w:jc w:val="center"/>
                    <w:rPr>
                      <w:bCs/>
                      <w:szCs w:val="21"/>
                    </w:rPr>
                  </w:pPr>
                  <w:bookmarkStart w:id="75" w:name="OLE_LINK140"/>
                  <w:bookmarkStart w:id="76" w:name="OLE_LINK139"/>
                  <w:r>
                    <w:rPr>
                      <w:bCs/>
                      <w:szCs w:val="21"/>
                    </w:rPr>
                    <w:t>G</w:t>
                  </w:r>
                  <w:r>
                    <w:rPr>
                      <w:rFonts w:hint="eastAsia"/>
                      <w:bCs/>
                      <w:szCs w:val="21"/>
                    </w:rPr>
                    <w:t>32</w:t>
                  </w:r>
                  <w:r>
                    <w:rPr>
                      <w:bCs/>
                      <w:szCs w:val="21"/>
                    </w:rPr>
                    <w:t>’</w:t>
                  </w:r>
                  <w:bookmarkEnd w:id="75"/>
                  <w:bookmarkEnd w:id="76"/>
                </w:p>
              </w:tc>
              <w:tc>
                <w:tcPr>
                  <w:tcW w:w="2250" w:type="dxa"/>
                  <w:vAlign w:val="center"/>
                </w:tcPr>
                <w:p w14:paraId="27B2AF0A">
                  <w:pPr>
                    <w:adjustRightInd w:val="0"/>
                    <w:snapToGrid w:val="0"/>
                    <w:jc w:val="center"/>
                    <w:rPr>
                      <w:bCs/>
                      <w:szCs w:val="21"/>
                    </w:rPr>
                  </w:pPr>
                  <w:r>
                    <w:rPr>
                      <w:bCs/>
                      <w:szCs w:val="21"/>
                    </w:rPr>
                    <w:t>混炼</w:t>
                  </w:r>
                </w:p>
              </w:tc>
              <w:tc>
                <w:tcPr>
                  <w:tcW w:w="4444" w:type="dxa"/>
                  <w:vAlign w:val="center"/>
                </w:tcPr>
                <w:p w14:paraId="4E6A7910">
                  <w:pPr>
                    <w:adjustRightInd w:val="0"/>
                    <w:snapToGrid w:val="0"/>
                    <w:jc w:val="center"/>
                    <w:rPr>
                      <w:bCs/>
                      <w:szCs w:val="21"/>
                    </w:rPr>
                  </w:pPr>
                  <w:r>
                    <w:rPr>
                      <w:bCs/>
                      <w:szCs w:val="21"/>
                    </w:rPr>
                    <w:t>非甲烷总烃、臭气浓度、硫化氢</w:t>
                  </w:r>
                </w:p>
              </w:tc>
            </w:tr>
            <w:tr w14:paraId="0ADB22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6A08A148">
                  <w:pPr>
                    <w:adjustRightInd w:val="0"/>
                    <w:snapToGrid w:val="0"/>
                    <w:jc w:val="center"/>
                    <w:rPr>
                      <w:szCs w:val="21"/>
                    </w:rPr>
                  </w:pPr>
                </w:p>
              </w:tc>
              <w:tc>
                <w:tcPr>
                  <w:tcW w:w="1150" w:type="dxa"/>
                  <w:vAlign w:val="center"/>
                </w:tcPr>
                <w:p w14:paraId="3E79230D">
                  <w:pPr>
                    <w:adjustRightInd w:val="0"/>
                    <w:snapToGrid w:val="0"/>
                    <w:jc w:val="center"/>
                    <w:rPr>
                      <w:bCs/>
                      <w:szCs w:val="21"/>
                    </w:rPr>
                  </w:pPr>
                  <w:bookmarkStart w:id="77" w:name="OLE_LINK141"/>
                  <w:bookmarkStart w:id="78" w:name="OLE_LINK142"/>
                  <w:r>
                    <w:rPr>
                      <w:bCs/>
                      <w:szCs w:val="21"/>
                    </w:rPr>
                    <w:t>G</w:t>
                  </w:r>
                  <w:r>
                    <w:rPr>
                      <w:rFonts w:hint="eastAsia"/>
                      <w:bCs/>
                      <w:szCs w:val="21"/>
                    </w:rPr>
                    <w:t>33</w:t>
                  </w:r>
                  <w:r>
                    <w:rPr>
                      <w:bCs/>
                      <w:szCs w:val="21"/>
                    </w:rPr>
                    <w:t>’</w:t>
                  </w:r>
                  <w:bookmarkEnd w:id="77"/>
                  <w:bookmarkEnd w:id="78"/>
                </w:p>
              </w:tc>
              <w:tc>
                <w:tcPr>
                  <w:tcW w:w="2250" w:type="dxa"/>
                  <w:vAlign w:val="center"/>
                </w:tcPr>
                <w:p w14:paraId="0B3DDE23">
                  <w:pPr>
                    <w:adjustRightInd w:val="0"/>
                    <w:snapToGrid w:val="0"/>
                    <w:jc w:val="center"/>
                    <w:rPr>
                      <w:bCs/>
                      <w:szCs w:val="21"/>
                    </w:rPr>
                  </w:pPr>
                  <w:r>
                    <w:rPr>
                      <w:rFonts w:hint="eastAsia"/>
                      <w:bCs/>
                      <w:szCs w:val="21"/>
                    </w:rPr>
                    <w:t>返炼</w:t>
                  </w:r>
                </w:p>
              </w:tc>
              <w:tc>
                <w:tcPr>
                  <w:tcW w:w="4444" w:type="dxa"/>
                  <w:vAlign w:val="center"/>
                </w:tcPr>
                <w:p w14:paraId="13C4A8B7">
                  <w:pPr>
                    <w:adjustRightInd w:val="0"/>
                    <w:snapToGrid w:val="0"/>
                    <w:jc w:val="center"/>
                    <w:rPr>
                      <w:bCs/>
                      <w:szCs w:val="21"/>
                    </w:rPr>
                  </w:pPr>
                  <w:r>
                    <w:rPr>
                      <w:bCs/>
                      <w:szCs w:val="21"/>
                    </w:rPr>
                    <w:t>非甲烷总烃、臭气浓度、硫化氢</w:t>
                  </w:r>
                </w:p>
              </w:tc>
            </w:tr>
            <w:tr w14:paraId="2CED2A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0120DE5A">
                  <w:pPr>
                    <w:adjustRightInd w:val="0"/>
                    <w:snapToGrid w:val="0"/>
                    <w:jc w:val="center"/>
                    <w:rPr>
                      <w:bCs/>
                      <w:szCs w:val="21"/>
                    </w:rPr>
                  </w:pPr>
                </w:p>
              </w:tc>
              <w:tc>
                <w:tcPr>
                  <w:tcW w:w="1150" w:type="dxa"/>
                  <w:vAlign w:val="center"/>
                </w:tcPr>
                <w:p w14:paraId="637FF582">
                  <w:pPr>
                    <w:adjustRightInd w:val="0"/>
                    <w:snapToGrid w:val="0"/>
                    <w:jc w:val="center"/>
                    <w:rPr>
                      <w:bCs/>
                      <w:szCs w:val="21"/>
                    </w:rPr>
                  </w:pPr>
                  <w:bookmarkStart w:id="79" w:name="OLE_LINK144"/>
                  <w:bookmarkStart w:id="80" w:name="OLE_LINK143"/>
                  <w:r>
                    <w:rPr>
                      <w:bCs/>
                      <w:szCs w:val="21"/>
                    </w:rPr>
                    <w:t>G</w:t>
                  </w:r>
                  <w:r>
                    <w:rPr>
                      <w:rFonts w:hint="eastAsia"/>
                      <w:bCs/>
                      <w:szCs w:val="21"/>
                    </w:rPr>
                    <w:t>34</w:t>
                  </w:r>
                  <w:r>
                    <w:rPr>
                      <w:bCs/>
                      <w:szCs w:val="21"/>
                    </w:rPr>
                    <w:t>’</w:t>
                  </w:r>
                  <w:bookmarkEnd w:id="79"/>
                  <w:bookmarkEnd w:id="80"/>
                </w:p>
              </w:tc>
              <w:tc>
                <w:tcPr>
                  <w:tcW w:w="2250" w:type="dxa"/>
                  <w:vAlign w:val="center"/>
                </w:tcPr>
                <w:p w14:paraId="0817B637">
                  <w:pPr>
                    <w:adjustRightInd w:val="0"/>
                    <w:snapToGrid w:val="0"/>
                    <w:jc w:val="center"/>
                    <w:rPr>
                      <w:bCs/>
                      <w:szCs w:val="21"/>
                    </w:rPr>
                  </w:pPr>
                  <w:r>
                    <w:rPr>
                      <w:bCs/>
                      <w:szCs w:val="21"/>
                    </w:rPr>
                    <w:t>挤出</w:t>
                  </w:r>
                </w:p>
              </w:tc>
              <w:tc>
                <w:tcPr>
                  <w:tcW w:w="4444" w:type="dxa"/>
                  <w:vAlign w:val="center"/>
                </w:tcPr>
                <w:p w14:paraId="116AC4BE">
                  <w:pPr>
                    <w:adjustRightInd w:val="0"/>
                    <w:snapToGrid w:val="0"/>
                    <w:jc w:val="center"/>
                    <w:rPr>
                      <w:bCs/>
                      <w:szCs w:val="21"/>
                    </w:rPr>
                  </w:pPr>
                  <w:r>
                    <w:rPr>
                      <w:bCs/>
                      <w:szCs w:val="21"/>
                    </w:rPr>
                    <w:t>非甲烷总烃、臭气浓度、硫化氢</w:t>
                  </w:r>
                </w:p>
              </w:tc>
            </w:tr>
            <w:tr w14:paraId="2CC9C7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51687E85">
                  <w:pPr>
                    <w:adjustRightInd w:val="0"/>
                    <w:snapToGrid w:val="0"/>
                    <w:jc w:val="center"/>
                    <w:rPr>
                      <w:bCs/>
                      <w:szCs w:val="21"/>
                    </w:rPr>
                  </w:pPr>
                </w:p>
              </w:tc>
              <w:tc>
                <w:tcPr>
                  <w:tcW w:w="1150" w:type="dxa"/>
                  <w:vAlign w:val="center"/>
                </w:tcPr>
                <w:p w14:paraId="29128B1A">
                  <w:pPr>
                    <w:adjustRightInd w:val="0"/>
                    <w:snapToGrid w:val="0"/>
                    <w:jc w:val="center"/>
                    <w:rPr>
                      <w:bCs/>
                      <w:szCs w:val="21"/>
                    </w:rPr>
                  </w:pPr>
                  <w:bookmarkStart w:id="81" w:name="OLE_LINK146"/>
                  <w:bookmarkStart w:id="82" w:name="OLE_LINK145"/>
                  <w:r>
                    <w:rPr>
                      <w:bCs/>
                      <w:szCs w:val="21"/>
                    </w:rPr>
                    <w:t>G</w:t>
                  </w:r>
                  <w:r>
                    <w:rPr>
                      <w:rFonts w:hint="eastAsia"/>
                      <w:bCs/>
                      <w:szCs w:val="21"/>
                    </w:rPr>
                    <w:t>11</w:t>
                  </w:r>
                  <w:r>
                    <w:rPr>
                      <w:bCs/>
                      <w:szCs w:val="21"/>
                    </w:rPr>
                    <w:t>’</w:t>
                  </w:r>
                  <w:bookmarkEnd w:id="81"/>
                  <w:bookmarkEnd w:id="82"/>
                </w:p>
              </w:tc>
              <w:tc>
                <w:tcPr>
                  <w:tcW w:w="2250" w:type="dxa"/>
                  <w:vAlign w:val="center"/>
                </w:tcPr>
                <w:p w14:paraId="0C205DC2">
                  <w:pPr>
                    <w:adjustRightInd w:val="0"/>
                    <w:snapToGrid w:val="0"/>
                    <w:jc w:val="center"/>
                    <w:rPr>
                      <w:bCs/>
                      <w:szCs w:val="21"/>
                    </w:rPr>
                  </w:pPr>
                  <w:r>
                    <w:rPr>
                      <w:bCs/>
                      <w:szCs w:val="21"/>
                    </w:rPr>
                    <w:t>硫化</w:t>
                  </w:r>
                </w:p>
              </w:tc>
              <w:tc>
                <w:tcPr>
                  <w:tcW w:w="4444" w:type="dxa"/>
                  <w:vAlign w:val="center"/>
                </w:tcPr>
                <w:p w14:paraId="7B9C08C8">
                  <w:pPr>
                    <w:adjustRightInd w:val="0"/>
                    <w:snapToGrid w:val="0"/>
                    <w:jc w:val="center"/>
                    <w:rPr>
                      <w:bCs/>
                      <w:szCs w:val="21"/>
                    </w:rPr>
                  </w:pPr>
                  <w:r>
                    <w:rPr>
                      <w:bCs/>
                      <w:szCs w:val="21"/>
                    </w:rPr>
                    <w:t>非甲烷总烃、臭气浓度、硫化氢、</w:t>
                  </w:r>
                  <w:r>
                    <w:rPr>
                      <w:rFonts w:hint="eastAsia"/>
                      <w:bCs/>
                      <w:szCs w:val="21"/>
                    </w:rPr>
                    <w:t>氟化物</w:t>
                  </w:r>
                </w:p>
              </w:tc>
            </w:tr>
            <w:tr w14:paraId="421298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0A0C6E9D">
                  <w:pPr>
                    <w:adjustRightInd w:val="0"/>
                    <w:snapToGrid w:val="0"/>
                    <w:jc w:val="center"/>
                    <w:rPr>
                      <w:bCs/>
                      <w:szCs w:val="21"/>
                    </w:rPr>
                  </w:pPr>
                </w:p>
              </w:tc>
              <w:tc>
                <w:tcPr>
                  <w:tcW w:w="1150" w:type="dxa"/>
                  <w:vAlign w:val="center"/>
                </w:tcPr>
                <w:p w14:paraId="33FBCF34">
                  <w:pPr>
                    <w:adjustRightInd w:val="0"/>
                    <w:snapToGrid w:val="0"/>
                    <w:jc w:val="center"/>
                    <w:rPr>
                      <w:bCs/>
                      <w:szCs w:val="21"/>
                    </w:rPr>
                  </w:pPr>
                  <w:bookmarkStart w:id="83" w:name="OLE_LINK147"/>
                  <w:r>
                    <w:rPr>
                      <w:bCs/>
                      <w:szCs w:val="21"/>
                    </w:rPr>
                    <w:t>G</w:t>
                  </w:r>
                  <w:r>
                    <w:rPr>
                      <w:rFonts w:hint="eastAsia"/>
                      <w:bCs/>
                      <w:szCs w:val="21"/>
                    </w:rPr>
                    <w:t>12</w:t>
                  </w:r>
                  <w:r>
                    <w:rPr>
                      <w:bCs/>
                      <w:szCs w:val="21"/>
                    </w:rPr>
                    <w:t>’</w:t>
                  </w:r>
                  <w:bookmarkEnd w:id="83"/>
                </w:p>
              </w:tc>
              <w:tc>
                <w:tcPr>
                  <w:tcW w:w="2250" w:type="dxa"/>
                  <w:vAlign w:val="center"/>
                </w:tcPr>
                <w:p w14:paraId="0FE95A3F">
                  <w:pPr>
                    <w:adjustRightInd w:val="0"/>
                    <w:snapToGrid w:val="0"/>
                    <w:jc w:val="center"/>
                    <w:rPr>
                      <w:bCs/>
                      <w:szCs w:val="21"/>
                    </w:rPr>
                  </w:pPr>
                  <w:r>
                    <w:rPr>
                      <w:bCs/>
                      <w:szCs w:val="21"/>
                    </w:rPr>
                    <w:t>二次硫化</w:t>
                  </w:r>
                </w:p>
              </w:tc>
              <w:tc>
                <w:tcPr>
                  <w:tcW w:w="4444" w:type="dxa"/>
                  <w:vAlign w:val="center"/>
                </w:tcPr>
                <w:p w14:paraId="7A60075D">
                  <w:pPr>
                    <w:adjustRightInd w:val="0"/>
                    <w:snapToGrid w:val="0"/>
                    <w:jc w:val="center"/>
                    <w:rPr>
                      <w:bCs/>
                      <w:szCs w:val="21"/>
                    </w:rPr>
                  </w:pPr>
                  <w:r>
                    <w:rPr>
                      <w:bCs/>
                      <w:szCs w:val="21"/>
                    </w:rPr>
                    <w:t>非甲烷总烃、臭气浓度、硫化氢、</w:t>
                  </w:r>
                  <w:r>
                    <w:rPr>
                      <w:rFonts w:hint="eastAsia"/>
                      <w:bCs/>
                      <w:szCs w:val="21"/>
                    </w:rPr>
                    <w:t>氟化物</w:t>
                  </w:r>
                </w:p>
              </w:tc>
            </w:tr>
            <w:tr w14:paraId="3A0F31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restart"/>
                  <w:vAlign w:val="center"/>
                </w:tcPr>
                <w:p w14:paraId="17003E27">
                  <w:pPr>
                    <w:adjustRightInd w:val="0"/>
                    <w:snapToGrid w:val="0"/>
                    <w:jc w:val="center"/>
                    <w:rPr>
                      <w:bCs/>
                      <w:szCs w:val="21"/>
                    </w:rPr>
                  </w:pPr>
                  <w:r>
                    <w:rPr>
                      <w:bCs/>
                      <w:szCs w:val="21"/>
                    </w:rPr>
                    <w:t>废水</w:t>
                  </w:r>
                </w:p>
              </w:tc>
              <w:tc>
                <w:tcPr>
                  <w:tcW w:w="1150" w:type="dxa"/>
                  <w:vAlign w:val="center"/>
                </w:tcPr>
                <w:p w14:paraId="540A649C">
                  <w:pPr>
                    <w:adjustRightInd w:val="0"/>
                    <w:snapToGrid w:val="0"/>
                    <w:jc w:val="center"/>
                    <w:rPr>
                      <w:bCs/>
                      <w:szCs w:val="21"/>
                    </w:rPr>
                  </w:pPr>
                  <w:r>
                    <w:rPr>
                      <w:bCs/>
                      <w:szCs w:val="21"/>
                    </w:rPr>
                    <w:t>W</w:t>
                  </w:r>
                  <w:r>
                    <w:rPr>
                      <w:rFonts w:hint="eastAsia"/>
                      <w:bCs/>
                      <w:szCs w:val="21"/>
                    </w:rPr>
                    <w:t>2</w:t>
                  </w:r>
                  <w:r>
                    <w:rPr>
                      <w:bCs/>
                      <w:szCs w:val="21"/>
                    </w:rPr>
                    <w:t>1’</w:t>
                  </w:r>
                </w:p>
              </w:tc>
              <w:tc>
                <w:tcPr>
                  <w:tcW w:w="2250" w:type="dxa"/>
                  <w:vAlign w:val="center"/>
                </w:tcPr>
                <w:p w14:paraId="414D349F">
                  <w:pPr>
                    <w:autoSpaceDE w:val="0"/>
                    <w:autoSpaceDN w:val="0"/>
                    <w:adjustRightInd w:val="0"/>
                    <w:snapToGrid w:val="0"/>
                    <w:jc w:val="center"/>
                    <w:rPr>
                      <w:szCs w:val="21"/>
                    </w:rPr>
                  </w:pPr>
                  <w:r>
                    <w:rPr>
                      <w:rFonts w:hint="eastAsia"/>
                      <w:szCs w:val="21"/>
                    </w:rPr>
                    <w:t>脱脂后水洗</w:t>
                  </w:r>
                </w:p>
              </w:tc>
              <w:tc>
                <w:tcPr>
                  <w:tcW w:w="4444" w:type="dxa"/>
                  <w:vAlign w:val="center"/>
                </w:tcPr>
                <w:p w14:paraId="610FBA02">
                  <w:pPr>
                    <w:adjustRightInd w:val="0"/>
                    <w:snapToGrid w:val="0"/>
                    <w:jc w:val="center"/>
                    <w:rPr>
                      <w:bCs/>
                      <w:szCs w:val="21"/>
                    </w:rPr>
                  </w:pPr>
                  <w:bookmarkStart w:id="84" w:name="OLE_LINK18"/>
                  <w:bookmarkStart w:id="85" w:name="OLE_LINK17"/>
                  <w:r>
                    <w:rPr>
                      <w:rFonts w:hint="eastAsia"/>
                      <w:bCs/>
                      <w:szCs w:val="21"/>
                    </w:rPr>
                    <w:t>pH、</w:t>
                  </w:r>
                  <w:r>
                    <w:rPr>
                      <w:bCs/>
                      <w:szCs w:val="21"/>
                    </w:rPr>
                    <w:t>COD、SS、石油类、阴离子表面活性剂</w:t>
                  </w:r>
                  <w:bookmarkEnd w:id="84"/>
                  <w:bookmarkEnd w:id="85"/>
                </w:p>
              </w:tc>
            </w:tr>
            <w:tr w14:paraId="6B630A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4A84A38B">
                  <w:pPr>
                    <w:adjustRightInd w:val="0"/>
                    <w:snapToGrid w:val="0"/>
                    <w:jc w:val="center"/>
                    <w:rPr>
                      <w:bCs/>
                      <w:szCs w:val="21"/>
                    </w:rPr>
                  </w:pPr>
                </w:p>
              </w:tc>
              <w:tc>
                <w:tcPr>
                  <w:tcW w:w="1150" w:type="dxa"/>
                  <w:vAlign w:val="center"/>
                </w:tcPr>
                <w:p w14:paraId="6179DCB1">
                  <w:pPr>
                    <w:adjustRightInd w:val="0"/>
                    <w:snapToGrid w:val="0"/>
                    <w:jc w:val="center"/>
                    <w:rPr>
                      <w:bCs/>
                      <w:szCs w:val="21"/>
                    </w:rPr>
                  </w:pPr>
                  <w:r>
                    <w:rPr>
                      <w:rFonts w:hint="eastAsia"/>
                      <w:bCs/>
                      <w:szCs w:val="21"/>
                    </w:rPr>
                    <w:t>W22</w:t>
                  </w:r>
                  <w:r>
                    <w:rPr>
                      <w:bCs/>
                      <w:szCs w:val="21"/>
                    </w:rPr>
                    <w:t>’</w:t>
                  </w:r>
                </w:p>
              </w:tc>
              <w:tc>
                <w:tcPr>
                  <w:tcW w:w="2250" w:type="dxa"/>
                  <w:vAlign w:val="center"/>
                </w:tcPr>
                <w:p w14:paraId="674079D4">
                  <w:pPr>
                    <w:autoSpaceDE w:val="0"/>
                    <w:autoSpaceDN w:val="0"/>
                    <w:adjustRightInd w:val="0"/>
                    <w:snapToGrid w:val="0"/>
                    <w:jc w:val="center"/>
                    <w:rPr>
                      <w:szCs w:val="21"/>
                    </w:rPr>
                  </w:pPr>
                  <w:r>
                    <w:rPr>
                      <w:rFonts w:hint="eastAsia"/>
                      <w:szCs w:val="21"/>
                      <w:highlight w:val="black"/>
                      <w:lang w:val="en-US" w:eastAsia="zh-CN"/>
                    </w:rPr>
                    <w:t xml:space="preserve">   </w:t>
                  </w:r>
                  <w:r>
                    <w:rPr>
                      <w:rFonts w:hint="eastAsia"/>
                      <w:szCs w:val="21"/>
                    </w:rPr>
                    <w:t>水洗</w:t>
                  </w:r>
                </w:p>
              </w:tc>
              <w:tc>
                <w:tcPr>
                  <w:tcW w:w="4444" w:type="dxa"/>
                  <w:vAlign w:val="center"/>
                </w:tcPr>
                <w:p w14:paraId="4C0DF86A">
                  <w:pPr>
                    <w:adjustRightInd w:val="0"/>
                    <w:snapToGrid w:val="0"/>
                    <w:jc w:val="center"/>
                    <w:rPr>
                      <w:bCs/>
                      <w:szCs w:val="21"/>
                    </w:rPr>
                  </w:pPr>
                  <w:r>
                    <w:rPr>
                      <w:rFonts w:hint="eastAsia"/>
                      <w:bCs/>
                      <w:szCs w:val="21"/>
                    </w:rPr>
                    <w:t>pH、</w:t>
                  </w:r>
                  <w:r>
                    <w:rPr>
                      <w:bCs/>
                      <w:szCs w:val="21"/>
                    </w:rPr>
                    <w:t>COD、SS、</w:t>
                  </w:r>
                  <w:bookmarkStart w:id="86" w:name="OLE_LINK20"/>
                  <w:bookmarkStart w:id="87" w:name="OLE_LINK19"/>
                  <w:r>
                    <w:rPr>
                      <w:rFonts w:hint="eastAsia"/>
                      <w:bCs/>
                      <w:szCs w:val="21"/>
                    </w:rPr>
                    <w:t>TP、TN、总锌、石油类</w:t>
                  </w:r>
                  <w:bookmarkEnd w:id="86"/>
                  <w:bookmarkEnd w:id="87"/>
                </w:p>
              </w:tc>
            </w:tr>
            <w:tr w14:paraId="244807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7B636DE1">
                  <w:pPr>
                    <w:adjustRightInd w:val="0"/>
                    <w:snapToGrid w:val="0"/>
                    <w:jc w:val="center"/>
                    <w:rPr>
                      <w:bCs/>
                      <w:szCs w:val="21"/>
                    </w:rPr>
                  </w:pPr>
                </w:p>
              </w:tc>
              <w:tc>
                <w:tcPr>
                  <w:tcW w:w="1150" w:type="dxa"/>
                  <w:vAlign w:val="center"/>
                </w:tcPr>
                <w:p w14:paraId="58646464">
                  <w:pPr>
                    <w:adjustRightInd w:val="0"/>
                    <w:snapToGrid w:val="0"/>
                    <w:jc w:val="center"/>
                    <w:rPr>
                      <w:bCs/>
                      <w:szCs w:val="21"/>
                    </w:rPr>
                  </w:pPr>
                  <w:r>
                    <w:rPr>
                      <w:bCs/>
                      <w:szCs w:val="21"/>
                    </w:rPr>
                    <w:t>/</w:t>
                  </w:r>
                </w:p>
              </w:tc>
              <w:tc>
                <w:tcPr>
                  <w:tcW w:w="2250" w:type="dxa"/>
                  <w:vAlign w:val="center"/>
                </w:tcPr>
                <w:p w14:paraId="6CDDF8CE">
                  <w:pPr>
                    <w:autoSpaceDE w:val="0"/>
                    <w:autoSpaceDN w:val="0"/>
                    <w:adjustRightInd w:val="0"/>
                    <w:snapToGrid w:val="0"/>
                    <w:jc w:val="center"/>
                    <w:rPr>
                      <w:szCs w:val="21"/>
                    </w:rPr>
                  </w:pPr>
                  <w:r>
                    <w:rPr>
                      <w:szCs w:val="21"/>
                    </w:rPr>
                    <w:t>模具清洗</w:t>
                  </w:r>
                </w:p>
              </w:tc>
              <w:tc>
                <w:tcPr>
                  <w:tcW w:w="4444" w:type="dxa"/>
                  <w:vAlign w:val="center"/>
                </w:tcPr>
                <w:p w14:paraId="6FBC5EBF">
                  <w:pPr>
                    <w:adjustRightInd w:val="0"/>
                    <w:snapToGrid w:val="0"/>
                    <w:jc w:val="center"/>
                    <w:rPr>
                      <w:bCs/>
                      <w:szCs w:val="21"/>
                    </w:rPr>
                  </w:pPr>
                  <w:r>
                    <w:rPr>
                      <w:rFonts w:hint="eastAsia"/>
                      <w:bCs/>
                      <w:szCs w:val="21"/>
                    </w:rPr>
                    <w:t>pH、</w:t>
                  </w:r>
                  <w:r>
                    <w:rPr>
                      <w:bCs/>
                      <w:szCs w:val="21"/>
                    </w:rPr>
                    <w:t>COD、SS、石油类、阴离子表面活性剂</w:t>
                  </w:r>
                </w:p>
              </w:tc>
            </w:tr>
            <w:tr w14:paraId="581B9A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7D15AB93">
                  <w:pPr>
                    <w:adjustRightInd w:val="0"/>
                    <w:snapToGrid w:val="0"/>
                    <w:jc w:val="center"/>
                    <w:rPr>
                      <w:bCs/>
                      <w:szCs w:val="21"/>
                    </w:rPr>
                  </w:pPr>
                </w:p>
              </w:tc>
              <w:tc>
                <w:tcPr>
                  <w:tcW w:w="1150" w:type="dxa"/>
                  <w:vAlign w:val="center"/>
                </w:tcPr>
                <w:p w14:paraId="576C62DA">
                  <w:pPr>
                    <w:adjustRightInd w:val="0"/>
                    <w:snapToGrid w:val="0"/>
                    <w:jc w:val="center"/>
                    <w:rPr>
                      <w:bCs/>
                      <w:szCs w:val="21"/>
                    </w:rPr>
                  </w:pPr>
                  <w:r>
                    <w:rPr>
                      <w:bCs/>
                      <w:szCs w:val="21"/>
                    </w:rPr>
                    <w:t>/</w:t>
                  </w:r>
                </w:p>
              </w:tc>
              <w:tc>
                <w:tcPr>
                  <w:tcW w:w="2250" w:type="dxa"/>
                  <w:vAlign w:val="center"/>
                </w:tcPr>
                <w:p w14:paraId="7E220C55">
                  <w:pPr>
                    <w:autoSpaceDE w:val="0"/>
                    <w:autoSpaceDN w:val="0"/>
                    <w:adjustRightInd w:val="0"/>
                    <w:snapToGrid w:val="0"/>
                    <w:jc w:val="center"/>
                    <w:rPr>
                      <w:szCs w:val="21"/>
                    </w:rPr>
                  </w:pPr>
                  <w:r>
                    <w:rPr>
                      <w:rFonts w:hint="eastAsia"/>
                      <w:szCs w:val="21"/>
                    </w:rPr>
                    <w:t>喷淋塔废气处理</w:t>
                  </w:r>
                </w:p>
              </w:tc>
              <w:tc>
                <w:tcPr>
                  <w:tcW w:w="4444" w:type="dxa"/>
                  <w:vAlign w:val="center"/>
                </w:tcPr>
                <w:p w14:paraId="552D4DA0">
                  <w:pPr>
                    <w:adjustRightInd w:val="0"/>
                    <w:snapToGrid w:val="0"/>
                    <w:jc w:val="center"/>
                    <w:rPr>
                      <w:bCs/>
                      <w:szCs w:val="21"/>
                    </w:rPr>
                  </w:pPr>
                  <w:bookmarkStart w:id="88" w:name="OLE_LINK24"/>
                  <w:bookmarkStart w:id="89" w:name="OLE_LINK23"/>
                  <w:r>
                    <w:rPr>
                      <w:rFonts w:hint="eastAsia"/>
                      <w:bCs/>
                      <w:szCs w:val="21"/>
                    </w:rPr>
                    <w:t>pH、</w:t>
                  </w:r>
                  <w:r>
                    <w:rPr>
                      <w:bCs/>
                      <w:szCs w:val="21"/>
                    </w:rPr>
                    <w:t>COD、SS</w:t>
                  </w:r>
                  <w:bookmarkEnd w:id="88"/>
                  <w:bookmarkEnd w:id="89"/>
                  <w:r>
                    <w:rPr>
                      <w:bCs/>
                      <w:szCs w:val="21"/>
                    </w:rPr>
                    <w:t>、硫化物</w:t>
                  </w:r>
                  <w:r>
                    <w:rPr>
                      <w:rFonts w:hint="eastAsia"/>
                      <w:bCs/>
                      <w:szCs w:val="21"/>
                    </w:rPr>
                    <w:t>、氟化物</w:t>
                  </w:r>
                </w:p>
              </w:tc>
            </w:tr>
            <w:tr w14:paraId="487130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restart"/>
                  <w:vAlign w:val="center"/>
                </w:tcPr>
                <w:p w14:paraId="7D3C90D3">
                  <w:pPr>
                    <w:adjustRightInd w:val="0"/>
                    <w:snapToGrid w:val="0"/>
                    <w:jc w:val="center"/>
                    <w:rPr>
                      <w:szCs w:val="21"/>
                    </w:rPr>
                  </w:pPr>
                  <w:r>
                    <w:rPr>
                      <w:bCs/>
                      <w:szCs w:val="21"/>
                    </w:rPr>
                    <w:t>固废</w:t>
                  </w:r>
                </w:p>
              </w:tc>
              <w:tc>
                <w:tcPr>
                  <w:tcW w:w="1150" w:type="dxa"/>
                  <w:vAlign w:val="center"/>
                </w:tcPr>
                <w:p w14:paraId="36D690F3">
                  <w:pPr>
                    <w:adjustRightInd w:val="0"/>
                    <w:snapToGrid w:val="0"/>
                    <w:jc w:val="center"/>
                    <w:rPr>
                      <w:bCs/>
                      <w:szCs w:val="21"/>
                    </w:rPr>
                  </w:pPr>
                  <w:r>
                    <w:rPr>
                      <w:bCs/>
                      <w:szCs w:val="21"/>
                    </w:rPr>
                    <w:t>S</w:t>
                  </w:r>
                  <w:r>
                    <w:rPr>
                      <w:rFonts w:hint="eastAsia"/>
                      <w:bCs/>
                      <w:szCs w:val="21"/>
                    </w:rPr>
                    <w:t>21</w:t>
                  </w:r>
                  <w:r>
                    <w:rPr>
                      <w:bCs/>
                      <w:szCs w:val="21"/>
                    </w:rPr>
                    <w:t>’</w:t>
                  </w:r>
                </w:p>
              </w:tc>
              <w:tc>
                <w:tcPr>
                  <w:tcW w:w="2250" w:type="dxa"/>
                  <w:vAlign w:val="center"/>
                </w:tcPr>
                <w:p w14:paraId="30213C06">
                  <w:pPr>
                    <w:adjustRightInd w:val="0"/>
                    <w:snapToGrid w:val="0"/>
                    <w:jc w:val="center"/>
                    <w:rPr>
                      <w:bCs/>
                      <w:szCs w:val="21"/>
                    </w:rPr>
                  </w:pPr>
                  <w:r>
                    <w:rPr>
                      <w:rFonts w:hint="eastAsia"/>
                      <w:bCs/>
                      <w:szCs w:val="21"/>
                    </w:rPr>
                    <w:t>抛丸/喷砂</w:t>
                  </w:r>
                </w:p>
              </w:tc>
              <w:tc>
                <w:tcPr>
                  <w:tcW w:w="4444" w:type="dxa"/>
                  <w:vAlign w:val="center"/>
                </w:tcPr>
                <w:p w14:paraId="162240BD">
                  <w:pPr>
                    <w:adjustRightInd w:val="0"/>
                    <w:snapToGrid w:val="0"/>
                    <w:jc w:val="center"/>
                    <w:rPr>
                      <w:szCs w:val="21"/>
                    </w:rPr>
                  </w:pPr>
                  <w:r>
                    <w:rPr>
                      <w:rFonts w:hint="eastAsia"/>
                      <w:szCs w:val="21"/>
                    </w:rPr>
                    <w:t>非金属边角料</w:t>
                  </w:r>
                </w:p>
              </w:tc>
            </w:tr>
            <w:tr w14:paraId="052852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708A4D1D">
                  <w:pPr>
                    <w:adjustRightInd w:val="0"/>
                    <w:snapToGrid w:val="0"/>
                    <w:jc w:val="center"/>
                    <w:rPr>
                      <w:szCs w:val="21"/>
                    </w:rPr>
                  </w:pPr>
                </w:p>
              </w:tc>
              <w:tc>
                <w:tcPr>
                  <w:tcW w:w="1150" w:type="dxa"/>
                  <w:vAlign w:val="center"/>
                </w:tcPr>
                <w:p w14:paraId="085FFC82">
                  <w:pPr>
                    <w:adjustRightInd w:val="0"/>
                    <w:snapToGrid w:val="0"/>
                    <w:jc w:val="center"/>
                    <w:rPr>
                      <w:bCs/>
                      <w:szCs w:val="21"/>
                    </w:rPr>
                  </w:pPr>
                  <w:r>
                    <w:rPr>
                      <w:bCs/>
                      <w:szCs w:val="21"/>
                    </w:rPr>
                    <w:t>S</w:t>
                  </w:r>
                  <w:r>
                    <w:rPr>
                      <w:rFonts w:hint="eastAsia"/>
                      <w:bCs/>
                      <w:szCs w:val="21"/>
                    </w:rPr>
                    <w:t>12</w:t>
                  </w:r>
                  <w:r>
                    <w:rPr>
                      <w:bCs/>
                      <w:szCs w:val="21"/>
                    </w:rPr>
                    <w:t>’</w:t>
                  </w:r>
                </w:p>
              </w:tc>
              <w:tc>
                <w:tcPr>
                  <w:tcW w:w="2250" w:type="dxa"/>
                  <w:vAlign w:val="center"/>
                </w:tcPr>
                <w:p w14:paraId="7510C29D">
                  <w:pPr>
                    <w:adjustRightInd w:val="0"/>
                    <w:snapToGrid w:val="0"/>
                    <w:jc w:val="center"/>
                    <w:rPr>
                      <w:bCs/>
                      <w:szCs w:val="21"/>
                    </w:rPr>
                  </w:pPr>
                  <w:r>
                    <w:rPr>
                      <w:rFonts w:hint="eastAsia"/>
                      <w:bCs/>
                      <w:szCs w:val="21"/>
                    </w:rPr>
                    <w:t>切割</w:t>
                  </w:r>
                  <w:r>
                    <w:rPr>
                      <w:bCs/>
                      <w:szCs w:val="21"/>
                    </w:rPr>
                    <w:t>修整</w:t>
                  </w:r>
                </w:p>
              </w:tc>
              <w:tc>
                <w:tcPr>
                  <w:tcW w:w="4444" w:type="dxa"/>
                  <w:vAlign w:val="center"/>
                </w:tcPr>
                <w:p w14:paraId="5F9EDC52">
                  <w:pPr>
                    <w:adjustRightInd w:val="0"/>
                    <w:snapToGrid w:val="0"/>
                    <w:jc w:val="center"/>
                    <w:rPr>
                      <w:szCs w:val="21"/>
                    </w:rPr>
                  </w:pPr>
                  <w:r>
                    <w:rPr>
                      <w:rFonts w:hint="eastAsia"/>
                      <w:bCs/>
                      <w:szCs w:val="21"/>
                    </w:rPr>
                    <w:t>废橡胶边角料</w:t>
                  </w:r>
                </w:p>
              </w:tc>
            </w:tr>
            <w:tr w14:paraId="3A5B9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654A2ADC">
                  <w:pPr>
                    <w:adjustRightInd w:val="0"/>
                    <w:snapToGrid w:val="0"/>
                    <w:jc w:val="center"/>
                    <w:rPr>
                      <w:szCs w:val="21"/>
                    </w:rPr>
                  </w:pPr>
                </w:p>
              </w:tc>
              <w:tc>
                <w:tcPr>
                  <w:tcW w:w="1150" w:type="dxa"/>
                  <w:vAlign w:val="center"/>
                </w:tcPr>
                <w:p w14:paraId="4D8A8785">
                  <w:pPr>
                    <w:adjustRightInd w:val="0"/>
                    <w:snapToGrid w:val="0"/>
                    <w:jc w:val="center"/>
                    <w:rPr>
                      <w:bCs/>
                      <w:szCs w:val="21"/>
                    </w:rPr>
                  </w:pPr>
                  <w:r>
                    <w:rPr>
                      <w:bCs/>
                      <w:szCs w:val="21"/>
                    </w:rPr>
                    <w:t>S</w:t>
                  </w:r>
                  <w:r>
                    <w:rPr>
                      <w:rFonts w:hint="eastAsia"/>
                      <w:bCs/>
                      <w:szCs w:val="21"/>
                    </w:rPr>
                    <w:t>31</w:t>
                  </w:r>
                  <w:r>
                    <w:rPr>
                      <w:bCs/>
                      <w:szCs w:val="21"/>
                    </w:rPr>
                    <w:t>’</w:t>
                  </w:r>
                </w:p>
              </w:tc>
              <w:tc>
                <w:tcPr>
                  <w:tcW w:w="2250" w:type="dxa"/>
                  <w:vAlign w:val="center"/>
                </w:tcPr>
                <w:p w14:paraId="67CE826E">
                  <w:pPr>
                    <w:adjustRightInd w:val="0"/>
                    <w:snapToGrid w:val="0"/>
                    <w:jc w:val="center"/>
                    <w:rPr>
                      <w:bCs/>
                      <w:szCs w:val="21"/>
                    </w:rPr>
                  </w:pPr>
                  <w:r>
                    <w:rPr>
                      <w:rFonts w:hint="eastAsia"/>
                      <w:bCs/>
                      <w:szCs w:val="21"/>
                    </w:rPr>
                    <w:t>过滤挤出</w:t>
                  </w:r>
                </w:p>
              </w:tc>
              <w:tc>
                <w:tcPr>
                  <w:tcW w:w="4444" w:type="dxa"/>
                  <w:vAlign w:val="center"/>
                </w:tcPr>
                <w:p w14:paraId="4D580AF8">
                  <w:pPr>
                    <w:adjustRightInd w:val="0"/>
                    <w:snapToGrid w:val="0"/>
                    <w:jc w:val="center"/>
                    <w:rPr>
                      <w:szCs w:val="21"/>
                    </w:rPr>
                  </w:pPr>
                  <w:r>
                    <w:rPr>
                      <w:rFonts w:hint="eastAsia"/>
                      <w:szCs w:val="21"/>
                    </w:rPr>
                    <w:t>废胶料</w:t>
                  </w:r>
                </w:p>
              </w:tc>
            </w:tr>
            <w:tr w14:paraId="511BE4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45D7FE0E">
                  <w:pPr>
                    <w:adjustRightInd w:val="0"/>
                    <w:snapToGrid w:val="0"/>
                    <w:jc w:val="center"/>
                    <w:rPr>
                      <w:szCs w:val="21"/>
                    </w:rPr>
                  </w:pPr>
                </w:p>
              </w:tc>
              <w:tc>
                <w:tcPr>
                  <w:tcW w:w="1150" w:type="dxa"/>
                  <w:vAlign w:val="center"/>
                </w:tcPr>
                <w:p w14:paraId="3E6082E8">
                  <w:pPr>
                    <w:adjustRightInd w:val="0"/>
                    <w:snapToGrid w:val="0"/>
                    <w:jc w:val="center"/>
                    <w:rPr>
                      <w:bCs/>
                      <w:szCs w:val="21"/>
                    </w:rPr>
                  </w:pPr>
                  <w:r>
                    <w:rPr>
                      <w:bCs/>
                      <w:szCs w:val="21"/>
                    </w:rPr>
                    <w:t>/</w:t>
                  </w:r>
                </w:p>
              </w:tc>
              <w:tc>
                <w:tcPr>
                  <w:tcW w:w="2250" w:type="dxa"/>
                  <w:vMerge w:val="restart"/>
                  <w:vAlign w:val="center"/>
                </w:tcPr>
                <w:p w14:paraId="7355464D">
                  <w:pPr>
                    <w:adjustRightInd w:val="0"/>
                    <w:snapToGrid w:val="0"/>
                    <w:jc w:val="center"/>
                    <w:rPr>
                      <w:bCs/>
                      <w:szCs w:val="21"/>
                    </w:rPr>
                  </w:pPr>
                  <w:r>
                    <w:rPr>
                      <w:bCs/>
                      <w:szCs w:val="21"/>
                    </w:rPr>
                    <w:t>机加工</w:t>
                  </w:r>
                </w:p>
              </w:tc>
              <w:tc>
                <w:tcPr>
                  <w:tcW w:w="4444" w:type="dxa"/>
                  <w:vAlign w:val="center"/>
                </w:tcPr>
                <w:p w14:paraId="5AC5E97E">
                  <w:pPr>
                    <w:adjustRightInd w:val="0"/>
                    <w:snapToGrid w:val="0"/>
                    <w:jc w:val="center"/>
                    <w:rPr>
                      <w:szCs w:val="21"/>
                    </w:rPr>
                  </w:pPr>
                  <w:r>
                    <w:rPr>
                      <w:szCs w:val="21"/>
                    </w:rPr>
                    <w:t>金属边角料</w:t>
                  </w:r>
                </w:p>
              </w:tc>
            </w:tr>
            <w:tr w14:paraId="27609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16BF4F93">
                  <w:pPr>
                    <w:adjustRightInd w:val="0"/>
                    <w:snapToGrid w:val="0"/>
                    <w:jc w:val="center"/>
                    <w:rPr>
                      <w:szCs w:val="21"/>
                    </w:rPr>
                  </w:pPr>
                </w:p>
              </w:tc>
              <w:tc>
                <w:tcPr>
                  <w:tcW w:w="1150" w:type="dxa"/>
                  <w:vAlign w:val="center"/>
                </w:tcPr>
                <w:p w14:paraId="24B4065C">
                  <w:pPr>
                    <w:adjustRightInd w:val="0"/>
                    <w:snapToGrid w:val="0"/>
                    <w:jc w:val="center"/>
                    <w:rPr>
                      <w:bCs/>
                      <w:szCs w:val="21"/>
                    </w:rPr>
                  </w:pPr>
                  <w:r>
                    <w:rPr>
                      <w:bCs/>
                      <w:szCs w:val="21"/>
                    </w:rPr>
                    <w:t>/</w:t>
                  </w:r>
                </w:p>
              </w:tc>
              <w:tc>
                <w:tcPr>
                  <w:tcW w:w="2250" w:type="dxa"/>
                  <w:vMerge w:val="continue"/>
                  <w:vAlign w:val="center"/>
                </w:tcPr>
                <w:p w14:paraId="0BC42858">
                  <w:pPr>
                    <w:adjustRightInd w:val="0"/>
                    <w:snapToGrid w:val="0"/>
                    <w:jc w:val="center"/>
                    <w:rPr>
                      <w:bCs/>
                      <w:szCs w:val="21"/>
                    </w:rPr>
                  </w:pPr>
                </w:p>
              </w:tc>
              <w:tc>
                <w:tcPr>
                  <w:tcW w:w="4444" w:type="dxa"/>
                  <w:vAlign w:val="center"/>
                </w:tcPr>
                <w:p w14:paraId="62E8E5F1">
                  <w:pPr>
                    <w:adjustRightInd w:val="0"/>
                    <w:snapToGrid w:val="0"/>
                    <w:jc w:val="center"/>
                    <w:rPr>
                      <w:szCs w:val="21"/>
                    </w:rPr>
                  </w:pPr>
                  <w:r>
                    <w:rPr>
                      <w:szCs w:val="21"/>
                    </w:rPr>
                    <w:t>废切削液</w:t>
                  </w:r>
                </w:p>
              </w:tc>
            </w:tr>
            <w:tr w14:paraId="7B7167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53A028E3">
                  <w:pPr>
                    <w:adjustRightInd w:val="0"/>
                    <w:snapToGrid w:val="0"/>
                    <w:jc w:val="center"/>
                    <w:rPr>
                      <w:szCs w:val="21"/>
                    </w:rPr>
                  </w:pPr>
                </w:p>
              </w:tc>
              <w:tc>
                <w:tcPr>
                  <w:tcW w:w="1150" w:type="dxa"/>
                  <w:vMerge w:val="restart"/>
                  <w:vAlign w:val="center"/>
                </w:tcPr>
                <w:p w14:paraId="13E3114C">
                  <w:pPr>
                    <w:adjustRightInd w:val="0"/>
                    <w:snapToGrid w:val="0"/>
                    <w:jc w:val="center"/>
                    <w:rPr>
                      <w:bCs/>
                      <w:szCs w:val="21"/>
                    </w:rPr>
                  </w:pPr>
                  <w:r>
                    <w:rPr>
                      <w:bCs/>
                      <w:szCs w:val="21"/>
                    </w:rPr>
                    <w:t>/</w:t>
                  </w:r>
                </w:p>
              </w:tc>
              <w:tc>
                <w:tcPr>
                  <w:tcW w:w="2250" w:type="dxa"/>
                  <w:vMerge w:val="restart"/>
                  <w:vAlign w:val="center"/>
                </w:tcPr>
                <w:p w14:paraId="1852EDAA">
                  <w:pPr>
                    <w:adjustRightInd w:val="0"/>
                    <w:snapToGrid w:val="0"/>
                    <w:jc w:val="center"/>
                    <w:rPr>
                      <w:bCs/>
                      <w:szCs w:val="21"/>
                    </w:rPr>
                  </w:pPr>
                  <w:r>
                    <w:rPr>
                      <w:bCs/>
                      <w:szCs w:val="21"/>
                    </w:rPr>
                    <w:t>废气处理</w:t>
                  </w:r>
                </w:p>
              </w:tc>
              <w:tc>
                <w:tcPr>
                  <w:tcW w:w="4444" w:type="dxa"/>
                  <w:vAlign w:val="center"/>
                </w:tcPr>
                <w:p w14:paraId="3746D782">
                  <w:pPr>
                    <w:adjustRightInd w:val="0"/>
                    <w:snapToGrid w:val="0"/>
                    <w:jc w:val="center"/>
                    <w:rPr>
                      <w:szCs w:val="21"/>
                    </w:rPr>
                  </w:pPr>
                  <w:r>
                    <w:rPr>
                      <w:szCs w:val="21"/>
                    </w:rPr>
                    <w:t>废活性炭</w:t>
                  </w:r>
                </w:p>
              </w:tc>
            </w:tr>
            <w:tr w14:paraId="660594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6D3AF736">
                  <w:pPr>
                    <w:adjustRightInd w:val="0"/>
                    <w:snapToGrid w:val="0"/>
                    <w:jc w:val="center"/>
                    <w:rPr>
                      <w:szCs w:val="21"/>
                    </w:rPr>
                  </w:pPr>
                </w:p>
              </w:tc>
              <w:tc>
                <w:tcPr>
                  <w:tcW w:w="1150" w:type="dxa"/>
                  <w:vMerge w:val="continue"/>
                  <w:vAlign w:val="center"/>
                </w:tcPr>
                <w:p w14:paraId="4C501AB5">
                  <w:pPr>
                    <w:adjustRightInd w:val="0"/>
                    <w:snapToGrid w:val="0"/>
                    <w:jc w:val="center"/>
                    <w:rPr>
                      <w:bCs/>
                      <w:szCs w:val="21"/>
                    </w:rPr>
                  </w:pPr>
                </w:p>
              </w:tc>
              <w:tc>
                <w:tcPr>
                  <w:tcW w:w="2250" w:type="dxa"/>
                  <w:vMerge w:val="continue"/>
                  <w:vAlign w:val="center"/>
                </w:tcPr>
                <w:p w14:paraId="22D31508">
                  <w:pPr>
                    <w:adjustRightInd w:val="0"/>
                    <w:snapToGrid w:val="0"/>
                    <w:jc w:val="center"/>
                    <w:rPr>
                      <w:bCs/>
                      <w:szCs w:val="21"/>
                    </w:rPr>
                  </w:pPr>
                </w:p>
              </w:tc>
              <w:tc>
                <w:tcPr>
                  <w:tcW w:w="4444" w:type="dxa"/>
                  <w:vAlign w:val="center"/>
                </w:tcPr>
                <w:p w14:paraId="355084CA">
                  <w:pPr>
                    <w:adjustRightInd w:val="0"/>
                    <w:snapToGrid w:val="0"/>
                    <w:jc w:val="center"/>
                    <w:rPr>
                      <w:szCs w:val="21"/>
                    </w:rPr>
                  </w:pPr>
                  <w:r>
                    <w:rPr>
                      <w:szCs w:val="21"/>
                    </w:rPr>
                    <w:t>收集粉尘</w:t>
                  </w:r>
                </w:p>
              </w:tc>
            </w:tr>
            <w:tr w14:paraId="0D756D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797C839C">
                  <w:pPr>
                    <w:adjustRightInd w:val="0"/>
                    <w:snapToGrid w:val="0"/>
                    <w:jc w:val="center"/>
                    <w:rPr>
                      <w:szCs w:val="21"/>
                    </w:rPr>
                  </w:pPr>
                </w:p>
              </w:tc>
              <w:tc>
                <w:tcPr>
                  <w:tcW w:w="1150" w:type="dxa"/>
                  <w:vAlign w:val="center"/>
                </w:tcPr>
                <w:p w14:paraId="01BBC704">
                  <w:pPr>
                    <w:adjustRightInd w:val="0"/>
                    <w:snapToGrid w:val="0"/>
                    <w:jc w:val="center"/>
                    <w:rPr>
                      <w:bCs/>
                      <w:szCs w:val="21"/>
                    </w:rPr>
                  </w:pPr>
                  <w:r>
                    <w:rPr>
                      <w:bCs/>
                      <w:szCs w:val="21"/>
                    </w:rPr>
                    <w:t>/</w:t>
                  </w:r>
                </w:p>
              </w:tc>
              <w:tc>
                <w:tcPr>
                  <w:tcW w:w="2250" w:type="dxa"/>
                  <w:vAlign w:val="center"/>
                </w:tcPr>
                <w:p w14:paraId="27A4AED0">
                  <w:pPr>
                    <w:adjustRightInd w:val="0"/>
                    <w:snapToGrid w:val="0"/>
                    <w:jc w:val="center"/>
                    <w:rPr>
                      <w:bCs/>
                      <w:szCs w:val="21"/>
                    </w:rPr>
                  </w:pPr>
                  <w:r>
                    <w:rPr>
                      <w:bCs/>
                      <w:szCs w:val="21"/>
                    </w:rPr>
                    <w:t>废水处理</w:t>
                  </w:r>
                </w:p>
              </w:tc>
              <w:tc>
                <w:tcPr>
                  <w:tcW w:w="4444" w:type="dxa"/>
                  <w:vAlign w:val="center"/>
                </w:tcPr>
                <w:p w14:paraId="5683D061">
                  <w:pPr>
                    <w:adjustRightInd w:val="0"/>
                    <w:snapToGrid w:val="0"/>
                    <w:jc w:val="center"/>
                    <w:rPr>
                      <w:szCs w:val="21"/>
                    </w:rPr>
                  </w:pPr>
                  <w:r>
                    <w:rPr>
                      <w:szCs w:val="21"/>
                    </w:rPr>
                    <w:t>污泥</w:t>
                  </w:r>
                </w:p>
              </w:tc>
            </w:tr>
            <w:tr w14:paraId="17DFBE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08700704">
                  <w:pPr>
                    <w:adjustRightInd w:val="0"/>
                    <w:snapToGrid w:val="0"/>
                    <w:jc w:val="center"/>
                    <w:rPr>
                      <w:szCs w:val="21"/>
                    </w:rPr>
                  </w:pPr>
                </w:p>
              </w:tc>
              <w:tc>
                <w:tcPr>
                  <w:tcW w:w="1150" w:type="dxa"/>
                  <w:vAlign w:val="center"/>
                </w:tcPr>
                <w:p w14:paraId="7835EBE2">
                  <w:pPr>
                    <w:adjustRightInd w:val="0"/>
                    <w:snapToGrid w:val="0"/>
                    <w:jc w:val="center"/>
                    <w:rPr>
                      <w:bCs/>
                      <w:szCs w:val="21"/>
                    </w:rPr>
                  </w:pPr>
                  <w:r>
                    <w:rPr>
                      <w:bCs/>
                      <w:szCs w:val="21"/>
                    </w:rPr>
                    <w:t>/</w:t>
                  </w:r>
                </w:p>
              </w:tc>
              <w:tc>
                <w:tcPr>
                  <w:tcW w:w="2250" w:type="dxa"/>
                  <w:vAlign w:val="center"/>
                </w:tcPr>
                <w:p w14:paraId="01C94D68">
                  <w:pPr>
                    <w:adjustRightInd w:val="0"/>
                    <w:snapToGrid w:val="0"/>
                    <w:jc w:val="center"/>
                    <w:rPr>
                      <w:bCs/>
                      <w:szCs w:val="21"/>
                    </w:rPr>
                  </w:pPr>
                  <w:r>
                    <w:rPr>
                      <w:bCs/>
                      <w:szCs w:val="21"/>
                    </w:rPr>
                    <w:t>原辅料贮存</w:t>
                  </w:r>
                </w:p>
              </w:tc>
              <w:tc>
                <w:tcPr>
                  <w:tcW w:w="4444" w:type="dxa"/>
                  <w:vAlign w:val="center"/>
                </w:tcPr>
                <w:p w14:paraId="472B6BC3">
                  <w:pPr>
                    <w:adjustRightInd w:val="0"/>
                    <w:snapToGrid w:val="0"/>
                    <w:jc w:val="center"/>
                    <w:rPr>
                      <w:szCs w:val="21"/>
                    </w:rPr>
                  </w:pPr>
                  <w:r>
                    <w:rPr>
                      <w:szCs w:val="21"/>
                    </w:rPr>
                    <w:t>废包装桶</w:t>
                  </w:r>
                </w:p>
              </w:tc>
            </w:tr>
            <w:tr w14:paraId="2FAFD7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574" w:type="dxa"/>
                  <w:vMerge w:val="continue"/>
                  <w:vAlign w:val="center"/>
                </w:tcPr>
                <w:p w14:paraId="2BC9DC84">
                  <w:pPr>
                    <w:adjustRightInd w:val="0"/>
                    <w:snapToGrid w:val="0"/>
                    <w:jc w:val="center"/>
                    <w:rPr>
                      <w:szCs w:val="21"/>
                    </w:rPr>
                  </w:pPr>
                </w:p>
              </w:tc>
              <w:tc>
                <w:tcPr>
                  <w:tcW w:w="1150" w:type="dxa"/>
                  <w:vAlign w:val="center"/>
                </w:tcPr>
                <w:p w14:paraId="7FE14732">
                  <w:pPr>
                    <w:adjustRightInd w:val="0"/>
                    <w:snapToGrid w:val="0"/>
                    <w:jc w:val="center"/>
                    <w:rPr>
                      <w:bCs/>
                      <w:szCs w:val="21"/>
                    </w:rPr>
                  </w:pPr>
                  <w:r>
                    <w:rPr>
                      <w:bCs/>
                      <w:szCs w:val="21"/>
                    </w:rPr>
                    <w:t>/</w:t>
                  </w:r>
                </w:p>
              </w:tc>
              <w:tc>
                <w:tcPr>
                  <w:tcW w:w="2250" w:type="dxa"/>
                  <w:vAlign w:val="center"/>
                </w:tcPr>
                <w:p w14:paraId="08B0AB7B">
                  <w:pPr>
                    <w:adjustRightInd w:val="0"/>
                    <w:snapToGrid w:val="0"/>
                    <w:jc w:val="center"/>
                    <w:rPr>
                      <w:bCs/>
                      <w:szCs w:val="21"/>
                    </w:rPr>
                  </w:pPr>
                  <w:r>
                    <w:rPr>
                      <w:bCs/>
                      <w:szCs w:val="21"/>
                    </w:rPr>
                    <w:t>设备检修维护</w:t>
                  </w:r>
                </w:p>
              </w:tc>
              <w:tc>
                <w:tcPr>
                  <w:tcW w:w="4444" w:type="dxa"/>
                  <w:vAlign w:val="center"/>
                </w:tcPr>
                <w:p w14:paraId="1CBE5A86">
                  <w:pPr>
                    <w:adjustRightInd w:val="0"/>
                    <w:snapToGrid w:val="0"/>
                    <w:jc w:val="center"/>
                    <w:rPr>
                      <w:szCs w:val="21"/>
                    </w:rPr>
                  </w:pPr>
                  <w:r>
                    <w:rPr>
                      <w:szCs w:val="21"/>
                    </w:rPr>
                    <w:t>废</w:t>
                  </w:r>
                  <w:r>
                    <w:rPr>
                      <w:rFonts w:hint="eastAsia"/>
                      <w:szCs w:val="21"/>
                    </w:rPr>
                    <w:t>机油</w:t>
                  </w:r>
                </w:p>
              </w:tc>
            </w:tr>
          </w:tbl>
          <w:p w14:paraId="3E03C65A">
            <w:pPr>
              <w:pStyle w:val="39"/>
            </w:pPr>
          </w:p>
        </w:tc>
      </w:tr>
      <w:tr w14:paraId="5059D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8" w:type="dxa"/>
            <w:vAlign w:val="center"/>
          </w:tcPr>
          <w:p w14:paraId="1E8C0406">
            <w:pPr>
              <w:pStyle w:val="21"/>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bCs/>
                <w:kern w:val="2"/>
                <w:sz w:val="21"/>
                <w:szCs w:val="21"/>
              </w:rPr>
              <w:t>与项目有关的原有环境污染问题</w:t>
            </w:r>
          </w:p>
        </w:tc>
        <w:tc>
          <w:tcPr>
            <w:tcW w:w="8602" w:type="dxa"/>
          </w:tcPr>
          <w:p w14:paraId="7FAD57EA">
            <w:pPr>
              <w:pStyle w:val="5"/>
              <w:adjustRightInd w:val="0"/>
              <w:snapToGrid w:val="0"/>
              <w:spacing w:line="360" w:lineRule="auto"/>
              <w:ind w:firstLine="422"/>
              <w:rPr>
                <w:b/>
                <w:bCs/>
                <w:szCs w:val="21"/>
              </w:rPr>
            </w:pPr>
            <w:r>
              <w:rPr>
                <w:b/>
                <w:bCs/>
                <w:szCs w:val="21"/>
              </w:rPr>
              <w:t>一、现有项目环保手续履行情况及建设运行情况</w:t>
            </w:r>
          </w:p>
          <w:p w14:paraId="670BC18C">
            <w:pPr>
              <w:pStyle w:val="63"/>
              <w:adjustRightInd w:val="0"/>
              <w:spacing w:line="360" w:lineRule="auto"/>
              <w:ind w:firstLine="420"/>
              <w:jc w:val="both"/>
              <w:rPr>
                <w:rFonts w:eastAsia="宋体"/>
                <w:b w:val="0"/>
                <w:bCs/>
                <w:kern w:val="0"/>
                <w:sz w:val="21"/>
                <w:szCs w:val="21"/>
              </w:rPr>
            </w:pPr>
            <w:r>
              <w:rPr>
                <w:rFonts w:eastAsia="宋体"/>
                <w:b w:val="0"/>
                <w:bCs/>
                <w:kern w:val="0"/>
                <w:sz w:val="21"/>
                <w:szCs w:val="21"/>
              </w:rPr>
              <w:t>常州朗博密封科技股份有限公司原有两个生产厂区，分别位于金坛区华城路216号（老厂区）和金坛区金东工业园尧塘街道金博路1号（新厂区）。</w:t>
            </w:r>
          </w:p>
          <w:p w14:paraId="74DFEEBA">
            <w:pPr>
              <w:pStyle w:val="63"/>
              <w:adjustRightInd w:val="0"/>
              <w:spacing w:line="360" w:lineRule="auto"/>
              <w:ind w:firstLine="420"/>
              <w:jc w:val="both"/>
              <w:rPr>
                <w:rFonts w:eastAsia="宋体"/>
                <w:b w:val="0"/>
                <w:bCs/>
                <w:kern w:val="0"/>
                <w:sz w:val="21"/>
                <w:szCs w:val="21"/>
              </w:rPr>
            </w:pPr>
            <w:r>
              <w:rPr>
                <w:rFonts w:eastAsia="宋体"/>
                <w:b w:val="0"/>
                <w:bCs/>
                <w:kern w:val="0"/>
                <w:sz w:val="21"/>
                <w:szCs w:val="21"/>
              </w:rPr>
              <w:t>2005年6月金坛区环保局审批了“年产10000万只汽车用橡胶密封件”项目，并于2006年11月通过了金坛区环保局组织的环境保护竣工验收；2006年9月金坛区环保局审批了“铁路、列车、建筑、电器用橡胶密封件、精密型腔模登记表”项目，该项目至今尚未建设；2011年12月金坛区环保局审批了“新建特种橡胶-金属复合制品生产线”项目，并于2012年4月通过了金坛区环保局组织的环境保护竣工验收；2016年3月金坛区环保局审批了“扩建年产2.5亿件汽车用橡胶密封件项目”，尚未通过环境保护竣工验收。以上四个项目的建设地址均位于金坛区华城路216号（老厂区）。</w:t>
            </w:r>
          </w:p>
          <w:p w14:paraId="0B6E15CB">
            <w:pPr>
              <w:pStyle w:val="63"/>
              <w:adjustRightInd w:val="0"/>
              <w:spacing w:line="360" w:lineRule="auto"/>
              <w:ind w:firstLine="420"/>
              <w:jc w:val="both"/>
              <w:rPr>
                <w:rFonts w:eastAsia="宋体"/>
                <w:b w:val="0"/>
                <w:bCs/>
                <w:kern w:val="0"/>
                <w:sz w:val="21"/>
                <w:szCs w:val="21"/>
              </w:rPr>
            </w:pPr>
            <w:r>
              <w:rPr>
                <w:rFonts w:eastAsia="宋体"/>
                <w:b w:val="0"/>
                <w:bCs/>
                <w:kern w:val="0"/>
                <w:sz w:val="21"/>
                <w:szCs w:val="21"/>
              </w:rPr>
              <w:t>2011年，该公司选址于金坛区金东工业园尧塘街道金博路1号（新厂区）申报建设“年产2亿件轿车动力总成系统、制动系统及传动系统旋转密封件项目”，于2013年5月24日取得了金坛区环境保护局的审批意见（后于2016年5月27日坛环开审[2016]49号废止该批文），企业承诺，该项目只建厂房，“年产2亿件轿车动力总成系统、制动系统及传动系统旋转密封件”不实施。2016年3月，该公司申报建设“新建汽车用O型圈生产项目”，并于2016年4月8日取得金坛区环保局的审批意见；2016年4月，该公司申报建设“新建汽车动力系统和制动系统橡胶零部件生产项目”，并于2016年5月27日取得金坛区环保局的审批意见；2016年4月，该公司申报建设“新建研发中心建设项目”，并于2016年5月13日取得金坛区环保局的审批意见，以上三个项目均未建成投产。（新厂区）</w:t>
            </w:r>
          </w:p>
          <w:p w14:paraId="21167BD6">
            <w:pPr>
              <w:pStyle w:val="63"/>
              <w:adjustRightInd w:val="0"/>
              <w:spacing w:line="360" w:lineRule="auto"/>
              <w:ind w:firstLine="420"/>
              <w:jc w:val="both"/>
              <w:rPr>
                <w:rFonts w:eastAsia="宋体"/>
                <w:b w:val="0"/>
                <w:bCs/>
                <w:kern w:val="0"/>
                <w:sz w:val="21"/>
                <w:szCs w:val="21"/>
              </w:rPr>
            </w:pPr>
            <w:r>
              <w:rPr>
                <w:rFonts w:eastAsia="宋体"/>
                <w:b w:val="0"/>
                <w:bCs/>
                <w:kern w:val="0"/>
                <w:sz w:val="21"/>
                <w:szCs w:val="21"/>
              </w:rPr>
              <w:t>2017年3月，该公司申报了“迁建年产2.7亿件橡胶制品项目”，并于2017年4月25日取得金坛区环境保护局的审批意见，该项目于2017年9月28日通过了金坛区环境保护局组织的环境保护竣工验收。（至此，老厂区不再生产，新厂区仅建成了厂房等构筑物，实际只投产运营了该生产项目。）</w:t>
            </w:r>
          </w:p>
          <w:p w14:paraId="028B003C">
            <w:pPr>
              <w:pStyle w:val="5"/>
              <w:adjustRightInd w:val="0"/>
              <w:snapToGrid w:val="0"/>
              <w:spacing w:line="360" w:lineRule="auto"/>
              <w:ind w:firstLine="420"/>
              <w:rPr>
                <w:bCs/>
                <w:szCs w:val="21"/>
              </w:rPr>
            </w:pPr>
            <w:r>
              <w:rPr>
                <w:bCs/>
                <w:szCs w:val="21"/>
              </w:rPr>
              <w:t>2025年4月11日取得固定污染源排污登记回执（延续）；2023年5月23日取得突发环境事件应急预案备案表。现有项目环保手续履行情况及产品方案见下表。</w:t>
            </w:r>
          </w:p>
          <w:p w14:paraId="640A6F70">
            <w:pPr>
              <w:pStyle w:val="5"/>
              <w:adjustRightInd w:val="0"/>
              <w:snapToGrid w:val="0"/>
              <w:ind w:firstLine="0" w:firstLineChars="0"/>
              <w:jc w:val="center"/>
              <w:rPr>
                <w:b/>
                <w:bCs/>
                <w:szCs w:val="21"/>
              </w:rPr>
            </w:pPr>
            <w:r>
              <w:rPr>
                <w:b/>
                <w:bCs/>
                <w:szCs w:val="21"/>
              </w:rPr>
              <w:t>表2-8  现有项目（金博路1号，新厂区）环保手续情况及产品方案一览表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851"/>
              <w:gridCol w:w="2573"/>
              <w:gridCol w:w="2538"/>
              <w:gridCol w:w="1890"/>
            </w:tblGrid>
            <w:tr w14:paraId="437B02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Align w:val="center"/>
                </w:tcPr>
                <w:p w14:paraId="66E1F0CB">
                  <w:pPr>
                    <w:tabs>
                      <w:tab w:val="left" w:pos="10080"/>
                    </w:tabs>
                    <w:jc w:val="center"/>
                    <w:rPr>
                      <w:b/>
                      <w:bCs/>
                      <w:szCs w:val="21"/>
                    </w:rPr>
                  </w:pPr>
                  <w:r>
                    <w:rPr>
                      <w:b/>
                      <w:bCs/>
                      <w:szCs w:val="21"/>
                    </w:rPr>
                    <w:t>序号</w:t>
                  </w:r>
                </w:p>
              </w:tc>
              <w:tc>
                <w:tcPr>
                  <w:tcW w:w="2040" w:type="pct"/>
                  <w:gridSpan w:val="2"/>
                  <w:vAlign w:val="center"/>
                </w:tcPr>
                <w:p w14:paraId="144C5765">
                  <w:pPr>
                    <w:tabs>
                      <w:tab w:val="left" w:pos="10080"/>
                    </w:tabs>
                    <w:jc w:val="center"/>
                    <w:rPr>
                      <w:b/>
                      <w:bCs/>
                      <w:szCs w:val="21"/>
                    </w:rPr>
                  </w:pPr>
                  <w:r>
                    <w:rPr>
                      <w:b/>
                      <w:bCs/>
                      <w:szCs w:val="21"/>
                    </w:rPr>
                    <w:t>项目名称</w:t>
                  </w:r>
                </w:p>
              </w:tc>
              <w:tc>
                <w:tcPr>
                  <w:tcW w:w="1512" w:type="pct"/>
                  <w:vAlign w:val="center"/>
                </w:tcPr>
                <w:p w14:paraId="7987579F">
                  <w:pPr>
                    <w:tabs>
                      <w:tab w:val="left" w:pos="10080"/>
                    </w:tabs>
                    <w:jc w:val="center"/>
                    <w:rPr>
                      <w:b/>
                      <w:bCs/>
                      <w:szCs w:val="21"/>
                    </w:rPr>
                  </w:pPr>
                  <w:r>
                    <w:rPr>
                      <w:b/>
                      <w:bCs/>
                      <w:szCs w:val="21"/>
                    </w:rPr>
                    <w:t>环评批复情况</w:t>
                  </w:r>
                </w:p>
              </w:tc>
              <w:tc>
                <w:tcPr>
                  <w:tcW w:w="1126" w:type="pct"/>
                  <w:vAlign w:val="center"/>
                </w:tcPr>
                <w:p w14:paraId="18BBD9BF">
                  <w:pPr>
                    <w:tabs>
                      <w:tab w:val="left" w:pos="10080"/>
                    </w:tabs>
                    <w:jc w:val="center"/>
                    <w:rPr>
                      <w:b/>
                      <w:bCs/>
                      <w:szCs w:val="21"/>
                    </w:rPr>
                  </w:pPr>
                  <w:r>
                    <w:rPr>
                      <w:b/>
                      <w:bCs/>
                      <w:szCs w:val="21"/>
                    </w:rPr>
                    <w:t>验收情况</w:t>
                  </w:r>
                </w:p>
              </w:tc>
            </w:tr>
            <w:tr w14:paraId="5074AC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Align w:val="center"/>
                </w:tcPr>
                <w:p w14:paraId="3282E5D3">
                  <w:pPr>
                    <w:tabs>
                      <w:tab w:val="left" w:pos="10080"/>
                    </w:tabs>
                    <w:jc w:val="center"/>
                    <w:rPr>
                      <w:bCs/>
                      <w:szCs w:val="21"/>
                    </w:rPr>
                  </w:pPr>
                  <w:r>
                    <w:rPr>
                      <w:bCs/>
                      <w:szCs w:val="21"/>
                    </w:rPr>
                    <w:t>1</w:t>
                  </w:r>
                </w:p>
              </w:tc>
              <w:tc>
                <w:tcPr>
                  <w:tcW w:w="507" w:type="pct"/>
                  <w:vAlign w:val="center"/>
                </w:tcPr>
                <w:p w14:paraId="1833C49F">
                  <w:pPr>
                    <w:tabs>
                      <w:tab w:val="left" w:pos="10080"/>
                    </w:tabs>
                    <w:jc w:val="center"/>
                    <w:rPr>
                      <w:bCs/>
                      <w:szCs w:val="21"/>
                    </w:rPr>
                  </w:pPr>
                  <w:r>
                    <w:rPr>
                      <w:bCs/>
                      <w:szCs w:val="21"/>
                    </w:rPr>
                    <w:t>已批不建项目</w:t>
                  </w:r>
                </w:p>
              </w:tc>
              <w:tc>
                <w:tcPr>
                  <w:tcW w:w="1533" w:type="pct"/>
                  <w:vAlign w:val="center"/>
                </w:tcPr>
                <w:p w14:paraId="77D1369D">
                  <w:pPr>
                    <w:tabs>
                      <w:tab w:val="left" w:pos="10080"/>
                    </w:tabs>
                    <w:jc w:val="center"/>
                    <w:rPr>
                      <w:bCs/>
                      <w:szCs w:val="21"/>
                    </w:rPr>
                  </w:pPr>
                  <w:r>
                    <w:rPr>
                      <w:bCs/>
                      <w:szCs w:val="21"/>
                    </w:rPr>
                    <w:t>年产2亿件轿车动力总成系统、制动系统及传动系统旋转密封件项目</w:t>
                  </w:r>
                </w:p>
              </w:tc>
              <w:tc>
                <w:tcPr>
                  <w:tcW w:w="1512" w:type="pct"/>
                  <w:vAlign w:val="center"/>
                </w:tcPr>
                <w:p w14:paraId="6BA097D7">
                  <w:pPr>
                    <w:tabs>
                      <w:tab w:val="left" w:pos="10080"/>
                    </w:tabs>
                    <w:jc w:val="center"/>
                    <w:rPr>
                      <w:bCs/>
                      <w:szCs w:val="21"/>
                    </w:rPr>
                  </w:pPr>
                  <w:r>
                    <w:rPr>
                      <w:bCs/>
                      <w:szCs w:val="21"/>
                    </w:rPr>
                    <w:t>2013.5.24获得金坛区环保局环评批复，坛环开审[2013]4号</w:t>
                  </w:r>
                </w:p>
              </w:tc>
              <w:tc>
                <w:tcPr>
                  <w:tcW w:w="1126" w:type="pct"/>
                  <w:vAlign w:val="center"/>
                </w:tcPr>
                <w:p w14:paraId="3E0DA9A2">
                  <w:pPr>
                    <w:tabs>
                      <w:tab w:val="left" w:pos="10080"/>
                    </w:tabs>
                    <w:jc w:val="center"/>
                    <w:rPr>
                      <w:bCs/>
                      <w:szCs w:val="21"/>
                    </w:rPr>
                  </w:pPr>
                  <w:r>
                    <w:rPr>
                      <w:bCs/>
                      <w:szCs w:val="21"/>
                    </w:rPr>
                    <w:t>未验收</w:t>
                  </w:r>
                </w:p>
              </w:tc>
            </w:tr>
            <w:tr w14:paraId="78242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20" w:type="pct"/>
                  <w:vAlign w:val="center"/>
                </w:tcPr>
                <w:p w14:paraId="4674F980">
                  <w:pPr>
                    <w:tabs>
                      <w:tab w:val="left" w:pos="10080"/>
                    </w:tabs>
                    <w:jc w:val="center"/>
                    <w:rPr>
                      <w:bCs/>
                      <w:szCs w:val="21"/>
                    </w:rPr>
                  </w:pPr>
                  <w:r>
                    <w:rPr>
                      <w:bCs/>
                      <w:szCs w:val="21"/>
                    </w:rPr>
                    <w:t>2</w:t>
                  </w:r>
                </w:p>
              </w:tc>
              <w:tc>
                <w:tcPr>
                  <w:tcW w:w="507" w:type="pct"/>
                  <w:vMerge w:val="restart"/>
                  <w:vAlign w:val="center"/>
                </w:tcPr>
                <w:p w14:paraId="1B92E316">
                  <w:pPr>
                    <w:tabs>
                      <w:tab w:val="left" w:pos="10080"/>
                    </w:tabs>
                    <w:jc w:val="center"/>
                    <w:rPr>
                      <w:bCs/>
                      <w:szCs w:val="21"/>
                    </w:rPr>
                  </w:pPr>
                  <w:r>
                    <w:rPr>
                      <w:bCs/>
                      <w:szCs w:val="21"/>
                    </w:rPr>
                    <w:t>已批待建项目</w:t>
                  </w:r>
                </w:p>
              </w:tc>
              <w:tc>
                <w:tcPr>
                  <w:tcW w:w="1533" w:type="pct"/>
                  <w:vAlign w:val="center"/>
                </w:tcPr>
                <w:p w14:paraId="529DA1AC">
                  <w:pPr>
                    <w:tabs>
                      <w:tab w:val="left" w:pos="10080"/>
                    </w:tabs>
                    <w:jc w:val="center"/>
                    <w:rPr>
                      <w:bCs/>
                      <w:szCs w:val="21"/>
                    </w:rPr>
                  </w:pPr>
                  <w:r>
                    <w:rPr>
                      <w:bCs/>
                      <w:szCs w:val="21"/>
                    </w:rPr>
                    <w:t>新建汽车用O型圈生产项目（2亿件/a）</w:t>
                  </w:r>
                </w:p>
              </w:tc>
              <w:tc>
                <w:tcPr>
                  <w:tcW w:w="1512" w:type="pct"/>
                  <w:vAlign w:val="center"/>
                </w:tcPr>
                <w:p w14:paraId="263A9478">
                  <w:pPr>
                    <w:tabs>
                      <w:tab w:val="left" w:pos="10080"/>
                    </w:tabs>
                    <w:jc w:val="center"/>
                    <w:rPr>
                      <w:bCs/>
                      <w:szCs w:val="21"/>
                    </w:rPr>
                  </w:pPr>
                  <w:r>
                    <w:rPr>
                      <w:bCs/>
                      <w:szCs w:val="21"/>
                    </w:rPr>
                    <w:t>2016.4.8获得金坛区环保局环评批复，坛环服开复（2016）5号</w:t>
                  </w:r>
                </w:p>
              </w:tc>
              <w:tc>
                <w:tcPr>
                  <w:tcW w:w="1126" w:type="pct"/>
                  <w:vAlign w:val="center"/>
                </w:tcPr>
                <w:p w14:paraId="11C5B6A7">
                  <w:pPr>
                    <w:tabs>
                      <w:tab w:val="left" w:pos="10080"/>
                    </w:tabs>
                    <w:jc w:val="center"/>
                    <w:rPr>
                      <w:bCs/>
                      <w:szCs w:val="21"/>
                    </w:rPr>
                  </w:pPr>
                  <w:r>
                    <w:rPr>
                      <w:bCs/>
                      <w:szCs w:val="21"/>
                    </w:rPr>
                    <w:t>未验收</w:t>
                  </w:r>
                </w:p>
              </w:tc>
            </w:tr>
            <w:tr w14:paraId="06A9EB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Align w:val="center"/>
                </w:tcPr>
                <w:p w14:paraId="608BD10F">
                  <w:pPr>
                    <w:tabs>
                      <w:tab w:val="left" w:pos="10080"/>
                    </w:tabs>
                    <w:jc w:val="center"/>
                    <w:rPr>
                      <w:bCs/>
                      <w:szCs w:val="21"/>
                    </w:rPr>
                  </w:pPr>
                  <w:r>
                    <w:rPr>
                      <w:bCs/>
                      <w:szCs w:val="21"/>
                    </w:rPr>
                    <w:t>3</w:t>
                  </w:r>
                </w:p>
              </w:tc>
              <w:tc>
                <w:tcPr>
                  <w:tcW w:w="507" w:type="pct"/>
                  <w:vMerge w:val="continue"/>
                  <w:vAlign w:val="center"/>
                </w:tcPr>
                <w:p w14:paraId="073E52D5">
                  <w:pPr>
                    <w:tabs>
                      <w:tab w:val="left" w:pos="10080"/>
                    </w:tabs>
                    <w:jc w:val="center"/>
                    <w:rPr>
                      <w:bCs/>
                      <w:szCs w:val="21"/>
                    </w:rPr>
                  </w:pPr>
                </w:p>
              </w:tc>
              <w:tc>
                <w:tcPr>
                  <w:tcW w:w="1533" w:type="pct"/>
                  <w:vAlign w:val="center"/>
                </w:tcPr>
                <w:p w14:paraId="6C8FA399">
                  <w:pPr>
                    <w:tabs>
                      <w:tab w:val="left" w:pos="10080"/>
                    </w:tabs>
                    <w:jc w:val="center"/>
                    <w:rPr>
                      <w:bCs/>
                      <w:szCs w:val="21"/>
                    </w:rPr>
                  </w:pPr>
                  <w:r>
                    <w:rPr>
                      <w:bCs/>
                      <w:szCs w:val="21"/>
                    </w:rPr>
                    <w:t>新建汽车动力系统和制动系统橡胶零部件生产项目</w:t>
                  </w:r>
                </w:p>
              </w:tc>
              <w:tc>
                <w:tcPr>
                  <w:tcW w:w="1512" w:type="pct"/>
                  <w:vAlign w:val="center"/>
                </w:tcPr>
                <w:p w14:paraId="21DCA082">
                  <w:pPr>
                    <w:tabs>
                      <w:tab w:val="left" w:pos="10080"/>
                    </w:tabs>
                    <w:jc w:val="center"/>
                    <w:rPr>
                      <w:bCs/>
                      <w:szCs w:val="21"/>
                    </w:rPr>
                  </w:pPr>
                  <w:r>
                    <w:rPr>
                      <w:bCs/>
                      <w:szCs w:val="21"/>
                    </w:rPr>
                    <w:t>2016.5.27获得金坛区环保局环评批复，坛环开审[2016]49号</w:t>
                  </w:r>
                </w:p>
              </w:tc>
              <w:tc>
                <w:tcPr>
                  <w:tcW w:w="1126" w:type="pct"/>
                  <w:vAlign w:val="center"/>
                </w:tcPr>
                <w:p w14:paraId="54C14569">
                  <w:pPr>
                    <w:tabs>
                      <w:tab w:val="left" w:pos="10080"/>
                    </w:tabs>
                    <w:jc w:val="center"/>
                    <w:rPr>
                      <w:bCs/>
                      <w:szCs w:val="21"/>
                    </w:rPr>
                  </w:pPr>
                  <w:r>
                    <w:rPr>
                      <w:bCs/>
                      <w:szCs w:val="21"/>
                    </w:rPr>
                    <w:t>未验收</w:t>
                  </w:r>
                </w:p>
              </w:tc>
            </w:tr>
            <w:tr w14:paraId="2E3E8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Align w:val="center"/>
                </w:tcPr>
                <w:p w14:paraId="64B906B8">
                  <w:pPr>
                    <w:tabs>
                      <w:tab w:val="left" w:pos="10080"/>
                    </w:tabs>
                    <w:jc w:val="center"/>
                    <w:rPr>
                      <w:bCs/>
                      <w:szCs w:val="21"/>
                    </w:rPr>
                  </w:pPr>
                  <w:r>
                    <w:rPr>
                      <w:bCs/>
                      <w:szCs w:val="21"/>
                    </w:rPr>
                    <w:t>4</w:t>
                  </w:r>
                </w:p>
              </w:tc>
              <w:tc>
                <w:tcPr>
                  <w:tcW w:w="507" w:type="pct"/>
                  <w:vMerge w:val="continue"/>
                  <w:vAlign w:val="center"/>
                </w:tcPr>
                <w:p w14:paraId="64F4CD4D">
                  <w:pPr>
                    <w:tabs>
                      <w:tab w:val="left" w:pos="10080"/>
                    </w:tabs>
                    <w:jc w:val="center"/>
                    <w:rPr>
                      <w:bCs/>
                      <w:szCs w:val="21"/>
                    </w:rPr>
                  </w:pPr>
                </w:p>
              </w:tc>
              <w:tc>
                <w:tcPr>
                  <w:tcW w:w="1533" w:type="pct"/>
                  <w:vAlign w:val="center"/>
                </w:tcPr>
                <w:p w14:paraId="7E1887AA">
                  <w:pPr>
                    <w:tabs>
                      <w:tab w:val="left" w:pos="10080"/>
                    </w:tabs>
                    <w:jc w:val="center"/>
                    <w:rPr>
                      <w:bCs/>
                      <w:szCs w:val="21"/>
                    </w:rPr>
                  </w:pPr>
                  <w:r>
                    <w:rPr>
                      <w:bCs/>
                      <w:szCs w:val="21"/>
                    </w:rPr>
                    <w:t>新建研发中心建设项目</w:t>
                  </w:r>
                </w:p>
              </w:tc>
              <w:tc>
                <w:tcPr>
                  <w:tcW w:w="1512" w:type="pct"/>
                  <w:vAlign w:val="center"/>
                </w:tcPr>
                <w:p w14:paraId="178F1EFB">
                  <w:pPr>
                    <w:tabs>
                      <w:tab w:val="left" w:pos="10080"/>
                    </w:tabs>
                    <w:jc w:val="center"/>
                    <w:rPr>
                      <w:bCs/>
                      <w:szCs w:val="21"/>
                    </w:rPr>
                  </w:pPr>
                  <w:r>
                    <w:rPr>
                      <w:bCs/>
                      <w:szCs w:val="21"/>
                    </w:rPr>
                    <w:t>2016.5.13获得金坛区环保局环评批复，坛环开审[2016]43号</w:t>
                  </w:r>
                </w:p>
              </w:tc>
              <w:tc>
                <w:tcPr>
                  <w:tcW w:w="1126" w:type="pct"/>
                  <w:vAlign w:val="center"/>
                </w:tcPr>
                <w:p w14:paraId="095B0D17">
                  <w:pPr>
                    <w:tabs>
                      <w:tab w:val="left" w:pos="10080"/>
                    </w:tabs>
                    <w:jc w:val="center"/>
                    <w:rPr>
                      <w:bCs/>
                      <w:szCs w:val="21"/>
                    </w:rPr>
                  </w:pPr>
                  <w:r>
                    <w:rPr>
                      <w:bCs/>
                      <w:szCs w:val="21"/>
                    </w:rPr>
                    <w:t>未验收</w:t>
                  </w:r>
                </w:p>
              </w:tc>
            </w:tr>
            <w:tr w14:paraId="747D50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Align w:val="center"/>
                </w:tcPr>
                <w:p w14:paraId="13E6A825">
                  <w:pPr>
                    <w:tabs>
                      <w:tab w:val="left" w:pos="10080"/>
                    </w:tabs>
                    <w:jc w:val="center"/>
                    <w:rPr>
                      <w:bCs/>
                      <w:szCs w:val="21"/>
                    </w:rPr>
                  </w:pPr>
                  <w:r>
                    <w:rPr>
                      <w:bCs/>
                      <w:szCs w:val="21"/>
                    </w:rPr>
                    <w:t>5</w:t>
                  </w:r>
                </w:p>
              </w:tc>
              <w:tc>
                <w:tcPr>
                  <w:tcW w:w="507" w:type="pct"/>
                  <w:vAlign w:val="center"/>
                </w:tcPr>
                <w:p w14:paraId="3593DC33">
                  <w:pPr>
                    <w:tabs>
                      <w:tab w:val="left" w:pos="10080"/>
                    </w:tabs>
                    <w:jc w:val="center"/>
                    <w:rPr>
                      <w:bCs/>
                      <w:szCs w:val="21"/>
                    </w:rPr>
                  </w:pPr>
                  <w:r>
                    <w:rPr>
                      <w:bCs/>
                      <w:szCs w:val="21"/>
                    </w:rPr>
                    <w:t>已批已建项目</w:t>
                  </w:r>
                </w:p>
              </w:tc>
              <w:tc>
                <w:tcPr>
                  <w:tcW w:w="1533" w:type="pct"/>
                  <w:vAlign w:val="center"/>
                </w:tcPr>
                <w:p w14:paraId="17B0060B">
                  <w:pPr>
                    <w:tabs>
                      <w:tab w:val="left" w:pos="10080"/>
                    </w:tabs>
                    <w:jc w:val="center"/>
                    <w:rPr>
                      <w:bCs/>
                      <w:szCs w:val="21"/>
                    </w:rPr>
                  </w:pPr>
                  <w:r>
                    <w:rPr>
                      <w:bCs/>
                      <w:kern w:val="0"/>
                      <w:szCs w:val="21"/>
                    </w:rPr>
                    <w:t>迁建年产2.7亿件橡胶制品项目</w:t>
                  </w:r>
                </w:p>
              </w:tc>
              <w:tc>
                <w:tcPr>
                  <w:tcW w:w="1512" w:type="pct"/>
                  <w:vAlign w:val="center"/>
                </w:tcPr>
                <w:p w14:paraId="52E2A5E2">
                  <w:pPr>
                    <w:tabs>
                      <w:tab w:val="left" w:pos="10080"/>
                    </w:tabs>
                    <w:jc w:val="center"/>
                    <w:rPr>
                      <w:bCs/>
                      <w:szCs w:val="21"/>
                    </w:rPr>
                  </w:pPr>
                  <w:r>
                    <w:rPr>
                      <w:bCs/>
                      <w:kern w:val="0"/>
                      <w:szCs w:val="21"/>
                    </w:rPr>
                    <w:t>2017年4月25日取得金坛区环境保护局环评批复</w:t>
                  </w:r>
                  <w:r>
                    <w:rPr>
                      <w:rFonts w:hint="eastAsia"/>
                      <w:bCs/>
                      <w:kern w:val="0"/>
                      <w:szCs w:val="21"/>
                    </w:rPr>
                    <w:t>，坛环开审[2017]26号</w:t>
                  </w:r>
                </w:p>
              </w:tc>
              <w:tc>
                <w:tcPr>
                  <w:tcW w:w="1126" w:type="pct"/>
                  <w:vAlign w:val="center"/>
                </w:tcPr>
                <w:p w14:paraId="4B3CB14B">
                  <w:pPr>
                    <w:tabs>
                      <w:tab w:val="left" w:pos="10080"/>
                    </w:tabs>
                    <w:jc w:val="center"/>
                    <w:rPr>
                      <w:bCs/>
                      <w:szCs w:val="21"/>
                    </w:rPr>
                  </w:pPr>
                  <w:r>
                    <w:rPr>
                      <w:bCs/>
                      <w:szCs w:val="21"/>
                    </w:rPr>
                    <w:t>2018年9月通过竣工环境保护验收</w:t>
                  </w:r>
                </w:p>
              </w:tc>
            </w:tr>
          </w:tbl>
          <w:p w14:paraId="43F2E20A">
            <w:pPr>
              <w:pStyle w:val="5"/>
              <w:numPr>
                <w:ilvl w:val="0"/>
                <w:numId w:val="1"/>
              </w:numPr>
              <w:adjustRightInd w:val="0"/>
              <w:snapToGrid w:val="0"/>
              <w:spacing w:beforeLines="50" w:line="360" w:lineRule="auto"/>
              <w:ind w:firstLine="422"/>
              <w:rPr>
                <w:b/>
                <w:bCs/>
                <w:szCs w:val="21"/>
              </w:rPr>
            </w:pPr>
            <w:r>
              <w:rPr>
                <w:b/>
                <w:bCs/>
                <w:szCs w:val="21"/>
              </w:rPr>
              <w:t>现有项目建设情况</w:t>
            </w:r>
          </w:p>
          <w:p w14:paraId="77286F14">
            <w:pPr>
              <w:pStyle w:val="5"/>
              <w:adjustRightInd w:val="0"/>
              <w:snapToGrid w:val="0"/>
              <w:spacing w:line="360" w:lineRule="auto"/>
              <w:ind w:firstLine="420"/>
              <w:rPr>
                <w:szCs w:val="21"/>
              </w:rPr>
            </w:pPr>
            <w:r>
              <w:rPr>
                <w:szCs w:val="21"/>
              </w:rPr>
              <w:t>已批待建项目</w:t>
            </w:r>
            <w:r>
              <w:rPr>
                <w:rFonts w:hint="eastAsia"/>
                <w:szCs w:val="21"/>
              </w:rPr>
              <w:t>：</w:t>
            </w:r>
            <w:r>
              <w:rPr>
                <w:szCs w:val="21"/>
              </w:rPr>
              <w:t>新建汽车用O型圈生产项目（2亿件/a）</w:t>
            </w:r>
            <w:r>
              <w:rPr>
                <w:rFonts w:hint="eastAsia"/>
                <w:szCs w:val="21"/>
              </w:rPr>
              <w:t>、</w:t>
            </w:r>
            <w:r>
              <w:rPr>
                <w:szCs w:val="21"/>
              </w:rPr>
              <w:t>新建汽车动力系统和制动系统橡胶零部件生产项目</w:t>
            </w:r>
            <w:r>
              <w:rPr>
                <w:rFonts w:hint="eastAsia"/>
                <w:szCs w:val="21"/>
              </w:rPr>
              <w:t>、</w:t>
            </w:r>
            <w:r>
              <w:rPr>
                <w:szCs w:val="21"/>
              </w:rPr>
              <w:t>新建研发中心建设项目</w:t>
            </w:r>
            <w:r>
              <w:rPr>
                <w:rFonts w:hint="eastAsia"/>
                <w:szCs w:val="21"/>
              </w:rPr>
              <w:t>，以上三个项目目前均为建成，生产的工艺流程与本项目基本一致，在建设过程中严格按照原环评</w:t>
            </w:r>
            <w:r>
              <w:rPr>
                <w:rFonts w:hint="eastAsia" w:hAnsi="宋体"/>
                <w:szCs w:val="21"/>
              </w:rPr>
              <w:t>及批复情况进行建设，并同步实施污染防治措施，可使得各污染物排放指标均达到了环评及批复中的排放限值要求，故已批待建项目不存在遗留环境问题，本次环评只核算该部分工程的污染物批复量。</w:t>
            </w:r>
          </w:p>
          <w:p w14:paraId="3F47C438">
            <w:pPr>
              <w:pStyle w:val="5"/>
              <w:adjustRightInd w:val="0"/>
              <w:snapToGrid w:val="0"/>
              <w:spacing w:line="360" w:lineRule="auto"/>
              <w:ind w:firstLine="420"/>
              <w:rPr>
                <w:szCs w:val="21"/>
              </w:rPr>
            </w:pPr>
            <w:r>
              <w:rPr>
                <w:rFonts w:hint="eastAsia"/>
                <w:szCs w:val="21"/>
              </w:rPr>
              <w:t>已批已建项目：</w:t>
            </w:r>
            <w:r>
              <w:rPr>
                <w:szCs w:val="21"/>
              </w:rPr>
              <w:t>对照现有项目</w:t>
            </w:r>
            <w:r>
              <w:rPr>
                <w:rFonts w:hint="eastAsia"/>
                <w:szCs w:val="21"/>
              </w:rPr>
              <w:t>“</w:t>
            </w:r>
            <w:r>
              <w:rPr>
                <w:bCs/>
                <w:kern w:val="0"/>
                <w:szCs w:val="21"/>
              </w:rPr>
              <w:t>迁建年产2.7亿件橡胶制品项目</w:t>
            </w:r>
            <w:r>
              <w:rPr>
                <w:rFonts w:hint="eastAsia"/>
                <w:szCs w:val="21"/>
              </w:rPr>
              <w:t>”</w:t>
            </w:r>
            <w:r>
              <w:rPr>
                <w:szCs w:val="21"/>
              </w:rPr>
              <w:t>环境影响评价报告审批意见及竣工环境保护验收监测报告，项目处于正常生产运行状态。</w:t>
            </w:r>
            <w:r>
              <w:rPr>
                <w:rFonts w:hint="eastAsia"/>
                <w:szCs w:val="21"/>
              </w:rPr>
              <w:t>本次重点回顾已投产的该项目的产排污及达标性分析。</w:t>
            </w:r>
          </w:p>
          <w:p w14:paraId="60C952A0">
            <w:pPr>
              <w:pStyle w:val="5"/>
              <w:adjustRightInd w:val="0"/>
              <w:snapToGrid w:val="0"/>
              <w:spacing w:line="360" w:lineRule="auto"/>
              <w:ind w:firstLine="422"/>
              <w:rPr>
                <w:b/>
                <w:bCs/>
                <w:szCs w:val="21"/>
              </w:rPr>
            </w:pPr>
            <w:r>
              <w:rPr>
                <w:b/>
                <w:bCs/>
                <w:szCs w:val="21"/>
              </w:rPr>
              <w:t>二、现有项目生产工艺</w:t>
            </w:r>
          </w:p>
          <w:p w14:paraId="79205684">
            <w:pPr>
              <w:pStyle w:val="5"/>
              <w:adjustRightInd w:val="0"/>
              <w:snapToGrid w:val="0"/>
              <w:spacing w:line="360" w:lineRule="auto"/>
              <w:ind w:firstLine="420"/>
              <w:rPr>
                <w:szCs w:val="21"/>
              </w:rPr>
            </w:pPr>
            <w:r>
              <w:rPr>
                <w:szCs w:val="21"/>
              </w:rPr>
              <w:t>现有项目主要产品为</w:t>
            </w:r>
            <w:r>
              <w:rPr>
                <w:rFonts w:hint="eastAsia"/>
                <w:szCs w:val="21"/>
              </w:rPr>
              <w:t>橡胶制品，具体包括汽车用O型圈、其他橡胶件和</w:t>
            </w:r>
            <w:r>
              <w:rPr>
                <w:kern w:val="0"/>
                <w:szCs w:val="21"/>
              </w:rPr>
              <w:t>橡胶&amp;金属复合制品</w:t>
            </w:r>
            <w:r>
              <w:rPr>
                <w:szCs w:val="21"/>
              </w:rPr>
              <w:t>，其中金属&amp;橡胶复合制品需要进行金属加工、混炼胶和金属&amp;橡胶复合，O型圈和其他橡胶件仅为橡胶加工，不需要金属件处理，故仅需混炼胶和硫化。生产工艺流程基本一致。</w:t>
            </w:r>
          </w:p>
          <w:p w14:paraId="5A176E68">
            <w:pPr>
              <w:pStyle w:val="5"/>
              <w:adjustRightInd w:val="0"/>
              <w:snapToGrid w:val="0"/>
              <w:spacing w:line="360" w:lineRule="auto"/>
              <w:ind w:firstLine="420"/>
              <w:rPr>
                <w:szCs w:val="21"/>
              </w:rPr>
            </w:pPr>
          </w:p>
          <w:p w14:paraId="008C80C2">
            <w:pPr>
              <w:pStyle w:val="5"/>
              <w:adjustRightInd w:val="0"/>
              <w:snapToGrid w:val="0"/>
              <w:spacing w:line="360" w:lineRule="auto"/>
              <w:ind w:firstLine="420"/>
              <w:rPr>
                <w:szCs w:val="21"/>
              </w:rPr>
            </w:pPr>
          </w:p>
          <w:p w14:paraId="32D740F7">
            <w:pPr>
              <w:pStyle w:val="5"/>
              <w:adjustRightInd w:val="0"/>
              <w:snapToGrid w:val="0"/>
              <w:spacing w:line="360" w:lineRule="auto"/>
              <w:ind w:firstLine="420"/>
              <w:rPr>
                <w:szCs w:val="21"/>
              </w:rPr>
            </w:pPr>
          </w:p>
          <w:p w14:paraId="39E95C4A">
            <w:pPr>
              <w:pStyle w:val="5"/>
              <w:adjustRightInd w:val="0"/>
              <w:snapToGrid w:val="0"/>
              <w:spacing w:line="360" w:lineRule="auto"/>
              <w:ind w:firstLine="420"/>
              <w:rPr>
                <w:szCs w:val="21"/>
              </w:rPr>
            </w:pPr>
          </w:p>
          <w:p w14:paraId="7179694D">
            <w:pPr>
              <w:pStyle w:val="5"/>
              <w:adjustRightInd w:val="0"/>
              <w:snapToGrid w:val="0"/>
              <w:spacing w:line="360" w:lineRule="auto"/>
              <w:ind w:firstLine="420"/>
              <w:rPr>
                <w:szCs w:val="21"/>
              </w:rPr>
            </w:pPr>
          </w:p>
          <w:p w14:paraId="1229CC0C">
            <w:pPr>
              <w:pStyle w:val="5"/>
              <w:adjustRightInd w:val="0"/>
              <w:snapToGrid w:val="0"/>
              <w:spacing w:line="360" w:lineRule="auto"/>
              <w:ind w:firstLine="420"/>
              <w:rPr>
                <w:szCs w:val="21"/>
              </w:rPr>
            </w:pPr>
          </w:p>
          <w:p w14:paraId="35CCD043">
            <w:pPr>
              <w:pStyle w:val="5"/>
              <w:adjustRightInd w:val="0"/>
              <w:snapToGrid w:val="0"/>
              <w:spacing w:line="360" w:lineRule="auto"/>
              <w:ind w:firstLine="420"/>
              <w:rPr>
                <w:szCs w:val="21"/>
              </w:rPr>
            </w:pPr>
          </w:p>
          <w:p w14:paraId="0DCBC36D">
            <w:pPr>
              <w:pStyle w:val="5"/>
              <w:adjustRightInd w:val="0"/>
              <w:snapToGrid w:val="0"/>
              <w:spacing w:line="360" w:lineRule="auto"/>
              <w:ind w:firstLine="2730" w:firstLineChars="1300"/>
              <w:rPr>
                <w:rFonts w:hint="eastAsia" w:eastAsia="宋体"/>
                <w:szCs w:val="21"/>
                <w:lang w:eastAsia="zh-CN"/>
              </w:rPr>
            </w:pPr>
            <w:r>
              <w:rPr>
                <w:rFonts w:hint="eastAsia"/>
                <w:szCs w:val="21"/>
                <w:lang w:eastAsia="zh-CN"/>
              </w:rPr>
              <w:t>（</w:t>
            </w:r>
            <w:r>
              <w:rPr>
                <w:rFonts w:hint="eastAsia"/>
                <w:szCs w:val="21"/>
                <w:lang w:val="en-US" w:eastAsia="zh-CN"/>
              </w:rPr>
              <w:t>涉及企业机密，故隐去</w:t>
            </w:r>
            <w:r>
              <w:rPr>
                <w:rFonts w:hint="eastAsia"/>
                <w:szCs w:val="21"/>
                <w:lang w:eastAsia="zh-CN"/>
              </w:rPr>
              <w:t>）</w:t>
            </w:r>
          </w:p>
          <w:p w14:paraId="6866938C">
            <w:pPr>
              <w:pStyle w:val="5"/>
              <w:adjustRightInd w:val="0"/>
              <w:snapToGrid w:val="0"/>
              <w:spacing w:line="360" w:lineRule="auto"/>
              <w:ind w:firstLine="420"/>
              <w:rPr>
                <w:szCs w:val="21"/>
              </w:rPr>
            </w:pPr>
          </w:p>
          <w:p w14:paraId="11184FD0">
            <w:pPr>
              <w:pStyle w:val="5"/>
              <w:adjustRightInd w:val="0"/>
              <w:snapToGrid w:val="0"/>
              <w:spacing w:line="360" w:lineRule="auto"/>
              <w:ind w:firstLine="420"/>
              <w:rPr>
                <w:szCs w:val="21"/>
              </w:rPr>
            </w:pPr>
          </w:p>
          <w:p w14:paraId="45E48E5E">
            <w:pPr>
              <w:pStyle w:val="5"/>
              <w:adjustRightInd w:val="0"/>
              <w:snapToGrid w:val="0"/>
              <w:spacing w:line="360" w:lineRule="auto"/>
              <w:ind w:firstLine="420"/>
              <w:rPr>
                <w:szCs w:val="21"/>
              </w:rPr>
            </w:pPr>
          </w:p>
          <w:p w14:paraId="2DCB7C21">
            <w:pPr>
              <w:pStyle w:val="5"/>
              <w:adjustRightInd w:val="0"/>
              <w:snapToGrid w:val="0"/>
              <w:spacing w:line="360" w:lineRule="auto"/>
              <w:ind w:firstLine="420"/>
              <w:rPr>
                <w:szCs w:val="21"/>
              </w:rPr>
            </w:pPr>
          </w:p>
          <w:p w14:paraId="20F5EB9F">
            <w:pPr>
              <w:pStyle w:val="5"/>
              <w:adjustRightInd w:val="0"/>
              <w:snapToGrid w:val="0"/>
              <w:spacing w:line="360" w:lineRule="auto"/>
              <w:ind w:firstLine="420"/>
              <w:rPr>
                <w:szCs w:val="21"/>
              </w:rPr>
            </w:pPr>
          </w:p>
          <w:p w14:paraId="1251679E">
            <w:pPr>
              <w:pStyle w:val="5"/>
              <w:adjustRightInd w:val="0"/>
              <w:snapToGrid w:val="0"/>
              <w:spacing w:line="360" w:lineRule="auto"/>
              <w:ind w:firstLine="0" w:firstLineChars="0"/>
              <w:jc w:val="center"/>
            </w:pPr>
          </w:p>
          <w:p w14:paraId="6865AC32">
            <w:pPr>
              <w:pStyle w:val="5"/>
              <w:adjustRightInd w:val="0"/>
              <w:snapToGrid w:val="0"/>
              <w:spacing w:line="360" w:lineRule="auto"/>
              <w:ind w:firstLine="0" w:firstLineChars="0"/>
              <w:jc w:val="both"/>
              <w:rPr>
                <w:szCs w:val="21"/>
              </w:rPr>
            </w:pPr>
          </w:p>
          <w:p w14:paraId="51DECB9E">
            <w:pPr>
              <w:pStyle w:val="5"/>
              <w:adjustRightInd w:val="0"/>
              <w:snapToGrid w:val="0"/>
              <w:spacing w:line="360" w:lineRule="auto"/>
              <w:ind w:firstLine="0" w:firstLineChars="0"/>
              <w:jc w:val="center"/>
              <w:rPr>
                <w:b/>
                <w:bCs/>
                <w:szCs w:val="21"/>
              </w:rPr>
            </w:pPr>
            <w:r>
              <w:rPr>
                <w:b/>
                <w:bCs/>
                <w:szCs w:val="21"/>
              </w:rPr>
              <w:t>图2-5  现有项目生产工艺流程及产污环节图</w:t>
            </w:r>
          </w:p>
          <w:p w14:paraId="58C83747">
            <w:pPr>
              <w:pStyle w:val="5"/>
              <w:adjustRightInd w:val="0"/>
              <w:snapToGrid w:val="0"/>
              <w:spacing w:line="360" w:lineRule="auto"/>
              <w:ind w:firstLine="422"/>
              <w:rPr>
                <w:b/>
                <w:bCs/>
                <w:szCs w:val="21"/>
              </w:rPr>
            </w:pPr>
            <w:r>
              <w:rPr>
                <w:b/>
                <w:bCs/>
                <w:szCs w:val="21"/>
              </w:rPr>
              <w:t>三、现有项目实际排放总量及达标排放情况</w:t>
            </w:r>
          </w:p>
          <w:p w14:paraId="6841774F">
            <w:pPr>
              <w:pStyle w:val="8"/>
              <w:adjustRightInd w:val="0"/>
              <w:snapToGrid w:val="0"/>
              <w:spacing w:line="360" w:lineRule="auto"/>
              <w:ind w:firstLine="422" w:firstLineChars="200"/>
              <w:rPr>
                <w:b/>
                <w:bCs/>
                <w:szCs w:val="21"/>
              </w:rPr>
            </w:pPr>
            <w:r>
              <w:rPr>
                <w:b/>
                <w:bCs/>
                <w:szCs w:val="21"/>
              </w:rPr>
              <w:t>1、现有项目实际排放总量</w:t>
            </w:r>
          </w:p>
          <w:p w14:paraId="1A7BB8D4">
            <w:pPr>
              <w:pStyle w:val="8"/>
              <w:adjustRightInd w:val="0"/>
              <w:snapToGrid w:val="0"/>
              <w:spacing w:line="360" w:lineRule="auto"/>
              <w:ind w:firstLine="422" w:firstLineChars="200"/>
              <w:rPr>
                <w:b/>
                <w:bCs/>
                <w:szCs w:val="21"/>
              </w:rPr>
            </w:pPr>
            <w:r>
              <w:rPr>
                <w:b/>
                <w:bCs/>
                <w:szCs w:val="21"/>
              </w:rPr>
              <w:t>（1）废气</w:t>
            </w:r>
          </w:p>
          <w:p w14:paraId="4D14243A">
            <w:pPr>
              <w:pStyle w:val="8"/>
              <w:adjustRightInd w:val="0"/>
              <w:snapToGrid w:val="0"/>
              <w:spacing w:line="360" w:lineRule="auto"/>
              <w:ind w:firstLine="422" w:firstLineChars="200"/>
              <w:rPr>
                <w:b/>
                <w:bCs/>
                <w:szCs w:val="21"/>
              </w:rPr>
            </w:pPr>
            <w:r>
              <w:rPr>
                <w:b/>
                <w:bCs/>
                <w:szCs w:val="21"/>
              </w:rPr>
              <w:t>①废气产生情况及防治措施</w:t>
            </w:r>
          </w:p>
          <w:p w14:paraId="293547F3">
            <w:pPr>
              <w:pStyle w:val="8"/>
              <w:jc w:val="center"/>
              <w:rPr>
                <w:b/>
                <w:bCs/>
                <w:szCs w:val="21"/>
              </w:rPr>
            </w:pPr>
            <w:r>
              <w:rPr>
                <w:b/>
                <w:bCs/>
                <w:szCs w:val="21"/>
              </w:rPr>
              <w:t>表2-9  废气产生环节及防治措施</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58"/>
              <w:gridCol w:w="1243"/>
              <w:gridCol w:w="2526"/>
              <w:gridCol w:w="2018"/>
              <w:gridCol w:w="1841"/>
            </w:tblGrid>
            <w:tr w14:paraId="28270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93" w:type="pct"/>
                  <w:gridSpan w:val="2"/>
                  <w:vAlign w:val="center"/>
                </w:tcPr>
                <w:p w14:paraId="4A8E377F">
                  <w:pPr>
                    <w:pStyle w:val="5"/>
                    <w:adjustRightInd w:val="0"/>
                    <w:snapToGrid w:val="0"/>
                    <w:ind w:firstLine="0" w:firstLineChars="0"/>
                    <w:jc w:val="center"/>
                    <w:rPr>
                      <w:b/>
                      <w:bCs/>
                      <w:szCs w:val="21"/>
                    </w:rPr>
                  </w:pPr>
                  <w:r>
                    <w:rPr>
                      <w:b/>
                      <w:bCs/>
                      <w:szCs w:val="21"/>
                    </w:rPr>
                    <w:t>产生环节</w:t>
                  </w:r>
                </w:p>
              </w:tc>
              <w:tc>
                <w:tcPr>
                  <w:tcW w:w="1506" w:type="pct"/>
                  <w:vAlign w:val="center"/>
                </w:tcPr>
                <w:p w14:paraId="6918E2EB">
                  <w:pPr>
                    <w:pStyle w:val="5"/>
                    <w:adjustRightInd w:val="0"/>
                    <w:snapToGrid w:val="0"/>
                    <w:ind w:firstLine="0" w:firstLineChars="0"/>
                    <w:jc w:val="center"/>
                    <w:rPr>
                      <w:b/>
                      <w:bCs/>
                      <w:szCs w:val="21"/>
                    </w:rPr>
                  </w:pPr>
                  <w:r>
                    <w:rPr>
                      <w:b/>
                      <w:bCs/>
                      <w:szCs w:val="21"/>
                    </w:rPr>
                    <w:t>种类</w:t>
                  </w:r>
                </w:p>
              </w:tc>
              <w:tc>
                <w:tcPr>
                  <w:tcW w:w="1203" w:type="pct"/>
                  <w:vAlign w:val="center"/>
                </w:tcPr>
                <w:p w14:paraId="26D760BE">
                  <w:pPr>
                    <w:pStyle w:val="5"/>
                    <w:adjustRightInd w:val="0"/>
                    <w:snapToGrid w:val="0"/>
                    <w:ind w:firstLine="0" w:firstLineChars="0"/>
                    <w:jc w:val="center"/>
                    <w:rPr>
                      <w:b/>
                      <w:bCs/>
                      <w:szCs w:val="21"/>
                    </w:rPr>
                  </w:pPr>
                  <w:r>
                    <w:rPr>
                      <w:b/>
                      <w:bCs/>
                      <w:szCs w:val="21"/>
                    </w:rPr>
                    <w:t>防治措施</w:t>
                  </w:r>
                </w:p>
              </w:tc>
              <w:tc>
                <w:tcPr>
                  <w:tcW w:w="1097" w:type="pct"/>
                  <w:vAlign w:val="center"/>
                </w:tcPr>
                <w:p w14:paraId="243FE4F1">
                  <w:pPr>
                    <w:pStyle w:val="5"/>
                    <w:adjustRightInd w:val="0"/>
                    <w:snapToGrid w:val="0"/>
                    <w:ind w:firstLine="0" w:firstLineChars="0"/>
                    <w:jc w:val="center"/>
                    <w:rPr>
                      <w:b/>
                      <w:bCs/>
                      <w:szCs w:val="21"/>
                    </w:rPr>
                  </w:pPr>
                  <w:r>
                    <w:rPr>
                      <w:b/>
                      <w:bCs/>
                      <w:szCs w:val="21"/>
                    </w:rPr>
                    <w:t>去向</w:t>
                  </w:r>
                </w:p>
              </w:tc>
            </w:tr>
            <w:tr w14:paraId="588DD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restart"/>
                  <w:vAlign w:val="center"/>
                </w:tcPr>
                <w:p w14:paraId="7E6774AA">
                  <w:pPr>
                    <w:pStyle w:val="5"/>
                    <w:adjustRightInd w:val="0"/>
                    <w:snapToGrid w:val="0"/>
                    <w:ind w:firstLine="0" w:firstLineChars="0"/>
                    <w:jc w:val="center"/>
                    <w:rPr>
                      <w:szCs w:val="21"/>
                    </w:rPr>
                  </w:pPr>
                  <w:r>
                    <w:rPr>
                      <w:rFonts w:hint="eastAsia"/>
                      <w:szCs w:val="21"/>
                    </w:rPr>
                    <w:t>3#车间</w:t>
                  </w:r>
                </w:p>
              </w:tc>
              <w:tc>
                <w:tcPr>
                  <w:tcW w:w="740" w:type="pct"/>
                  <w:vAlign w:val="center"/>
                </w:tcPr>
                <w:p w14:paraId="68953799">
                  <w:pPr>
                    <w:pStyle w:val="5"/>
                    <w:adjustRightInd w:val="0"/>
                    <w:snapToGrid w:val="0"/>
                    <w:ind w:firstLine="0" w:firstLineChars="0"/>
                    <w:jc w:val="center"/>
                    <w:rPr>
                      <w:szCs w:val="21"/>
                    </w:rPr>
                  </w:pPr>
                  <w:r>
                    <w:rPr>
                      <w:szCs w:val="21"/>
                    </w:rPr>
                    <w:t>配料</w:t>
                  </w:r>
                </w:p>
              </w:tc>
              <w:tc>
                <w:tcPr>
                  <w:tcW w:w="1506" w:type="pct"/>
                  <w:vAlign w:val="center"/>
                </w:tcPr>
                <w:p w14:paraId="26EB720F">
                  <w:pPr>
                    <w:pStyle w:val="5"/>
                    <w:adjustRightInd w:val="0"/>
                    <w:snapToGrid w:val="0"/>
                    <w:ind w:firstLine="0" w:firstLineChars="0"/>
                    <w:jc w:val="center"/>
                    <w:rPr>
                      <w:szCs w:val="21"/>
                    </w:rPr>
                  </w:pPr>
                  <w:r>
                    <w:rPr>
                      <w:szCs w:val="21"/>
                    </w:rPr>
                    <w:t>颗粒物</w:t>
                  </w:r>
                </w:p>
              </w:tc>
              <w:tc>
                <w:tcPr>
                  <w:tcW w:w="1203" w:type="pct"/>
                  <w:vMerge w:val="restart"/>
                  <w:vAlign w:val="center"/>
                </w:tcPr>
                <w:p w14:paraId="12A0F58C">
                  <w:pPr>
                    <w:pStyle w:val="5"/>
                    <w:adjustRightInd w:val="0"/>
                    <w:snapToGrid w:val="0"/>
                    <w:ind w:firstLine="0" w:firstLineChars="0"/>
                    <w:jc w:val="center"/>
                    <w:rPr>
                      <w:szCs w:val="21"/>
                    </w:rPr>
                  </w:pPr>
                  <w:bookmarkStart w:id="90" w:name="OLE_LINK54"/>
                  <w:r>
                    <w:rPr>
                      <w:szCs w:val="21"/>
                    </w:rPr>
                    <w:t>布袋除尘器+活性炭吸附装置</w:t>
                  </w:r>
                  <w:bookmarkEnd w:id="90"/>
                </w:p>
              </w:tc>
              <w:tc>
                <w:tcPr>
                  <w:tcW w:w="1097" w:type="pct"/>
                  <w:vMerge w:val="restart"/>
                  <w:vAlign w:val="center"/>
                </w:tcPr>
                <w:p w14:paraId="627CBD92">
                  <w:pPr>
                    <w:pStyle w:val="5"/>
                    <w:adjustRightInd w:val="0"/>
                    <w:snapToGrid w:val="0"/>
                    <w:ind w:firstLine="0" w:firstLineChars="0"/>
                    <w:jc w:val="center"/>
                    <w:rPr>
                      <w:szCs w:val="21"/>
                    </w:rPr>
                  </w:pPr>
                  <w:r>
                    <w:rPr>
                      <w:rFonts w:hint="eastAsia"/>
                      <w:szCs w:val="21"/>
                    </w:rPr>
                    <w:t>2</w:t>
                  </w:r>
                  <w:r>
                    <w:rPr>
                      <w:szCs w:val="21"/>
                    </w:rPr>
                    <w:t>#</w:t>
                  </w:r>
                  <w:r>
                    <w:rPr>
                      <w:rFonts w:hint="eastAsia"/>
                      <w:szCs w:val="21"/>
                    </w:rPr>
                    <w:t>、7#</w:t>
                  </w:r>
                  <w:r>
                    <w:rPr>
                      <w:szCs w:val="21"/>
                    </w:rPr>
                    <w:t>15m排气筒</w:t>
                  </w:r>
                </w:p>
              </w:tc>
            </w:tr>
            <w:tr w14:paraId="4B4E8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452" w:type="pct"/>
                  <w:vMerge w:val="continue"/>
                  <w:vAlign w:val="center"/>
                </w:tcPr>
                <w:p w14:paraId="28C0E417">
                  <w:pPr>
                    <w:pStyle w:val="5"/>
                    <w:adjustRightInd w:val="0"/>
                    <w:snapToGrid w:val="0"/>
                    <w:ind w:firstLine="0" w:firstLineChars="0"/>
                    <w:jc w:val="center"/>
                    <w:rPr>
                      <w:szCs w:val="21"/>
                    </w:rPr>
                  </w:pPr>
                </w:p>
              </w:tc>
              <w:tc>
                <w:tcPr>
                  <w:tcW w:w="740" w:type="pct"/>
                  <w:vAlign w:val="center"/>
                </w:tcPr>
                <w:p w14:paraId="2E213EE8">
                  <w:pPr>
                    <w:pStyle w:val="5"/>
                    <w:adjustRightInd w:val="0"/>
                    <w:snapToGrid w:val="0"/>
                    <w:ind w:firstLine="0" w:firstLineChars="0"/>
                    <w:jc w:val="center"/>
                    <w:rPr>
                      <w:szCs w:val="21"/>
                    </w:rPr>
                  </w:pPr>
                  <w:r>
                    <w:rPr>
                      <w:szCs w:val="21"/>
                    </w:rPr>
                    <w:t>混炼</w:t>
                  </w:r>
                </w:p>
              </w:tc>
              <w:tc>
                <w:tcPr>
                  <w:tcW w:w="1506" w:type="pct"/>
                  <w:vAlign w:val="center"/>
                </w:tcPr>
                <w:p w14:paraId="1085D31B">
                  <w:pPr>
                    <w:pStyle w:val="5"/>
                    <w:adjustRightInd w:val="0"/>
                    <w:snapToGrid w:val="0"/>
                    <w:ind w:firstLine="0" w:firstLineChars="0"/>
                    <w:jc w:val="center"/>
                    <w:rPr>
                      <w:szCs w:val="21"/>
                    </w:rPr>
                  </w:pPr>
                  <w:r>
                    <w:rPr>
                      <w:szCs w:val="21"/>
                    </w:rPr>
                    <w:t>颗粒物、非甲烷总烃、VOCs、H</w:t>
                  </w:r>
                  <w:r>
                    <w:rPr>
                      <w:szCs w:val="21"/>
                      <w:vertAlign w:val="subscript"/>
                    </w:rPr>
                    <w:t>2</w:t>
                  </w:r>
                  <w:r>
                    <w:rPr>
                      <w:szCs w:val="21"/>
                    </w:rPr>
                    <w:t>S</w:t>
                  </w:r>
                </w:p>
              </w:tc>
              <w:tc>
                <w:tcPr>
                  <w:tcW w:w="1203" w:type="pct"/>
                  <w:vMerge w:val="continue"/>
                  <w:vAlign w:val="center"/>
                </w:tcPr>
                <w:p w14:paraId="3E12926F">
                  <w:pPr>
                    <w:pStyle w:val="5"/>
                    <w:adjustRightInd w:val="0"/>
                    <w:snapToGrid w:val="0"/>
                    <w:ind w:firstLine="0" w:firstLineChars="0"/>
                    <w:jc w:val="center"/>
                    <w:rPr>
                      <w:szCs w:val="21"/>
                    </w:rPr>
                  </w:pPr>
                </w:p>
              </w:tc>
              <w:tc>
                <w:tcPr>
                  <w:tcW w:w="1097" w:type="pct"/>
                  <w:vMerge w:val="continue"/>
                  <w:vAlign w:val="center"/>
                </w:tcPr>
                <w:p w14:paraId="5EF08D51">
                  <w:pPr>
                    <w:pStyle w:val="5"/>
                    <w:adjustRightInd w:val="0"/>
                    <w:snapToGrid w:val="0"/>
                    <w:ind w:firstLine="0" w:firstLineChars="0"/>
                    <w:jc w:val="center"/>
                    <w:rPr>
                      <w:szCs w:val="21"/>
                    </w:rPr>
                  </w:pPr>
                </w:p>
              </w:tc>
            </w:tr>
            <w:tr w14:paraId="1D533C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452" w:type="pct"/>
                  <w:vMerge w:val="continue"/>
                  <w:vAlign w:val="center"/>
                </w:tcPr>
                <w:p w14:paraId="7F42FCA3">
                  <w:pPr>
                    <w:pStyle w:val="5"/>
                    <w:adjustRightInd w:val="0"/>
                    <w:snapToGrid w:val="0"/>
                    <w:ind w:firstLine="0" w:firstLineChars="0"/>
                    <w:jc w:val="center"/>
                    <w:rPr>
                      <w:szCs w:val="21"/>
                    </w:rPr>
                  </w:pPr>
                </w:p>
              </w:tc>
              <w:tc>
                <w:tcPr>
                  <w:tcW w:w="740" w:type="pct"/>
                  <w:vAlign w:val="center"/>
                </w:tcPr>
                <w:p w14:paraId="28A70272">
                  <w:pPr>
                    <w:pStyle w:val="5"/>
                    <w:adjustRightInd w:val="0"/>
                    <w:snapToGrid w:val="0"/>
                    <w:ind w:firstLine="0" w:firstLineChars="0"/>
                    <w:jc w:val="center"/>
                    <w:rPr>
                      <w:szCs w:val="21"/>
                    </w:rPr>
                  </w:pPr>
                  <w:r>
                    <w:rPr>
                      <w:rFonts w:hint="eastAsia"/>
                      <w:szCs w:val="21"/>
                    </w:rPr>
                    <w:t>返炼</w:t>
                  </w:r>
                </w:p>
              </w:tc>
              <w:tc>
                <w:tcPr>
                  <w:tcW w:w="1506" w:type="pct"/>
                  <w:vAlign w:val="center"/>
                </w:tcPr>
                <w:p w14:paraId="22E8DD06">
                  <w:pPr>
                    <w:pStyle w:val="5"/>
                    <w:adjustRightInd w:val="0"/>
                    <w:snapToGrid w:val="0"/>
                    <w:ind w:firstLine="0" w:firstLineChars="0"/>
                    <w:jc w:val="center"/>
                    <w:rPr>
                      <w:szCs w:val="21"/>
                    </w:rPr>
                  </w:pPr>
                  <w:r>
                    <w:rPr>
                      <w:szCs w:val="21"/>
                    </w:rPr>
                    <w:t>非甲烷总烃、VOCs、H</w:t>
                  </w:r>
                  <w:r>
                    <w:rPr>
                      <w:szCs w:val="21"/>
                      <w:vertAlign w:val="subscript"/>
                    </w:rPr>
                    <w:t>2</w:t>
                  </w:r>
                  <w:r>
                    <w:rPr>
                      <w:szCs w:val="21"/>
                    </w:rPr>
                    <w:t>S</w:t>
                  </w:r>
                </w:p>
              </w:tc>
              <w:tc>
                <w:tcPr>
                  <w:tcW w:w="1203" w:type="pct"/>
                  <w:vMerge w:val="continue"/>
                  <w:vAlign w:val="center"/>
                </w:tcPr>
                <w:p w14:paraId="5F7937F8">
                  <w:pPr>
                    <w:pStyle w:val="5"/>
                    <w:adjustRightInd w:val="0"/>
                    <w:snapToGrid w:val="0"/>
                    <w:ind w:firstLine="0" w:firstLineChars="0"/>
                    <w:jc w:val="center"/>
                    <w:rPr>
                      <w:szCs w:val="21"/>
                    </w:rPr>
                  </w:pPr>
                </w:p>
              </w:tc>
              <w:tc>
                <w:tcPr>
                  <w:tcW w:w="1097" w:type="pct"/>
                  <w:vMerge w:val="continue"/>
                  <w:vAlign w:val="center"/>
                </w:tcPr>
                <w:p w14:paraId="4FA9DC11">
                  <w:pPr>
                    <w:pStyle w:val="5"/>
                    <w:adjustRightInd w:val="0"/>
                    <w:snapToGrid w:val="0"/>
                    <w:ind w:firstLine="0" w:firstLineChars="0"/>
                    <w:jc w:val="center"/>
                    <w:rPr>
                      <w:szCs w:val="21"/>
                    </w:rPr>
                  </w:pPr>
                </w:p>
              </w:tc>
            </w:tr>
            <w:tr w14:paraId="30CFC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restart"/>
                  <w:vAlign w:val="center"/>
                </w:tcPr>
                <w:p w14:paraId="7DFCA77B">
                  <w:pPr>
                    <w:pStyle w:val="5"/>
                    <w:adjustRightInd w:val="0"/>
                    <w:snapToGrid w:val="0"/>
                    <w:ind w:firstLine="0" w:firstLineChars="0"/>
                    <w:jc w:val="center"/>
                    <w:rPr>
                      <w:szCs w:val="21"/>
                    </w:rPr>
                  </w:pPr>
                  <w:r>
                    <w:rPr>
                      <w:rFonts w:hint="eastAsia"/>
                      <w:szCs w:val="21"/>
                    </w:rPr>
                    <w:t>2#车间</w:t>
                  </w:r>
                </w:p>
              </w:tc>
              <w:tc>
                <w:tcPr>
                  <w:tcW w:w="740" w:type="pct"/>
                  <w:vAlign w:val="center"/>
                </w:tcPr>
                <w:p w14:paraId="005E74EF">
                  <w:pPr>
                    <w:pStyle w:val="5"/>
                    <w:adjustRightInd w:val="0"/>
                    <w:snapToGrid w:val="0"/>
                    <w:ind w:firstLine="0" w:firstLineChars="0"/>
                    <w:jc w:val="center"/>
                    <w:rPr>
                      <w:szCs w:val="21"/>
                    </w:rPr>
                  </w:pPr>
                  <w:r>
                    <w:rPr>
                      <w:szCs w:val="21"/>
                    </w:rPr>
                    <w:t>抛丸</w:t>
                  </w:r>
                  <w:r>
                    <w:rPr>
                      <w:rFonts w:hint="eastAsia"/>
                      <w:szCs w:val="21"/>
                    </w:rPr>
                    <w:t>/喷砂</w:t>
                  </w:r>
                </w:p>
              </w:tc>
              <w:tc>
                <w:tcPr>
                  <w:tcW w:w="1506" w:type="pct"/>
                  <w:vAlign w:val="center"/>
                </w:tcPr>
                <w:p w14:paraId="4E948FE6">
                  <w:pPr>
                    <w:pStyle w:val="5"/>
                    <w:adjustRightInd w:val="0"/>
                    <w:snapToGrid w:val="0"/>
                    <w:ind w:firstLine="0" w:firstLineChars="0"/>
                    <w:jc w:val="center"/>
                    <w:rPr>
                      <w:szCs w:val="21"/>
                    </w:rPr>
                  </w:pPr>
                  <w:r>
                    <w:rPr>
                      <w:szCs w:val="21"/>
                    </w:rPr>
                    <w:t>颗粒物</w:t>
                  </w:r>
                </w:p>
              </w:tc>
              <w:tc>
                <w:tcPr>
                  <w:tcW w:w="1203" w:type="pct"/>
                  <w:vAlign w:val="center"/>
                </w:tcPr>
                <w:p w14:paraId="368B5C79">
                  <w:pPr>
                    <w:pStyle w:val="5"/>
                    <w:adjustRightInd w:val="0"/>
                    <w:snapToGrid w:val="0"/>
                    <w:ind w:firstLine="0" w:firstLineChars="0"/>
                    <w:jc w:val="center"/>
                    <w:rPr>
                      <w:szCs w:val="21"/>
                    </w:rPr>
                  </w:pPr>
                  <w:bookmarkStart w:id="91" w:name="OLE_LINK67"/>
                  <w:r>
                    <w:rPr>
                      <w:rFonts w:hint="eastAsia"/>
                    </w:rPr>
                    <w:t>各自自带</w:t>
                  </w:r>
                  <w:r>
                    <w:t>滤芯脉冲反吹除尘装置</w:t>
                  </w:r>
                  <w:bookmarkEnd w:id="91"/>
                </w:p>
              </w:tc>
              <w:tc>
                <w:tcPr>
                  <w:tcW w:w="1097" w:type="pct"/>
                  <w:vAlign w:val="center"/>
                </w:tcPr>
                <w:p w14:paraId="5E6B2702">
                  <w:pPr>
                    <w:pStyle w:val="5"/>
                    <w:adjustRightInd w:val="0"/>
                    <w:snapToGrid w:val="0"/>
                    <w:ind w:firstLine="0" w:firstLineChars="0"/>
                    <w:jc w:val="center"/>
                    <w:rPr>
                      <w:szCs w:val="21"/>
                    </w:rPr>
                  </w:pPr>
                  <w:r>
                    <w:rPr>
                      <w:rFonts w:hint="eastAsia"/>
                      <w:szCs w:val="21"/>
                    </w:rPr>
                    <w:t>5#15m排气筒</w:t>
                  </w:r>
                </w:p>
              </w:tc>
            </w:tr>
            <w:tr w14:paraId="4A6B8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continue"/>
                  <w:vAlign w:val="center"/>
                </w:tcPr>
                <w:p w14:paraId="74E53686">
                  <w:pPr>
                    <w:pStyle w:val="5"/>
                    <w:adjustRightInd w:val="0"/>
                    <w:snapToGrid w:val="0"/>
                    <w:ind w:firstLine="0" w:firstLineChars="0"/>
                    <w:jc w:val="center"/>
                    <w:rPr>
                      <w:szCs w:val="21"/>
                    </w:rPr>
                  </w:pPr>
                </w:p>
              </w:tc>
              <w:tc>
                <w:tcPr>
                  <w:tcW w:w="740" w:type="pct"/>
                  <w:vAlign w:val="center"/>
                </w:tcPr>
                <w:p w14:paraId="7DDD021C">
                  <w:pPr>
                    <w:pStyle w:val="5"/>
                    <w:adjustRightInd w:val="0"/>
                    <w:snapToGrid w:val="0"/>
                    <w:ind w:firstLine="0" w:firstLineChars="0"/>
                    <w:jc w:val="center"/>
                  </w:pPr>
                  <w:r>
                    <w:t>喷浸涂胶</w:t>
                  </w:r>
                </w:p>
              </w:tc>
              <w:tc>
                <w:tcPr>
                  <w:tcW w:w="1506" w:type="pct"/>
                  <w:vAlign w:val="center"/>
                </w:tcPr>
                <w:p w14:paraId="6036A72D">
                  <w:pPr>
                    <w:pStyle w:val="5"/>
                    <w:adjustRightInd w:val="0"/>
                    <w:snapToGrid w:val="0"/>
                    <w:ind w:firstLine="0" w:firstLineChars="0"/>
                    <w:jc w:val="center"/>
                    <w:rPr>
                      <w:szCs w:val="21"/>
                    </w:rPr>
                  </w:pPr>
                  <w:r>
                    <w:rPr>
                      <w:rFonts w:hint="eastAsia"/>
                    </w:rPr>
                    <w:t>颗粒物、二甲苯、乙苯、</w:t>
                  </w:r>
                  <w:r>
                    <w:rPr>
                      <w:szCs w:val="21"/>
                    </w:rPr>
                    <w:t>非甲烷总烃、VOCs</w:t>
                  </w:r>
                </w:p>
              </w:tc>
              <w:tc>
                <w:tcPr>
                  <w:tcW w:w="1203" w:type="pct"/>
                  <w:vMerge w:val="restart"/>
                  <w:vAlign w:val="center"/>
                </w:tcPr>
                <w:p w14:paraId="12F0657F">
                  <w:pPr>
                    <w:pStyle w:val="5"/>
                    <w:adjustRightInd w:val="0"/>
                    <w:snapToGrid w:val="0"/>
                    <w:ind w:firstLine="0" w:firstLineChars="0"/>
                    <w:jc w:val="center"/>
                    <w:rPr>
                      <w:szCs w:val="21"/>
                    </w:rPr>
                  </w:pPr>
                  <w:r>
                    <w:rPr>
                      <w:rFonts w:hint="eastAsia"/>
                      <w:szCs w:val="21"/>
                    </w:rPr>
                    <w:t>活性炭吸附装置</w:t>
                  </w:r>
                </w:p>
              </w:tc>
              <w:tc>
                <w:tcPr>
                  <w:tcW w:w="1097" w:type="pct"/>
                  <w:vMerge w:val="restart"/>
                  <w:vAlign w:val="center"/>
                </w:tcPr>
                <w:p w14:paraId="63E11CA3">
                  <w:pPr>
                    <w:pStyle w:val="5"/>
                    <w:adjustRightInd w:val="0"/>
                    <w:snapToGrid w:val="0"/>
                    <w:ind w:firstLine="0" w:firstLineChars="0"/>
                    <w:jc w:val="center"/>
                    <w:rPr>
                      <w:szCs w:val="21"/>
                    </w:rPr>
                  </w:pPr>
                  <w:r>
                    <w:rPr>
                      <w:rFonts w:hint="eastAsia"/>
                      <w:szCs w:val="21"/>
                    </w:rPr>
                    <w:t>6</w:t>
                  </w:r>
                  <w:r>
                    <w:rPr>
                      <w:szCs w:val="21"/>
                    </w:rPr>
                    <w:t>#15m排气筒</w:t>
                  </w:r>
                </w:p>
              </w:tc>
            </w:tr>
            <w:tr w14:paraId="6E13D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continue"/>
                  <w:vAlign w:val="center"/>
                </w:tcPr>
                <w:p w14:paraId="56A2F683">
                  <w:pPr>
                    <w:pStyle w:val="5"/>
                    <w:adjustRightInd w:val="0"/>
                    <w:snapToGrid w:val="0"/>
                    <w:ind w:firstLine="0" w:firstLineChars="0"/>
                    <w:jc w:val="center"/>
                    <w:rPr>
                      <w:szCs w:val="21"/>
                    </w:rPr>
                  </w:pPr>
                </w:p>
              </w:tc>
              <w:tc>
                <w:tcPr>
                  <w:tcW w:w="740" w:type="pct"/>
                  <w:vAlign w:val="center"/>
                </w:tcPr>
                <w:p w14:paraId="232604D3">
                  <w:pPr>
                    <w:pStyle w:val="5"/>
                    <w:adjustRightInd w:val="0"/>
                    <w:snapToGrid w:val="0"/>
                    <w:ind w:firstLine="0" w:firstLineChars="0"/>
                    <w:jc w:val="center"/>
                    <w:rPr>
                      <w:szCs w:val="21"/>
                    </w:rPr>
                  </w:pPr>
                  <w:r>
                    <w:rPr>
                      <w:szCs w:val="21"/>
                    </w:rPr>
                    <w:t>干燥</w:t>
                  </w:r>
                </w:p>
              </w:tc>
              <w:tc>
                <w:tcPr>
                  <w:tcW w:w="1506" w:type="pct"/>
                  <w:vAlign w:val="center"/>
                </w:tcPr>
                <w:p w14:paraId="05437BC7">
                  <w:pPr>
                    <w:pStyle w:val="5"/>
                    <w:adjustRightInd w:val="0"/>
                    <w:snapToGrid w:val="0"/>
                    <w:ind w:firstLine="0" w:firstLineChars="0"/>
                    <w:jc w:val="center"/>
                    <w:rPr>
                      <w:szCs w:val="21"/>
                    </w:rPr>
                  </w:pPr>
                  <w:r>
                    <w:rPr>
                      <w:rFonts w:hint="eastAsia"/>
                    </w:rPr>
                    <w:t>二甲苯、乙苯、</w:t>
                  </w:r>
                  <w:r>
                    <w:rPr>
                      <w:szCs w:val="21"/>
                    </w:rPr>
                    <w:t>非甲烷总烃、VOCs</w:t>
                  </w:r>
                </w:p>
              </w:tc>
              <w:tc>
                <w:tcPr>
                  <w:tcW w:w="1203" w:type="pct"/>
                  <w:vMerge w:val="continue"/>
                  <w:vAlign w:val="center"/>
                </w:tcPr>
                <w:p w14:paraId="5DF9F188">
                  <w:pPr>
                    <w:pStyle w:val="5"/>
                    <w:adjustRightInd w:val="0"/>
                    <w:snapToGrid w:val="0"/>
                    <w:ind w:firstLine="0" w:firstLineChars="0"/>
                    <w:jc w:val="center"/>
                    <w:rPr>
                      <w:szCs w:val="21"/>
                    </w:rPr>
                  </w:pPr>
                </w:p>
              </w:tc>
              <w:tc>
                <w:tcPr>
                  <w:tcW w:w="1097" w:type="pct"/>
                  <w:vMerge w:val="continue"/>
                  <w:vAlign w:val="center"/>
                </w:tcPr>
                <w:p w14:paraId="169B7888">
                  <w:pPr>
                    <w:pStyle w:val="5"/>
                    <w:adjustRightInd w:val="0"/>
                    <w:snapToGrid w:val="0"/>
                    <w:ind w:firstLine="0" w:firstLineChars="0"/>
                    <w:jc w:val="center"/>
                    <w:rPr>
                      <w:szCs w:val="21"/>
                    </w:rPr>
                  </w:pPr>
                </w:p>
              </w:tc>
            </w:tr>
            <w:tr w14:paraId="7E9FF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continue"/>
                  <w:vAlign w:val="center"/>
                </w:tcPr>
                <w:p w14:paraId="077D8A26">
                  <w:pPr>
                    <w:pStyle w:val="5"/>
                    <w:adjustRightInd w:val="0"/>
                    <w:snapToGrid w:val="0"/>
                    <w:ind w:firstLine="0" w:firstLineChars="0"/>
                    <w:jc w:val="center"/>
                    <w:rPr>
                      <w:szCs w:val="21"/>
                    </w:rPr>
                  </w:pPr>
                </w:p>
              </w:tc>
              <w:tc>
                <w:tcPr>
                  <w:tcW w:w="740" w:type="pct"/>
                  <w:vAlign w:val="center"/>
                </w:tcPr>
                <w:p w14:paraId="0C5BFCBF">
                  <w:pPr>
                    <w:pStyle w:val="5"/>
                    <w:adjustRightInd w:val="0"/>
                    <w:snapToGrid w:val="0"/>
                    <w:ind w:firstLine="0" w:firstLineChars="0"/>
                    <w:jc w:val="center"/>
                    <w:rPr>
                      <w:szCs w:val="21"/>
                    </w:rPr>
                  </w:pPr>
                  <w:r>
                    <w:rPr>
                      <w:rFonts w:hint="eastAsia"/>
                      <w:szCs w:val="21"/>
                    </w:rPr>
                    <w:t>电泳后烘干</w:t>
                  </w:r>
                </w:p>
              </w:tc>
              <w:tc>
                <w:tcPr>
                  <w:tcW w:w="1506" w:type="pct"/>
                  <w:vAlign w:val="center"/>
                </w:tcPr>
                <w:p w14:paraId="168EEF86">
                  <w:pPr>
                    <w:pStyle w:val="5"/>
                    <w:adjustRightInd w:val="0"/>
                    <w:snapToGrid w:val="0"/>
                    <w:ind w:firstLine="0" w:firstLineChars="0"/>
                    <w:jc w:val="center"/>
                    <w:rPr>
                      <w:szCs w:val="21"/>
                    </w:rPr>
                  </w:pPr>
                  <w:r>
                    <w:rPr>
                      <w:szCs w:val="21"/>
                    </w:rPr>
                    <w:t>非甲烷总烃、VOCs</w:t>
                  </w:r>
                </w:p>
              </w:tc>
              <w:tc>
                <w:tcPr>
                  <w:tcW w:w="1203" w:type="pct"/>
                  <w:vMerge w:val="continue"/>
                  <w:vAlign w:val="center"/>
                </w:tcPr>
                <w:p w14:paraId="3F5F2F44">
                  <w:pPr>
                    <w:pStyle w:val="5"/>
                    <w:adjustRightInd w:val="0"/>
                    <w:snapToGrid w:val="0"/>
                    <w:ind w:firstLine="0" w:firstLineChars="0"/>
                    <w:jc w:val="center"/>
                    <w:rPr>
                      <w:szCs w:val="21"/>
                    </w:rPr>
                  </w:pPr>
                </w:p>
              </w:tc>
              <w:tc>
                <w:tcPr>
                  <w:tcW w:w="1097" w:type="pct"/>
                  <w:vMerge w:val="continue"/>
                  <w:vAlign w:val="center"/>
                </w:tcPr>
                <w:p w14:paraId="64A42550">
                  <w:pPr>
                    <w:pStyle w:val="5"/>
                    <w:adjustRightInd w:val="0"/>
                    <w:snapToGrid w:val="0"/>
                    <w:ind w:firstLine="0" w:firstLineChars="0"/>
                    <w:jc w:val="center"/>
                    <w:rPr>
                      <w:szCs w:val="21"/>
                    </w:rPr>
                  </w:pPr>
                </w:p>
              </w:tc>
            </w:tr>
            <w:tr w14:paraId="19A264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restart"/>
                  <w:vAlign w:val="center"/>
                </w:tcPr>
                <w:p w14:paraId="47D2228C">
                  <w:pPr>
                    <w:pStyle w:val="5"/>
                    <w:adjustRightInd w:val="0"/>
                    <w:snapToGrid w:val="0"/>
                    <w:ind w:firstLine="0" w:firstLineChars="0"/>
                    <w:jc w:val="center"/>
                    <w:rPr>
                      <w:szCs w:val="21"/>
                    </w:rPr>
                  </w:pPr>
                  <w:r>
                    <w:rPr>
                      <w:rFonts w:hint="eastAsia"/>
                      <w:szCs w:val="21"/>
                    </w:rPr>
                    <w:t>4#车间</w:t>
                  </w:r>
                </w:p>
              </w:tc>
              <w:tc>
                <w:tcPr>
                  <w:tcW w:w="740" w:type="pct"/>
                  <w:vAlign w:val="center"/>
                </w:tcPr>
                <w:p w14:paraId="595A207F">
                  <w:pPr>
                    <w:pStyle w:val="5"/>
                    <w:adjustRightInd w:val="0"/>
                    <w:snapToGrid w:val="0"/>
                    <w:ind w:firstLine="0" w:firstLineChars="0"/>
                    <w:jc w:val="center"/>
                    <w:rPr>
                      <w:szCs w:val="21"/>
                    </w:rPr>
                  </w:pPr>
                  <w:r>
                    <w:rPr>
                      <w:szCs w:val="21"/>
                    </w:rPr>
                    <w:t>挤出、硫化</w:t>
                  </w:r>
                </w:p>
              </w:tc>
              <w:tc>
                <w:tcPr>
                  <w:tcW w:w="1506" w:type="pct"/>
                  <w:vAlign w:val="center"/>
                </w:tcPr>
                <w:p w14:paraId="4144D05B">
                  <w:pPr>
                    <w:pStyle w:val="5"/>
                    <w:adjustRightInd w:val="0"/>
                    <w:snapToGrid w:val="0"/>
                    <w:ind w:firstLine="0" w:firstLineChars="0"/>
                    <w:jc w:val="center"/>
                    <w:rPr>
                      <w:szCs w:val="21"/>
                    </w:rPr>
                  </w:pPr>
                  <w:r>
                    <w:rPr>
                      <w:szCs w:val="21"/>
                    </w:rPr>
                    <w:t>非甲烷总烃、VOCs、H</w:t>
                  </w:r>
                  <w:r>
                    <w:rPr>
                      <w:szCs w:val="21"/>
                      <w:vertAlign w:val="subscript"/>
                    </w:rPr>
                    <w:t>2</w:t>
                  </w:r>
                  <w:r>
                    <w:rPr>
                      <w:szCs w:val="21"/>
                    </w:rPr>
                    <w:t>S</w:t>
                  </w:r>
                  <w:r>
                    <w:rPr>
                      <w:rFonts w:hint="eastAsia"/>
                      <w:szCs w:val="21"/>
                    </w:rPr>
                    <w:t>、氟化物</w:t>
                  </w:r>
                </w:p>
              </w:tc>
              <w:tc>
                <w:tcPr>
                  <w:tcW w:w="1203" w:type="pct"/>
                  <w:vMerge w:val="restart"/>
                  <w:vAlign w:val="center"/>
                </w:tcPr>
                <w:p w14:paraId="331295ED">
                  <w:pPr>
                    <w:pStyle w:val="5"/>
                    <w:adjustRightInd w:val="0"/>
                    <w:snapToGrid w:val="0"/>
                    <w:ind w:firstLine="0" w:firstLineChars="0"/>
                    <w:jc w:val="center"/>
                    <w:rPr>
                      <w:szCs w:val="21"/>
                    </w:rPr>
                  </w:pPr>
                  <w:r>
                    <w:t>碱喷淋+活性炭吸附装置</w:t>
                  </w:r>
                </w:p>
              </w:tc>
              <w:tc>
                <w:tcPr>
                  <w:tcW w:w="1097" w:type="pct"/>
                  <w:vMerge w:val="restart"/>
                  <w:vAlign w:val="center"/>
                </w:tcPr>
                <w:p w14:paraId="30751ADA">
                  <w:pPr>
                    <w:pStyle w:val="5"/>
                    <w:adjustRightInd w:val="0"/>
                    <w:snapToGrid w:val="0"/>
                    <w:ind w:firstLine="0" w:firstLineChars="0"/>
                    <w:jc w:val="center"/>
                    <w:rPr>
                      <w:szCs w:val="21"/>
                    </w:rPr>
                  </w:pPr>
                  <w:r>
                    <w:rPr>
                      <w:rFonts w:hint="eastAsia"/>
                      <w:szCs w:val="21"/>
                    </w:rPr>
                    <w:t>3</w:t>
                  </w:r>
                  <w:r>
                    <w:rPr>
                      <w:szCs w:val="21"/>
                    </w:rPr>
                    <w:t>#15m排气筒</w:t>
                  </w:r>
                </w:p>
              </w:tc>
            </w:tr>
            <w:tr w14:paraId="282DC6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continue"/>
                  <w:vAlign w:val="center"/>
                </w:tcPr>
                <w:p w14:paraId="4A736FF0">
                  <w:pPr>
                    <w:pStyle w:val="5"/>
                    <w:adjustRightInd w:val="0"/>
                    <w:snapToGrid w:val="0"/>
                    <w:ind w:firstLine="0" w:firstLineChars="0"/>
                    <w:jc w:val="center"/>
                    <w:rPr>
                      <w:szCs w:val="21"/>
                    </w:rPr>
                  </w:pPr>
                </w:p>
              </w:tc>
              <w:tc>
                <w:tcPr>
                  <w:tcW w:w="740" w:type="pct"/>
                  <w:vAlign w:val="center"/>
                </w:tcPr>
                <w:p w14:paraId="26EA955A">
                  <w:pPr>
                    <w:pStyle w:val="5"/>
                    <w:adjustRightInd w:val="0"/>
                    <w:snapToGrid w:val="0"/>
                    <w:ind w:firstLine="0" w:firstLineChars="0"/>
                    <w:jc w:val="center"/>
                    <w:rPr>
                      <w:szCs w:val="21"/>
                    </w:rPr>
                  </w:pPr>
                  <w:r>
                    <w:rPr>
                      <w:rFonts w:hint="eastAsia"/>
                      <w:szCs w:val="21"/>
                    </w:rPr>
                    <w:t>二次硫化</w:t>
                  </w:r>
                </w:p>
              </w:tc>
              <w:tc>
                <w:tcPr>
                  <w:tcW w:w="1506" w:type="pct"/>
                  <w:vAlign w:val="center"/>
                </w:tcPr>
                <w:p w14:paraId="50031226">
                  <w:pPr>
                    <w:pStyle w:val="5"/>
                    <w:adjustRightInd w:val="0"/>
                    <w:snapToGrid w:val="0"/>
                    <w:ind w:firstLine="0" w:firstLineChars="0"/>
                    <w:jc w:val="center"/>
                    <w:rPr>
                      <w:szCs w:val="21"/>
                    </w:rPr>
                  </w:pPr>
                  <w:r>
                    <w:rPr>
                      <w:szCs w:val="21"/>
                    </w:rPr>
                    <w:t>非甲烷总烃、VOCs、H</w:t>
                  </w:r>
                  <w:r>
                    <w:rPr>
                      <w:szCs w:val="21"/>
                      <w:vertAlign w:val="subscript"/>
                    </w:rPr>
                    <w:t>2</w:t>
                  </w:r>
                  <w:r>
                    <w:rPr>
                      <w:szCs w:val="21"/>
                    </w:rPr>
                    <w:t>S</w:t>
                  </w:r>
                  <w:r>
                    <w:rPr>
                      <w:rFonts w:hint="eastAsia"/>
                      <w:szCs w:val="21"/>
                    </w:rPr>
                    <w:t>、氟化物</w:t>
                  </w:r>
                </w:p>
              </w:tc>
              <w:tc>
                <w:tcPr>
                  <w:tcW w:w="1203" w:type="pct"/>
                  <w:vMerge w:val="continue"/>
                  <w:vAlign w:val="center"/>
                </w:tcPr>
                <w:p w14:paraId="0944A9AE">
                  <w:pPr>
                    <w:pStyle w:val="5"/>
                    <w:adjustRightInd w:val="0"/>
                    <w:snapToGrid w:val="0"/>
                    <w:ind w:firstLine="0" w:firstLineChars="0"/>
                    <w:jc w:val="center"/>
                    <w:rPr>
                      <w:szCs w:val="21"/>
                    </w:rPr>
                  </w:pPr>
                </w:p>
              </w:tc>
              <w:tc>
                <w:tcPr>
                  <w:tcW w:w="1097" w:type="pct"/>
                  <w:vMerge w:val="continue"/>
                  <w:vAlign w:val="center"/>
                </w:tcPr>
                <w:p w14:paraId="29A2EEB9">
                  <w:pPr>
                    <w:pStyle w:val="5"/>
                    <w:adjustRightInd w:val="0"/>
                    <w:snapToGrid w:val="0"/>
                    <w:ind w:firstLine="0" w:firstLineChars="0"/>
                    <w:jc w:val="center"/>
                    <w:rPr>
                      <w:szCs w:val="21"/>
                    </w:rPr>
                  </w:pPr>
                </w:p>
              </w:tc>
            </w:tr>
            <w:tr w14:paraId="1E7B8D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restart"/>
                  <w:vAlign w:val="center"/>
                </w:tcPr>
                <w:p w14:paraId="4094F0EC">
                  <w:pPr>
                    <w:pStyle w:val="5"/>
                    <w:adjustRightInd w:val="0"/>
                    <w:snapToGrid w:val="0"/>
                    <w:ind w:firstLine="0" w:firstLineChars="0"/>
                    <w:jc w:val="center"/>
                    <w:rPr>
                      <w:szCs w:val="21"/>
                    </w:rPr>
                  </w:pPr>
                  <w:r>
                    <w:rPr>
                      <w:rFonts w:hint="eastAsia"/>
                      <w:szCs w:val="21"/>
                    </w:rPr>
                    <w:t>1#车间</w:t>
                  </w:r>
                </w:p>
              </w:tc>
              <w:tc>
                <w:tcPr>
                  <w:tcW w:w="740" w:type="pct"/>
                  <w:vAlign w:val="center"/>
                </w:tcPr>
                <w:p w14:paraId="091A5955">
                  <w:pPr>
                    <w:pStyle w:val="5"/>
                    <w:adjustRightInd w:val="0"/>
                    <w:snapToGrid w:val="0"/>
                    <w:ind w:firstLine="0" w:firstLineChars="0"/>
                    <w:jc w:val="center"/>
                    <w:rPr>
                      <w:szCs w:val="21"/>
                    </w:rPr>
                  </w:pPr>
                  <w:r>
                    <w:rPr>
                      <w:rFonts w:hint="eastAsia"/>
                      <w:szCs w:val="21"/>
                    </w:rPr>
                    <w:t>挤出、硫化</w:t>
                  </w:r>
                </w:p>
              </w:tc>
              <w:tc>
                <w:tcPr>
                  <w:tcW w:w="1506" w:type="pct"/>
                  <w:vAlign w:val="center"/>
                </w:tcPr>
                <w:p w14:paraId="52E2D4BE">
                  <w:pPr>
                    <w:pStyle w:val="5"/>
                    <w:adjustRightInd w:val="0"/>
                    <w:snapToGrid w:val="0"/>
                    <w:ind w:firstLine="0" w:firstLineChars="0"/>
                    <w:jc w:val="center"/>
                    <w:rPr>
                      <w:szCs w:val="21"/>
                    </w:rPr>
                  </w:pPr>
                  <w:r>
                    <w:rPr>
                      <w:szCs w:val="21"/>
                    </w:rPr>
                    <w:t>非甲烷总烃、VOCs、H</w:t>
                  </w:r>
                  <w:r>
                    <w:rPr>
                      <w:szCs w:val="21"/>
                      <w:vertAlign w:val="subscript"/>
                    </w:rPr>
                    <w:t>2</w:t>
                  </w:r>
                  <w:r>
                    <w:rPr>
                      <w:szCs w:val="21"/>
                    </w:rPr>
                    <w:t>S</w:t>
                  </w:r>
                  <w:r>
                    <w:rPr>
                      <w:rFonts w:hint="eastAsia"/>
                      <w:szCs w:val="21"/>
                    </w:rPr>
                    <w:t>、氟化物</w:t>
                  </w:r>
                </w:p>
              </w:tc>
              <w:tc>
                <w:tcPr>
                  <w:tcW w:w="1203" w:type="pct"/>
                  <w:vMerge w:val="restart"/>
                  <w:vAlign w:val="center"/>
                </w:tcPr>
                <w:p w14:paraId="77678D91">
                  <w:pPr>
                    <w:pStyle w:val="5"/>
                    <w:adjustRightInd w:val="0"/>
                    <w:snapToGrid w:val="0"/>
                    <w:ind w:firstLine="0" w:firstLineChars="0"/>
                    <w:jc w:val="center"/>
                    <w:rPr>
                      <w:szCs w:val="21"/>
                    </w:rPr>
                  </w:pPr>
                  <w:r>
                    <w:t>碱喷淋+活性炭吸附装置</w:t>
                  </w:r>
                </w:p>
              </w:tc>
              <w:tc>
                <w:tcPr>
                  <w:tcW w:w="1097" w:type="pct"/>
                  <w:vMerge w:val="restart"/>
                  <w:vAlign w:val="center"/>
                </w:tcPr>
                <w:p w14:paraId="054653B7">
                  <w:pPr>
                    <w:pStyle w:val="5"/>
                    <w:adjustRightInd w:val="0"/>
                    <w:snapToGrid w:val="0"/>
                    <w:ind w:firstLine="0" w:firstLineChars="0"/>
                    <w:jc w:val="center"/>
                    <w:rPr>
                      <w:szCs w:val="21"/>
                    </w:rPr>
                  </w:pPr>
                  <w:r>
                    <w:rPr>
                      <w:rFonts w:hint="eastAsia"/>
                      <w:szCs w:val="21"/>
                    </w:rPr>
                    <w:t>1#15m排气筒</w:t>
                  </w:r>
                </w:p>
              </w:tc>
            </w:tr>
            <w:tr w14:paraId="6E74C9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Merge w:val="continue"/>
                  <w:vAlign w:val="center"/>
                </w:tcPr>
                <w:p w14:paraId="09A9330D">
                  <w:pPr>
                    <w:pStyle w:val="5"/>
                    <w:adjustRightInd w:val="0"/>
                    <w:snapToGrid w:val="0"/>
                    <w:ind w:firstLine="0" w:firstLineChars="0"/>
                    <w:jc w:val="center"/>
                    <w:rPr>
                      <w:szCs w:val="21"/>
                    </w:rPr>
                  </w:pPr>
                </w:p>
              </w:tc>
              <w:tc>
                <w:tcPr>
                  <w:tcW w:w="740" w:type="pct"/>
                  <w:vAlign w:val="center"/>
                </w:tcPr>
                <w:p w14:paraId="18C44A2D">
                  <w:pPr>
                    <w:pStyle w:val="5"/>
                    <w:adjustRightInd w:val="0"/>
                    <w:snapToGrid w:val="0"/>
                    <w:ind w:firstLine="0" w:firstLineChars="0"/>
                    <w:jc w:val="center"/>
                    <w:rPr>
                      <w:szCs w:val="21"/>
                    </w:rPr>
                  </w:pPr>
                  <w:r>
                    <w:rPr>
                      <w:rFonts w:hint="eastAsia"/>
                      <w:szCs w:val="21"/>
                    </w:rPr>
                    <w:t>二次硫化</w:t>
                  </w:r>
                </w:p>
              </w:tc>
              <w:tc>
                <w:tcPr>
                  <w:tcW w:w="1506" w:type="pct"/>
                  <w:vAlign w:val="center"/>
                </w:tcPr>
                <w:p w14:paraId="570E865B">
                  <w:pPr>
                    <w:pStyle w:val="5"/>
                    <w:adjustRightInd w:val="0"/>
                    <w:snapToGrid w:val="0"/>
                    <w:ind w:firstLine="0" w:firstLineChars="0"/>
                    <w:jc w:val="center"/>
                    <w:rPr>
                      <w:szCs w:val="21"/>
                    </w:rPr>
                  </w:pPr>
                  <w:bookmarkStart w:id="92" w:name="OLE_LINK36"/>
                  <w:bookmarkStart w:id="93" w:name="OLE_LINK35"/>
                  <w:r>
                    <w:rPr>
                      <w:szCs w:val="21"/>
                    </w:rPr>
                    <w:t>非甲烷总烃、VOCs、H</w:t>
                  </w:r>
                  <w:r>
                    <w:rPr>
                      <w:szCs w:val="21"/>
                      <w:vertAlign w:val="subscript"/>
                    </w:rPr>
                    <w:t>2</w:t>
                  </w:r>
                  <w:r>
                    <w:rPr>
                      <w:szCs w:val="21"/>
                    </w:rPr>
                    <w:t>S</w:t>
                  </w:r>
                  <w:r>
                    <w:rPr>
                      <w:rFonts w:hint="eastAsia"/>
                      <w:szCs w:val="21"/>
                    </w:rPr>
                    <w:t>、氟化物</w:t>
                  </w:r>
                  <w:bookmarkEnd w:id="92"/>
                  <w:bookmarkEnd w:id="93"/>
                </w:p>
              </w:tc>
              <w:tc>
                <w:tcPr>
                  <w:tcW w:w="1203" w:type="pct"/>
                  <w:vMerge w:val="continue"/>
                  <w:vAlign w:val="center"/>
                </w:tcPr>
                <w:p w14:paraId="39E85669">
                  <w:pPr>
                    <w:pStyle w:val="5"/>
                    <w:adjustRightInd w:val="0"/>
                    <w:snapToGrid w:val="0"/>
                    <w:ind w:firstLine="0" w:firstLineChars="0"/>
                    <w:jc w:val="center"/>
                    <w:rPr>
                      <w:szCs w:val="21"/>
                    </w:rPr>
                  </w:pPr>
                </w:p>
              </w:tc>
              <w:tc>
                <w:tcPr>
                  <w:tcW w:w="1097" w:type="pct"/>
                  <w:vMerge w:val="continue"/>
                  <w:vAlign w:val="center"/>
                </w:tcPr>
                <w:p w14:paraId="6956E1DE">
                  <w:pPr>
                    <w:pStyle w:val="5"/>
                    <w:adjustRightInd w:val="0"/>
                    <w:snapToGrid w:val="0"/>
                    <w:ind w:firstLine="0" w:firstLineChars="0"/>
                    <w:jc w:val="center"/>
                    <w:rPr>
                      <w:szCs w:val="21"/>
                    </w:rPr>
                  </w:pPr>
                </w:p>
              </w:tc>
            </w:tr>
            <w:tr w14:paraId="16CAA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2" w:type="pct"/>
                  <w:vAlign w:val="center"/>
                </w:tcPr>
                <w:p w14:paraId="605FB8E9">
                  <w:pPr>
                    <w:pStyle w:val="5"/>
                    <w:adjustRightInd w:val="0"/>
                    <w:snapToGrid w:val="0"/>
                    <w:ind w:firstLine="0" w:firstLineChars="0"/>
                    <w:jc w:val="center"/>
                    <w:rPr>
                      <w:szCs w:val="21"/>
                    </w:rPr>
                  </w:pPr>
                  <w:r>
                    <w:rPr>
                      <w:rFonts w:hint="eastAsia"/>
                      <w:szCs w:val="21"/>
                    </w:rPr>
                    <w:t>食堂</w:t>
                  </w:r>
                </w:p>
              </w:tc>
              <w:tc>
                <w:tcPr>
                  <w:tcW w:w="740" w:type="pct"/>
                  <w:vAlign w:val="center"/>
                </w:tcPr>
                <w:p w14:paraId="7E410979">
                  <w:pPr>
                    <w:pStyle w:val="5"/>
                    <w:adjustRightInd w:val="0"/>
                    <w:snapToGrid w:val="0"/>
                    <w:ind w:firstLine="0" w:firstLineChars="0"/>
                    <w:jc w:val="center"/>
                    <w:rPr>
                      <w:szCs w:val="21"/>
                    </w:rPr>
                  </w:pPr>
                  <w:r>
                    <w:rPr>
                      <w:rFonts w:hint="eastAsia"/>
                      <w:szCs w:val="21"/>
                    </w:rPr>
                    <w:t>食堂油烟</w:t>
                  </w:r>
                </w:p>
              </w:tc>
              <w:tc>
                <w:tcPr>
                  <w:tcW w:w="1506" w:type="pct"/>
                  <w:vAlign w:val="center"/>
                </w:tcPr>
                <w:p w14:paraId="503BDDC4">
                  <w:pPr>
                    <w:pStyle w:val="5"/>
                    <w:adjustRightInd w:val="0"/>
                    <w:snapToGrid w:val="0"/>
                    <w:ind w:firstLine="0" w:firstLineChars="0"/>
                    <w:jc w:val="center"/>
                    <w:rPr>
                      <w:szCs w:val="21"/>
                    </w:rPr>
                  </w:pPr>
                  <w:r>
                    <w:rPr>
                      <w:rFonts w:hint="eastAsia"/>
                      <w:szCs w:val="21"/>
                    </w:rPr>
                    <w:t>油烟</w:t>
                  </w:r>
                </w:p>
              </w:tc>
              <w:tc>
                <w:tcPr>
                  <w:tcW w:w="1203" w:type="pct"/>
                  <w:vAlign w:val="center"/>
                </w:tcPr>
                <w:p w14:paraId="3ED06914">
                  <w:pPr>
                    <w:pStyle w:val="5"/>
                    <w:adjustRightInd w:val="0"/>
                    <w:snapToGrid w:val="0"/>
                    <w:ind w:firstLine="0" w:firstLineChars="0"/>
                    <w:jc w:val="center"/>
                    <w:rPr>
                      <w:szCs w:val="21"/>
                    </w:rPr>
                  </w:pPr>
                  <w:bookmarkStart w:id="94" w:name="OLE_LINK62"/>
                  <w:bookmarkStart w:id="95" w:name="OLE_LINK63"/>
                  <w:r>
                    <w:rPr>
                      <w:rFonts w:hint="eastAsia"/>
                      <w:szCs w:val="21"/>
                    </w:rPr>
                    <w:t>油烟净化装置</w:t>
                  </w:r>
                  <w:bookmarkEnd w:id="94"/>
                  <w:bookmarkEnd w:id="95"/>
                </w:p>
              </w:tc>
              <w:tc>
                <w:tcPr>
                  <w:tcW w:w="1097" w:type="pct"/>
                  <w:vAlign w:val="center"/>
                </w:tcPr>
                <w:p w14:paraId="25CB6B59">
                  <w:pPr>
                    <w:pStyle w:val="5"/>
                    <w:adjustRightInd w:val="0"/>
                    <w:snapToGrid w:val="0"/>
                    <w:ind w:firstLine="0" w:firstLineChars="0"/>
                    <w:jc w:val="center"/>
                    <w:rPr>
                      <w:szCs w:val="21"/>
                    </w:rPr>
                  </w:pPr>
                  <w:r>
                    <w:rPr>
                      <w:rFonts w:hint="eastAsia"/>
                      <w:szCs w:val="21"/>
                    </w:rPr>
                    <w:t>4#8m排气筒</w:t>
                  </w:r>
                </w:p>
              </w:tc>
            </w:tr>
          </w:tbl>
          <w:p w14:paraId="600B8E8F">
            <w:pPr>
              <w:pStyle w:val="5"/>
              <w:adjustRightInd w:val="0"/>
              <w:snapToGrid w:val="0"/>
              <w:spacing w:beforeLines="50" w:line="360" w:lineRule="auto"/>
              <w:ind w:firstLine="422"/>
              <w:rPr>
                <w:szCs w:val="21"/>
              </w:rPr>
            </w:pPr>
            <w:r>
              <w:rPr>
                <w:b/>
                <w:bCs/>
                <w:szCs w:val="21"/>
              </w:rPr>
              <w:t>②源强核算</w:t>
            </w:r>
          </w:p>
          <w:p w14:paraId="3772A36A">
            <w:pPr>
              <w:pStyle w:val="5"/>
              <w:adjustRightInd w:val="0"/>
              <w:snapToGrid w:val="0"/>
              <w:spacing w:line="360" w:lineRule="auto"/>
              <w:ind w:firstLine="420"/>
              <w:rPr>
                <w:szCs w:val="21"/>
              </w:rPr>
            </w:pPr>
            <w:r>
              <w:rPr>
                <w:szCs w:val="21"/>
              </w:rPr>
              <w:t>根据《环境影响评价技术导则 大气环境》（HJ2.2-2018）：“改建、扩建项目现状工程的污染源和评价范围内拟被替代的污染源调查，可根据数据的可获得性，依次优先使用项目监督性监测数据、在线监测数据、年度排污许可执行报告、自主验收报告、排污许可证数据、环评数据或补充污染源监测数据等”，因此本次选用现有项目自主验收报告中监测数据对配料粉尘、混炼废气、</w:t>
            </w:r>
            <w:r>
              <w:rPr>
                <w:rFonts w:hint="eastAsia"/>
                <w:szCs w:val="21"/>
              </w:rPr>
              <w:t>返炼废气、挤出废气、</w:t>
            </w:r>
            <w:r>
              <w:rPr>
                <w:szCs w:val="21"/>
              </w:rPr>
              <w:t>抛丸粉尘</w:t>
            </w:r>
            <w:r>
              <w:rPr>
                <w:rFonts w:hint="eastAsia"/>
                <w:szCs w:val="21"/>
              </w:rPr>
              <w:t>、喷砂粉尘</w:t>
            </w:r>
            <w:r>
              <w:rPr>
                <w:szCs w:val="21"/>
              </w:rPr>
              <w:t>、</w:t>
            </w:r>
            <w:r>
              <w:rPr>
                <w:rFonts w:hint="eastAsia"/>
                <w:szCs w:val="21"/>
              </w:rPr>
              <w:t>喷浸</w:t>
            </w:r>
            <w:r>
              <w:rPr>
                <w:szCs w:val="21"/>
              </w:rPr>
              <w:t>涂胶废气、干燥废气、</w:t>
            </w:r>
            <w:r>
              <w:rPr>
                <w:rFonts w:hint="eastAsia"/>
                <w:szCs w:val="21"/>
              </w:rPr>
              <w:t>电泳后烘干废气、</w:t>
            </w:r>
            <w:r>
              <w:rPr>
                <w:szCs w:val="21"/>
              </w:rPr>
              <w:t>硫化废气、二次硫化废气等污染源源强进行核算。</w:t>
            </w:r>
          </w:p>
          <w:p w14:paraId="36821440">
            <w:pPr>
              <w:pStyle w:val="5"/>
              <w:adjustRightInd w:val="0"/>
              <w:snapToGrid w:val="0"/>
              <w:spacing w:line="360" w:lineRule="auto"/>
              <w:ind w:firstLine="420"/>
              <w:rPr>
                <w:szCs w:val="21"/>
              </w:rPr>
            </w:pPr>
            <w:r>
              <w:rPr>
                <w:szCs w:val="21"/>
              </w:rPr>
              <w:t>现有项目环评及验收报告中有机废气以非甲烷总烃计，排放量较小的污染因子丙烯腈等有机废气</w:t>
            </w:r>
            <w:r>
              <w:rPr>
                <w:rFonts w:hint="eastAsia"/>
                <w:szCs w:val="21"/>
              </w:rPr>
              <w:t>计入</w:t>
            </w:r>
            <w:r>
              <w:rPr>
                <w:szCs w:val="21"/>
              </w:rPr>
              <w:t>VOCs表征。</w:t>
            </w:r>
          </w:p>
          <w:p w14:paraId="54DC35D0">
            <w:pPr>
              <w:pStyle w:val="5"/>
              <w:adjustRightInd w:val="0"/>
              <w:snapToGrid w:val="0"/>
              <w:spacing w:line="360" w:lineRule="auto"/>
              <w:ind w:firstLine="420"/>
              <w:rPr>
                <w:szCs w:val="21"/>
              </w:rPr>
            </w:pPr>
            <w:r>
              <w:rPr>
                <w:szCs w:val="21"/>
              </w:rPr>
              <w:t>1）1#排气筒废气排放情况（</w:t>
            </w:r>
            <w:r>
              <w:rPr>
                <w:rFonts w:hint="eastAsia"/>
                <w:szCs w:val="21"/>
              </w:rPr>
              <w:t>挤出废气、硫化废气</w:t>
            </w:r>
            <w:r>
              <w:rPr>
                <w:szCs w:val="21"/>
              </w:rPr>
              <w:t>、</w:t>
            </w:r>
            <w:r>
              <w:rPr>
                <w:rFonts w:hint="eastAsia"/>
                <w:szCs w:val="21"/>
              </w:rPr>
              <w:t>二次硫化废气</w:t>
            </w:r>
            <w:r>
              <w:rPr>
                <w:szCs w:val="21"/>
              </w:rPr>
              <w:t>）</w:t>
            </w:r>
          </w:p>
          <w:p w14:paraId="0D368E12">
            <w:pPr>
              <w:pStyle w:val="5"/>
              <w:adjustRightInd w:val="0"/>
              <w:snapToGrid w:val="0"/>
              <w:spacing w:line="360" w:lineRule="auto"/>
              <w:ind w:firstLine="420"/>
              <w:rPr>
                <w:szCs w:val="21"/>
              </w:rPr>
            </w:pPr>
            <w:r>
              <w:rPr>
                <w:szCs w:val="21"/>
              </w:rPr>
              <w:t>现有项目</w:t>
            </w:r>
            <w:r>
              <w:rPr>
                <w:rFonts w:hint="eastAsia"/>
                <w:szCs w:val="21"/>
              </w:rPr>
              <w:t>1#车间挤出废气、硫化废气、二次硫化废气</w:t>
            </w:r>
            <w:r>
              <w:rPr>
                <w:szCs w:val="21"/>
              </w:rPr>
              <w:t>收集后经</w:t>
            </w:r>
            <w:r>
              <w:rPr>
                <w:rFonts w:hint="eastAsia"/>
                <w:szCs w:val="21"/>
              </w:rPr>
              <w:t>碱喷淋</w:t>
            </w:r>
            <w:r>
              <w:rPr>
                <w:szCs w:val="21"/>
              </w:rPr>
              <w:t>+活性炭吸附装置处理后通过1#15m排气筒排放，根据《</w:t>
            </w:r>
            <w:r>
              <w:rPr>
                <w:rFonts w:hint="eastAsia"/>
                <w:bCs/>
                <w:szCs w:val="21"/>
              </w:rPr>
              <w:t>常州朗博密封科技股份有限公司迁建年产2.7亿件橡胶制品项目环保设施“三同时”竣工验收报告</w:t>
            </w:r>
            <w:r>
              <w:rPr>
                <w:szCs w:val="21"/>
              </w:rPr>
              <w:t>》，验收监测期间</w:t>
            </w:r>
            <w:r>
              <w:rPr>
                <w:rFonts w:hint="eastAsia"/>
                <w:szCs w:val="21"/>
              </w:rPr>
              <w:t>挤出、硫化、二次硫化</w:t>
            </w:r>
            <w:r>
              <w:rPr>
                <w:szCs w:val="21"/>
              </w:rPr>
              <w:t>工序中1#排气筒出口处</w:t>
            </w:r>
            <w:r>
              <w:rPr>
                <w:rFonts w:hint="eastAsia"/>
                <w:szCs w:val="21"/>
              </w:rPr>
              <w:t>硫化氢</w:t>
            </w:r>
            <w:r>
              <w:rPr>
                <w:szCs w:val="21"/>
              </w:rPr>
              <w:t>排放速率为</w:t>
            </w:r>
            <w:r>
              <w:rPr>
                <w:rFonts w:hint="eastAsia"/>
                <w:szCs w:val="21"/>
              </w:rPr>
              <w:t>0</w:t>
            </w:r>
            <w:r>
              <w:rPr>
                <w:szCs w:val="21"/>
              </w:rPr>
              <w:t>kg/h、</w:t>
            </w:r>
            <w:r>
              <w:rPr>
                <w:rFonts w:hint="eastAsia"/>
                <w:szCs w:val="21"/>
              </w:rPr>
              <w:t>氟化物排放速率为0.000799kg/h、</w:t>
            </w:r>
            <w:r>
              <w:rPr>
                <w:szCs w:val="21"/>
              </w:rPr>
              <w:t>非甲烷总烃排放速率为</w:t>
            </w:r>
            <w:r>
              <w:rPr>
                <w:rFonts w:hint="eastAsia"/>
                <w:szCs w:val="21"/>
              </w:rPr>
              <w:t>0.0174</w:t>
            </w:r>
            <w:r>
              <w:rPr>
                <w:szCs w:val="21"/>
              </w:rPr>
              <w:t>kg/h、</w:t>
            </w:r>
            <w:r>
              <w:rPr>
                <w:rFonts w:hint="eastAsia"/>
                <w:szCs w:val="21"/>
              </w:rPr>
              <w:t>挥发性有机物</w:t>
            </w:r>
            <w:r>
              <w:rPr>
                <w:szCs w:val="21"/>
              </w:rPr>
              <w:t>排放速率为</w:t>
            </w:r>
            <w:r>
              <w:rPr>
                <w:rFonts w:hint="eastAsia"/>
                <w:szCs w:val="21"/>
              </w:rPr>
              <w:t>0.00634</w:t>
            </w:r>
            <w:r>
              <w:rPr>
                <w:szCs w:val="21"/>
              </w:rPr>
              <w:t>kg/h，废气处理设施运行时间为</w:t>
            </w:r>
            <w:r>
              <w:rPr>
                <w:rFonts w:hint="eastAsia"/>
                <w:szCs w:val="21"/>
              </w:rPr>
              <w:t>72</w:t>
            </w:r>
            <w:r>
              <w:rPr>
                <w:szCs w:val="21"/>
              </w:rPr>
              <w:t>00h/a，监测期间生产负荷为</w:t>
            </w:r>
            <w:r>
              <w:rPr>
                <w:rFonts w:hint="eastAsia"/>
                <w:szCs w:val="21"/>
              </w:rPr>
              <w:t>100</w:t>
            </w:r>
            <w:r>
              <w:rPr>
                <w:szCs w:val="21"/>
              </w:rPr>
              <w:t>%，则</w:t>
            </w:r>
            <w:r>
              <w:rPr>
                <w:rFonts w:hint="eastAsia"/>
                <w:szCs w:val="21"/>
              </w:rPr>
              <w:t>挤出、硫化、二次硫化</w:t>
            </w:r>
            <w:r>
              <w:rPr>
                <w:szCs w:val="21"/>
              </w:rPr>
              <w:t>工序</w:t>
            </w:r>
            <w:r>
              <w:rPr>
                <w:rFonts w:hint="eastAsia"/>
                <w:szCs w:val="21"/>
              </w:rPr>
              <w:t>硫化氢</w:t>
            </w:r>
            <w:r>
              <w:rPr>
                <w:szCs w:val="21"/>
              </w:rPr>
              <w:t>、</w:t>
            </w:r>
            <w:r>
              <w:rPr>
                <w:rFonts w:hint="eastAsia"/>
                <w:szCs w:val="21"/>
              </w:rPr>
              <w:t>氟化物、</w:t>
            </w:r>
            <w:r>
              <w:rPr>
                <w:szCs w:val="21"/>
              </w:rPr>
              <w:t>非甲烷总烃、</w:t>
            </w:r>
            <w:r>
              <w:rPr>
                <w:rFonts w:hint="eastAsia"/>
                <w:szCs w:val="21"/>
              </w:rPr>
              <w:t>挥发性有机物</w:t>
            </w:r>
            <w:r>
              <w:rPr>
                <w:szCs w:val="21"/>
              </w:rPr>
              <w:t>经处理后排放量分别为</w:t>
            </w:r>
            <w:r>
              <w:rPr>
                <w:rFonts w:hint="eastAsia"/>
                <w:szCs w:val="21"/>
              </w:rPr>
              <w:t>0</w:t>
            </w:r>
            <w:r>
              <w:rPr>
                <w:szCs w:val="21"/>
              </w:rPr>
              <w:t>t/a、</w:t>
            </w:r>
            <w:r>
              <w:rPr>
                <w:rFonts w:hint="eastAsia"/>
                <w:szCs w:val="21"/>
              </w:rPr>
              <w:t>0.00575</w:t>
            </w:r>
            <w:r>
              <w:rPr>
                <w:szCs w:val="21"/>
              </w:rPr>
              <w:t>t/a、</w:t>
            </w:r>
            <w:r>
              <w:rPr>
                <w:rFonts w:hint="eastAsia"/>
                <w:szCs w:val="21"/>
              </w:rPr>
              <w:t>0.125</w:t>
            </w:r>
            <w:r>
              <w:rPr>
                <w:szCs w:val="21"/>
              </w:rPr>
              <w:t>t/a、</w:t>
            </w:r>
            <w:r>
              <w:rPr>
                <w:rFonts w:hint="eastAsia"/>
                <w:szCs w:val="21"/>
              </w:rPr>
              <w:t>0.0456t</w:t>
            </w:r>
            <w:r>
              <w:rPr>
                <w:szCs w:val="21"/>
              </w:rPr>
              <w:t>/a。</w:t>
            </w:r>
          </w:p>
          <w:p w14:paraId="0A871375">
            <w:pPr>
              <w:pStyle w:val="5"/>
              <w:adjustRightInd w:val="0"/>
              <w:snapToGrid w:val="0"/>
              <w:spacing w:line="360" w:lineRule="auto"/>
              <w:ind w:firstLine="420"/>
              <w:rPr>
                <w:szCs w:val="21"/>
              </w:rPr>
            </w:pPr>
            <w:r>
              <w:rPr>
                <w:szCs w:val="21"/>
              </w:rPr>
              <w:t>2）2#</w:t>
            </w:r>
            <w:r>
              <w:rPr>
                <w:rFonts w:hint="eastAsia"/>
                <w:szCs w:val="21"/>
              </w:rPr>
              <w:t>或7#</w:t>
            </w:r>
            <w:r>
              <w:rPr>
                <w:szCs w:val="21"/>
              </w:rPr>
              <w:t>排气筒废气排放情况（</w:t>
            </w:r>
            <w:r>
              <w:rPr>
                <w:rFonts w:hint="eastAsia"/>
                <w:szCs w:val="21"/>
              </w:rPr>
              <w:t>配料粉尘、混炼废气、返炼废气</w:t>
            </w:r>
            <w:r>
              <w:rPr>
                <w:szCs w:val="21"/>
              </w:rPr>
              <w:t>）</w:t>
            </w:r>
          </w:p>
          <w:p w14:paraId="11313089">
            <w:pPr>
              <w:pStyle w:val="5"/>
              <w:adjustRightInd w:val="0"/>
              <w:snapToGrid w:val="0"/>
              <w:spacing w:line="360" w:lineRule="auto"/>
              <w:ind w:firstLine="420"/>
              <w:rPr>
                <w:szCs w:val="21"/>
              </w:rPr>
            </w:pPr>
            <w:r>
              <w:rPr>
                <w:szCs w:val="21"/>
              </w:rPr>
              <w:t>现有项目</w:t>
            </w:r>
            <w:r>
              <w:rPr>
                <w:rFonts w:hint="eastAsia"/>
                <w:szCs w:val="21"/>
              </w:rPr>
              <w:t>配料粉尘、混炼废气、返炼废气</w:t>
            </w:r>
            <w:r>
              <w:rPr>
                <w:szCs w:val="21"/>
              </w:rPr>
              <w:t>收集后经布袋除尘器</w:t>
            </w:r>
            <w:r>
              <w:rPr>
                <w:rFonts w:hint="eastAsia"/>
                <w:szCs w:val="21"/>
              </w:rPr>
              <w:t>+活性炭吸附装置</w:t>
            </w:r>
            <w:r>
              <w:rPr>
                <w:szCs w:val="21"/>
              </w:rPr>
              <w:t>处理后通过2#</w:t>
            </w:r>
            <w:r>
              <w:rPr>
                <w:rFonts w:hint="eastAsia"/>
                <w:szCs w:val="21"/>
              </w:rPr>
              <w:t>或7#</w:t>
            </w:r>
            <w:r>
              <w:rPr>
                <w:szCs w:val="21"/>
              </w:rPr>
              <w:t>15m排气筒排放，根据《</w:t>
            </w:r>
            <w:r>
              <w:rPr>
                <w:rFonts w:hint="eastAsia"/>
                <w:bCs/>
                <w:szCs w:val="21"/>
              </w:rPr>
              <w:t>常州朗博密封科技股份有限公司迁建年产2.7亿件橡胶制品项目环保设施“三同时”竣工验收报告</w:t>
            </w:r>
            <w:r>
              <w:rPr>
                <w:szCs w:val="21"/>
              </w:rPr>
              <w:t>》，验收监测期间</w:t>
            </w:r>
            <w:r>
              <w:rPr>
                <w:rFonts w:hint="eastAsia"/>
                <w:szCs w:val="21"/>
              </w:rPr>
              <w:t>配料、混炼、返炼</w:t>
            </w:r>
            <w:r>
              <w:rPr>
                <w:szCs w:val="21"/>
              </w:rPr>
              <w:t>工序中2#排气筒出口处</w:t>
            </w:r>
            <w:r>
              <w:rPr>
                <w:rFonts w:hint="eastAsia"/>
                <w:szCs w:val="21"/>
              </w:rPr>
              <w:t>颗粒物</w:t>
            </w:r>
            <w:r>
              <w:rPr>
                <w:szCs w:val="21"/>
              </w:rPr>
              <w:t>排放速率为</w:t>
            </w:r>
            <w:r>
              <w:rPr>
                <w:rFonts w:hint="eastAsia"/>
                <w:szCs w:val="21"/>
              </w:rPr>
              <w:t>0.0892</w:t>
            </w:r>
            <w:r>
              <w:rPr>
                <w:szCs w:val="21"/>
              </w:rPr>
              <w:t>kg/h，</w:t>
            </w:r>
            <w:r>
              <w:rPr>
                <w:rFonts w:hint="eastAsia"/>
                <w:szCs w:val="21"/>
              </w:rPr>
              <w:t>硫化氢</w:t>
            </w:r>
            <w:r>
              <w:rPr>
                <w:szCs w:val="21"/>
              </w:rPr>
              <w:t>排放速率为</w:t>
            </w:r>
            <w:r>
              <w:rPr>
                <w:rFonts w:hint="eastAsia"/>
                <w:szCs w:val="21"/>
              </w:rPr>
              <w:t>0</w:t>
            </w:r>
            <w:r>
              <w:rPr>
                <w:szCs w:val="21"/>
              </w:rPr>
              <w:t>kg/h</w:t>
            </w:r>
            <w:r>
              <w:rPr>
                <w:rFonts w:hint="eastAsia"/>
                <w:szCs w:val="21"/>
              </w:rPr>
              <w:t>、</w:t>
            </w:r>
            <w:r>
              <w:rPr>
                <w:szCs w:val="21"/>
              </w:rPr>
              <w:t>非甲烷总烃排放速率为</w:t>
            </w:r>
            <w:r>
              <w:rPr>
                <w:rFonts w:hint="eastAsia"/>
                <w:szCs w:val="21"/>
              </w:rPr>
              <w:t>0.049</w:t>
            </w:r>
            <w:r>
              <w:rPr>
                <w:szCs w:val="21"/>
              </w:rPr>
              <w:t>kg/h、</w:t>
            </w:r>
            <w:r>
              <w:rPr>
                <w:rFonts w:hint="eastAsia"/>
                <w:szCs w:val="21"/>
              </w:rPr>
              <w:t>挥发性有机物</w:t>
            </w:r>
            <w:r>
              <w:rPr>
                <w:szCs w:val="21"/>
              </w:rPr>
              <w:t>排放速率为</w:t>
            </w:r>
            <w:r>
              <w:rPr>
                <w:rFonts w:hint="eastAsia"/>
                <w:szCs w:val="21"/>
              </w:rPr>
              <w:t>0.014</w:t>
            </w:r>
            <w:r>
              <w:rPr>
                <w:szCs w:val="21"/>
              </w:rPr>
              <w:t>kg/h</w:t>
            </w:r>
            <w:r>
              <w:rPr>
                <w:rFonts w:hint="eastAsia"/>
                <w:szCs w:val="21"/>
              </w:rPr>
              <w:t>，</w:t>
            </w:r>
            <w:r>
              <w:rPr>
                <w:szCs w:val="21"/>
              </w:rPr>
              <w:t>废气处理设施运行时间为</w:t>
            </w:r>
            <w:r>
              <w:rPr>
                <w:rFonts w:hint="eastAsia"/>
                <w:szCs w:val="21"/>
              </w:rPr>
              <w:t>1200</w:t>
            </w:r>
            <w:r>
              <w:rPr>
                <w:szCs w:val="21"/>
              </w:rPr>
              <w:t>h/a，监测期间生产负荷为</w:t>
            </w:r>
            <w:r>
              <w:rPr>
                <w:rFonts w:hint="eastAsia"/>
                <w:szCs w:val="21"/>
              </w:rPr>
              <w:t>100</w:t>
            </w:r>
            <w:r>
              <w:rPr>
                <w:szCs w:val="21"/>
              </w:rPr>
              <w:t>%，则</w:t>
            </w:r>
            <w:r>
              <w:rPr>
                <w:rFonts w:hint="eastAsia"/>
                <w:szCs w:val="21"/>
              </w:rPr>
              <w:t>配料、混炼、返炼</w:t>
            </w:r>
            <w:r>
              <w:rPr>
                <w:szCs w:val="21"/>
              </w:rPr>
              <w:t>工序工序颗粒物</w:t>
            </w:r>
            <w:r>
              <w:rPr>
                <w:rFonts w:hint="eastAsia"/>
                <w:szCs w:val="21"/>
              </w:rPr>
              <w:t>、硫化氢</w:t>
            </w:r>
            <w:r>
              <w:rPr>
                <w:szCs w:val="21"/>
              </w:rPr>
              <w:t>、非甲烷总烃、</w:t>
            </w:r>
            <w:r>
              <w:rPr>
                <w:rFonts w:hint="eastAsia"/>
                <w:szCs w:val="21"/>
              </w:rPr>
              <w:t>挥发性有机物</w:t>
            </w:r>
            <w:r>
              <w:rPr>
                <w:szCs w:val="21"/>
              </w:rPr>
              <w:t>经处理后排放量分别为</w:t>
            </w:r>
            <w:r>
              <w:rPr>
                <w:rFonts w:hint="eastAsia"/>
                <w:szCs w:val="21"/>
              </w:rPr>
              <w:t>0.107t/a、0</w:t>
            </w:r>
            <w:r>
              <w:rPr>
                <w:szCs w:val="21"/>
              </w:rPr>
              <w:t>t/a、</w:t>
            </w:r>
            <w:r>
              <w:rPr>
                <w:rFonts w:hint="eastAsia"/>
                <w:szCs w:val="21"/>
              </w:rPr>
              <w:t>0.0588</w:t>
            </w:r>
            <w:r>
              <w:rPr>
                <w:szCs w:val="21"/>
              </w:rPr>
              <w:t>t/a、</w:t>
            </w:r>
            <w:r>
              <w:rPr>
                <w:rFonts w:hint="eastAsia"/>
                <w:szCs w:val="21"/>
              </w:rPr>
              <w:t>0.0168</w:t>
            </w:r>
            <w:r>
              <w:rPr>
                <w:szCs w:val="21"/>
              </w:rPr>
              <w:t>t/a。</w:t>
            </w:r>
          </w:p>
          <w:p w14:paraId="17D4325E">
            <w:pPr>
              <w:pStyle w:val="5"/>
              <w:adjustRightInd w:val="0"/>
              <w:snapToGrid w:val="0"/>
              <w:spacing w:line="360" w:lineRule="auto"/>
              <w:ind w:firstLine="420"/>
              <w:rPr>
                <w:szCs w:val="21"/>
              </w:rPr>
            </w:pPr>
            <w:r>
              <w:rPr>
                <w:rFonts w:hint="eastAsia"/>
                <w:szCs w:val="21"/>
              </w:rPr>
              <w:t>验收监测期间配料、混炼、返炼</w:t>
            </w:r>
            <w:r>
              <w:rPr>
                <w:szCs w:val="21"/>
              </w:rPr>
              <w:t>工序中</w:t>
            </w:r>
            <w:r>
              <w:rPr>
                <w:rFonts w:hint="eastAsia"/>
                <w:szCs w:val="21"/>
              </w:rPr>
              <w:t>7</w:t>
            </w:r>
            <w:r>
              <w:rPr>
                <w:szCs w:val="21"/>
              </w:rPr>
              <w:t>#排气筒出口处</w:t>
            </w:r>
            <w:r>
              <w:rPr>
                <w:rFonts w:hint="eastAsia"/>
                <w:szCs w:val="21"/>
              </w:rPr>
              <w:t>颗粒物</w:t>
            </w:r>
            <w:r>
              <w:rPr>
                <w:szCs w:val="21"/>
              </w:rPr>
              <w:t>排放速率为</w:t>
            </w:r>
            <w:r>
              <w:rPr>
                <w:rFonts w:hint="eastAsia"/>
                <w:szCs w:val="21"/>
              </w:rPr>
              <w:t>0.0885</w:t>
            </w:r>
            <w:r>
              <w:rPr>
                <w:szCs w:val="21"/>
              </w:rPr>
              <w:t>kg/h，</w:t>
            </w:r>
            <w:r>
              <w:rPr>
                <w:rFonts w:hint="eastAsia"/>
                <w:szCs w:val="21"/>
              </w:rPr>
              <w:t>硫化氢</w:t>
            </w:r>
            <w:r>
              <w:rPr>
                <w:szCs w:val="21"/>
              </w:rPr>
              <w:t>排放速率为</w:t>
            </w:r>
            <w:r>
              <w:rPr>
                <w:rFonts w:hint="eastAsia"/>
                <w:szCs w:val="21"/>
              </w:rPr>
              <w:t>0</w:t>
            </w:r>
            <w:r>
              <w:rPr>
                <w:szCs w:val="21"/>
              </w:rPr>
              <w:t>kg/h</w:t>
            </w:r>
            <w:r>
              <w:rPr>
                <w:rFonts w:hint="eastAsia"/>
                <w:szCs w:val="21"/>
              </w:rPr>
              <w:t>、</w:t>
            </w:r>
            <w:r>
              <w:rPr>
                <w:szCs w:val="21"/>
              </w:rPr>
              <w:t>非甲烷总烃排放速率为</w:t>
            </w:r>
            <w:r>
              <w:rPr>
                <w:rFonts w:hint="eastAsia"/>
                <w:szCs w:val="21"/>
              </w:rPr>
              <w:t>0.0492</w:t>
            </w:r>
            <w:r>
              <w:rPr>
                <w:szCs w:val="21"/>
              </w:rPr>
              <w:t>kg/h、</w:t>
            </w:r>
            <w:r>
              <w:rPr>
                <w:rFonts w:hint="eastAsia"/>
                <w:szCs w:val="21"/>
              </w:rPr>
              <w:t>挥发性有机物</w:t>
            </w:r>
            <w:r>
              <w:rPr>
                <w:szCs w:val="21"/>
              </w:rPr>
              <w:t>排放速率为</w:t>
            </w:r>
            <w:r>
              <w:rPr>
                <w:rFonts w:hint="eastAsia"/>
                <w:szCs w:val="21"/>
              </w:rPr>
              <w:t>0.00752</w:t>
            </w:r>
            <w:r>
              <w:rPr>
                <w:szCs w:val="21"/>
              </w:rPr>
              <w:t>kg/h</w:t>
            </w:r>
            <w:r>
              <w:rPr>
                <w:rFonts w:hint="eastAsia"/>
                <w:szCs w:val="21"/>
              </w:rPr>
              <w:t>，</w:t>
            </w:r>
            <w:r>
              <w:rPr>
                <w:szCs w:val="21"/>
              </w:rPr>
              <w:t>废气处理设施运行时间为</w:t>
            </w:r>
            <w:r>
              <w:rPr>
                <w:rFonts w:hint="eastAsia"/>
                <w:szCs w:val="21"/>
              </w:rPr>
              <w:t>1200</w:t>
            </w:r>
            <w:r>
              <w:rPr>
                <w:szCs w:val="21"/>
              </w:rPr>
              <w:t>h/a，监测期间生产负荷为</w:t>
            </w:r>
            <w:r>
              <w:rPr>
                <w:rFonts w:hint="eastAsia"/>
                <w:szCs w:val="21"/>
              </w:rPr>
              <w:t>100</w:t>
            </w:r>
            <w:r>
              <w:rPr>
                <w:szCs w:val="21"/>
              </w:rPr>
              <w:t>%，则</w:t>
            </w:r>
            <w:r>
              <w:rPr>
                <w:rFonts w:hint="eastAsia"/>
                <w:szCs w:val="21"/>
              </w:rPr>
              <w:t>配料、混炼、返炼</w:t>
            </w:r>
            <w:r>
              <w:rPr>
                <w:szCs w:val="21"/>
              </w:rPr>
              <w:t>工序工序颗粒物</w:t>
            </w:r>
            <w:r>
              <w:rPr>
                <w:rFonts w:hint="eastAsia"/>
                <w:szCs w:val="21"/>
              </w:rPr>
              <w:t>、硫化氢</w:t>
            </w:r>
            <w:r>
              <w:rPr>
                <w:szCs w:val="21"/>
              </w:rPr>
              <w:t>、非甲烷总烃、</w:t>
            </w:r>
            <w:r>
              <w:rPr>
                <w:rFonts w:hint="eastAsia"/>
                <w:szCs w:val="21"/>
              </w:rPr>
              <w:t>挥发性有机物</w:t>
            </w:r>
            <w:r>
              <w:rPr>
                <w:szCs w:val="21"/>
              </w:rPr>
              <w:t>经处理后排放量分别为</w:t>
            </w:r>
            <w:r>
              <w:rPr>
                <w:rFonts w:hint="eastAsia"/>
                <w:szCs w:val="21"/>
              </w:rPr>
              <w:t>0.106t/a、0</w:t>
            </w:r>
            <w:r>
              <w:rPr>
                <w:szCs w:val="21"/>
              </w:rPr>
              <w:t>t/a、</w:t>
            </w:r>
            <w:r>
              <w:rPr>
                <w:rFonts w:hint="eastAsia"/>
                <w:szCs w:val="21"/>
              </w:rPr>
              <w:t>0.059</w:t>
            </w:r>
            <w:r>
              <w:rPr>
                <w:szCs w:val="21"/>
              </w:rPr>
              <w:t>t/a、</w:t>
            </w:r>
            <w:r>
              <w:rPr>
                <w:rFonts w:hint="eastAsia"/>
                <w:szCs w:val="21"/>
              </w:rPr>
              <w:t>0.00902</w:t>
            </w:r>
            <w:r>
              <w:rPr>
                <w:szCs w:val="21"/>
              </w:rPr>
              <w:t>t/a。</w:t>
            </w:r>
          </w:p>
          <w:p w14:paraId="397610A0">
            <w:pPr>
              <w:pStyle w:val="5"/>
              <w:adjustRightInd w:val="0"/>
              <w:snapToGrid w:val="0"/>
              <w:spacing w:line="360" w:lineRule="auto"/>
              <w:ind w:firstLine="420"/>
              <w:rPr>
                <w:b/>
                <w:bCs/>
                <w:szCs w:val="21"/>
              </w:rPr>
            </w:pPr>
            <w:r>
              <w:rPr>
                <w:szCs w:val="21"/>
              </w:rPr>
              <w:t>3）3#排气筒废气排放情况（</w:t>
            </w:r>
            <w:r>
              <w:rPr>
                <w:rFonts w:hint="eastAsia"/>
                <w:szCs w:val="21"/>
              </w:rPr>
              <w:t>挤出废气、硫化废气</w:t>
            </w:r>
            <w:r>
              <w:rPr>
                <w:szCs w:val="21"/>
              </w:rPr>
              <w:t>、</w:t>
            </w:r>
            <w:r>
              <w:rPr>
                <w:rFonts w:hint="eastAsia"/>
                <w:szCs w:val="21"/>
              </w:rPr>
              <w:t>二次硫化废气</w:t>
            </w:r>
            <w:r>
              <w:rPr>
                <w:szCs w:val="21"/>
              </w:rPr>
              <w:t>）</w:t>
            </w:r>
          </w:p>
          <w:p w14:paraId="7A0D9D30">
            <w:pPr>
              <w:pStyle w:val="5"/>
              <w:adjustRightInd w:val="0"/>
              <w:snapToGrid w:val="0"/>
              <w:spacing w:line="360" w:lineRule="auto"/>
              <w:ind w:firstLine="420"/>
              <w:rPr>
                <w:szCs w:val="21"/>
              </w:rPr>
            </w:pPr>
            <w:r>
              <w:rPr>
                <w:szCs w:val="21"/>
              </w:rPr>
              <w:t>现有项目</w:t>
            </w:r>
            <w:r>
              <w:rPr>
                <w:rFonts w:hint="eastAsia"/>
                <w:szCs w:val="21"/>
              </w:rPr>
              <w:t>4#车间挤出废气、硫化废气、二次硫化废气</w:t>
            </w:r>
            <w:r>
              <w:rPr>
                <w:szCs w:val="21"/>
              </w:rPr>
              <w:t>收集后经</w:t>
            </w:r>
            <w:r>
              <w:rPr>
                <w:rFonts w:hint="eastAsia"/>
                <w:szCs w:val="21"/>
              </w:rPr>
              <w:t>碱喷淋</w:t>
            </w:r>
            <w:r>
              <w:rPr>
                <w:szCs w:val="21"/>
              </w:rPr>
              <w:t>+活性炭吸附装置处理后通过</w:t>
            </w:r>
            <w:r>
              <w:rPr>
                <w:rFonts w:hint="eastAsia"/>
                <w:szCs w:val="21"/>
              </w:rPr>
              <w:t>3</w:t>
            </w:r>
            <w:r>
              <w:rPr>
                <w:szCs w:val="21"/>
              </w:rPr>
              <w:t>#15m排气筒排放，根据《</w:t>
            </w:r>
            <w:r>
              <w:rPr>
                <w:rFonts w:hint="eastAsia"/>
                <w:bCs/>
                <w:szCs w:val="21"/>
              </w:rPr>
              <w:t>常州朗博密封科技股份有限公司迁建年产2.7亿件橡胶制品项目环保设施“三同时”竣工验收报告</w:t>
            </w:r>
            <w:r>
              <w:rPr>
                <w:szCs w:val="21"/>
              </w:rPr>
              <w:t>》，验收监测期间</w:t>
            </w:r>
            <w:r>
              <w:rPr>
                <w:rFonts w:hint="eastAsia"/>
                <w:szCs w:val="21"/>
              </w:rPr>
              <w:t>硫化、二次硫化</w:t>
            </w:r>
            <w:r>
              <w:rPr>
                <w:szCs w:val="21"/>
              </w:rPr>
              <w:t>工序中</w:t>
            </w:r>
            <w:r>
              <w:rPr>
                <w:rFonts w:hint="eastAsia"/>
                <w:szCs w:val="21"/>
              </w:rPr>
              <w:t>3</w:t>
            </w:r>
            <w:r>
              <w:rPr>
                <w:szCs w:val="21"/>
              </w:rPr>
              <w:t>#排气筒出口处</w:t>
            </w:r>
            <w:r>
              <w:rPr>
                <w:rFonts w:hint="eastAsia"/>
                <w:szCs w:val="21"/>
              </w:rPr>
              <w:t>硫化氢</w:t>
            </w:r>
            <w:r>
              <w:rPr>
                <w:szCs w:val="21"/>
              </w:rPr>
              <w:t>排放速率为</w:t>
            </w:r>
            <w:r>
              <w:rPr>
                <w:rFonts w:hint="eastAsia"/>
                <w:szCs w:val="21"/>
              </w:rPr>
              <w:t>0</w:t>
            </w:r>
            <w:r>
              <w:rPr>
                <w:szCs w:val="21"/>
              </w:rPr>
              <w:t>kg/h、</w:t>
            </w:r>
            <w:r>
              <w:rPr>
                <w:rFonts w:hint="eastAsia"/>
                <w:szCs w:val="21"/>
              </w:rPr>
              <w:t>氟化物排放速率为0.00146kg/h、</w:t>
            </w:r>
            <w:r>
              <w:rPr>
                <w:szCs w:val="21"/>
              </w:rPr>
              <w:t>非甲烷总烃排放速率为</w:t>
            </w:r>
            <w:r>
              <w:rPr>
                <w:rFonts w:hint="eastAsia"/>
                <w:szCs w:val="21"/>
              </w:rPr>
              <w:t>0.0213</w:t>
            </w:r>
            <w:r>
              <w:rPr>
                <w:szCs w:val="21"/>
              </w:rPr>
              <w:t>kg/h、</w:t>
            </w:r>
            <w:r>
              <w:rPr>
                <w:rFonts w:hint="eastAsia"/>
                <w:szCs w:val="21"/>
              </w:rPr>
              <w:t>挥发性有机物</w:t>
            </w:r>
            <w:r>
              <w:rPr>
                <w:szCs w:val="21"/>
              </w:rPr>
              <w:t>排放速率为</w:t>
            </w:r>
            <w:r>
              <w:rPr>
                <w:rFonts w:hint="eastAsia"/>
                <w:szCs w:val="21"/>
              </w:rPr>
              <w:t>0.0249</w:t>
            </w:r>
            <w:r>
              <w:rPr>
                <w:szCs w:val="21"/>
              </w:rPr>
              <w:t>kg/h，废气处理设施运行时间为</w:t>
            </w:r>
            <w:r>
              <w:rPr>
                <w:rFonts w:hint="eastAsia"/>
                <w:szCs w:val="21"/>
              </w:rPr>
              <w:t>72</w:t>
            </w:r>
            <w:r>
              <w:rPr>
                <w:szCs w:val="21"/>
              </w:rPr>
              <w:t>00h/a，监测期间生产负荷为</w:t>
            </w:r>
            <w:r>
              <w:rPr>
                <w:rFonts w:hint="eastAsia"/>
                <w:szCs w:val="21"/>
              </w:rPr>
              <w:t>100</w:t>
            </w:r>
            <w:r>
              <w:rPr>
                <w:szCs w:val="21"/>
              </w:rPr>
              <w:t>%，则</w:t>
            </w:r>
            <w:r>
              <w:rPr>
                <w:rFonts w:hint="eastAsia"/>
                <w:szCs w:val="21"/>
              </w:rPr>
              <w:t>硫化、二次硫化</w:t>
            </w:r>
            <w:r>
              <w:rPr>
                <w:szCs w:val="21"/>
              </w:rPr>
              <w:t>工序</w:t>
            </w:r>
            <w:r>
              <w:rPr>
                <w:rFonts w:hint="eastAsia"/>
                <w:szCs w:val="21"/>
              </w:rPr>
              <w:t>硫化氢</w:t>
            </w:r>
            <w:r>
              <w:rPr>
                <w:szCs w:val="21"/>
              </w:rPr>
              <w:t>、</w:t>
            </w:r>
            <w:r>
              <w:rPr>
                <w:rFonts w:hint="eastAsia"/>
                <w:szCs w:val="21"/>
              </w:rPr>
              <w:t>氟化物、</w:t>
            </w:r>
            <w:r>
              <w:rPr>
                <w:szCs w:val="21"/>
              </w:rPr>
              <w:t>非甲烷总烃、</w:t>
            </w:r>
            <w:r>
              <w:rPr>
                <w:rFonts w:hint="eastAsia"/>
                <w:szCs w:val="21"/>
              </w:rPr>
              <w:t>挥发性有机物</w:t>
            </w:r>
            <w:r>
              <w:rPr>
                <w:szCs w:val="21"/>
              </w:rPr>
              <w:t>经处理后排放量分别为</w:t>
            </w:r>
            <w:r>
              <w:rPr>
                <w:rFonts w:hint="eastAsia"/>
                <w:szCs w:val="21"/>
              </w:rPr>
              <w:t>0</w:t>
            </w:r>
            <w:r>
              <w:rPr>
                <w:szCs w:val="21"/>
              </w:rPr>
              <w:t>t/a、</w:t>
            </w:r>
            <w:r>
              <w:rPr>
                <w:rFonts w:hint="eastAsia"/>
                <w:szCs w:val="21"/>
              </w:rPr>
              <w:t>0.0105</w:t>
            </w:r>
            <w:r>
              <w:rPr>
                <w:szCs w:val="21"/>
              </w:rPr>
              <w:t>t/a、</w:t>
            </w:r>
            <w:r>
              <w:rPr>
                <w:rFonts w:hint="eastAsia"/>
                <w:szCs w:val="21"/>
              </w:rPr>
              <w:t>0.153</w:t>
            </w:r>
            <w:r>
              <w:rPr>
                <w:szCs w:val="21"/>
              </w:rPr>
              <w:t>t/a、</w:t>
            </w:r>
            <w:r>
              <w:rPr>
                <w:rFonts w:hint="eastAsia"/>
                <w:szCs w:val="21"/>
              </w:rPr>
              <w:t>0.179t</w:t>
            </w:r>
            <w:r>
              <w:rPr>
                <w:szCs w:val="21"/>
              </w:rPr>
              <w:t>/a。</w:t>
            </w:r>
          </w:p>
          <w:p w14:paraId="198E888C">
            <w:pPr>
              <w:pStyle w:val="5"/>
              <w:adjustRightInd w:val="0"/>
              <w:snapToGrid w:val="0"/>
              <w:spacing w:line="360" w:lineRule="auto"/>
              <w:ind w:firstLine="420"/>
              <w:rPr>
                <w:szCs w:val="21"/>
              </w:rPr>
            </w:pPr>
            <w:r>
              <w:rPr>
                <w:szCs w:val="21"/>
              </w:rPr>
              <w:t>4）4#排气筒废气排放情况（</w:t>
            </w:r>
            <w:r>
              <w:rPr>
                <w:rFonts w:hint="eastAsia"/>
                <w:szCs w:val="21"/>
              </w:rPr>
              <w:t>油烟</w:t>
            </w:r>
            <w:r>
              <w:rPr>
                <w:szCs w:val="21"/>
              </w:rPr>
              <w:t>）</w:t>
            </w:r>
          </w:p>
          <w:p w14:paraId="656F0DB8">
            <w:pPr>
              <w:pStyle w:val="5"/>
              <w:adjustRightInd w:val="0"/>
              <w:snapToGrid w:val="0"/>
              <w:spacing w:line="360" w:lineRule="auto"/>
              <w:ind w:firstLine="420"/>
              <w:rPr>
                <w:szCs w:val="21"/>
              </w:rPr>
            </w:pPr>
            <w:r>
              <w:rPr>
                <w:szCs w:val="21"/>
              </w:rPr>
              <w:t>现有项目</w:t>
            </w:r>
            <w:r>
              <w:rPr>
                <w:rFonts w:hint="eastAsia"/>
                <w:szCs w:val="21"/>
              </w:rPr>
              <w:t>食堂油烟</w:t>
            </w:r>
            <w:r>
              <w:rPr>
                <w:szCs w:val="21"/>
              </w:rPr>
              <w:t>废气收集后经</w:t>
            </w:r>
            <w:r>
              <w:rPr>
                <w:rFonts w:hint="eastAsia"/>
                <w:szCs w:val="21"/>
              </w:rPr>
              <w:t>油烟净化</w:t>
            </w:r>
            <w:r>
              <w:rPr>
                <w:szCs w:val="21"/>
              </w:rPr>
              <w:t>装置处理后通过4#</w:t>
            </w:r>
            <w:r>
              <w:rPr>
                <w:rFonts w:hint="eastAsia"/>
                <w:szCs w:val="21"/>
              </w:rPr>
              <w:t>8</w:t>
            </w:r>
            <w:r>
              <w:rPr>
                <w:szCs w:val="21"/>
              </w:rPr>
              <w:t>m排气筒排放，根据《</w:t>
            </w:r>
            <w:r>
              <w:rPr>
                <w:rFonts w:hint="eastAsia"/>
                <w:bCs/>
                <w:szCs w:val="21"/>
              </w:rPr>
              <w:t>常州朗博密封科技股份有限公司迁建年产2.7亿件橡胶制品项目环保设施“三同时”竣工验收报告</w:t>
            </w:r>
            <w:r>
              <w:rPr>
                <w:szCs w:val="21"/>
              </w:rPr>
              <w:t>》，验收监测期间</w:t>
            </w:r>
            <w:r>
              <w:rPr>
                <w:rFonts w:hint="eastAsia"/>
                <w:szCs w:val="21"/>
              </w:rPr>
              <w:t>食堂油烟</w:t>
            </w:r>
            <w:r>
              <w:rPr>
                <w:szCs w:val="21"/>
              </w:rPr>
              <w:t>中4#排气筒出口处</w:t>
            </w:r>
            <w:r>
              <w:rPr>
                <w:rFonts w:hint="eastAsia"/>
                <w:szCs w:val="21"/>
              </w:rPr>
              <w:t>油烟</w:t>
            </w:r>
            <w:r>
              <w:rPr>
                <w:szCs w:val="21"/>
              </w:rPr>
              <w:t>排放速率为</w:t>
            </w:r>
            <w:r>
              <w:rPr>
                <w:rFonts w:hint="eastAsia"/>
                <w:szCs w:val="21"/>
              </w:rPr>
              <w:t>0.00436</w:t>
            </w:r>
            <w:r>
              <w:rPr>
                <w:szCs w:val="21"/>
              </w:rPr>
              <w:t>kg/h，废气处理设施运行时间为</w:t>
            </w:r>
            <w:r>
              <w:rPr>
                <w:rFonts w:hint="eastAsia"/>
                <w:szCs w:val="21"/>
              </w:rPr>
              <w:t>12</w:t>
            </w:r>
            <w:r>
              <w:rPr>
                <w:szCs w:val="21"/>
              </w:rPr>
              <w:t>00h/a，监测期间生产负荷为</w:t>
            </w:r>
            <w:r>
              <w:rPr>
                <w:rFonts w:hint="eastAsia"/>
                <w:szCs w:val="21"/>
              </w:rPr>
              <w:t>100</w:t>
            </w:r>
            <w:r>
              <w:rPr>
                <w:szCs w:val="21"/>
              </w:rPr>
              <w:t>%，则</w:t>
            </w:r>
            <w:r>
              <w:rPr>
                <w:rFonts w:hint="eastAsia"/>
                <w:szCs w:val="21"/>
              </w:rPr>
              <w:t>食堂油烟</w:t>
            </w:r>
            <w:r>
              <w:rPr>
                <w:szCs w:val="21"/>
              </w:rPr>
              <w:t>经处理后排放量为</w:t>
            </w:r>
            <w:r>
              <w:rPr>
                <w:rFonts w:hint="eastAsia"/>
                <w:szCs w:val="21"/>
              </w:rPr>
              <w:t>0.00523</w:t>
            </w:r>
            <w:r>
              <w:rPr>
                <w:szCs w:val="21"/>
              </w:rPr>
              <w:t>t/a。</w:t>
            </w:r>
          </w:p>
          <w:p w14:paraId="6D86BC07">
            <w:pPr>
              <w:pStyle w:val="5"/>
              <w:adjustRightInd w:val="0"/>
              <w:snapToGrid w:val="0"/>
              <w:spacing w:line="360" w:lineRule="auto"/>
              <w:ind w:firstLine="420"/>
              <w:rPr>
                <w:b/>
                <w:bCs/>
                <w:szCs w:val="21"/>
              </w:rPr>
            </w:pPr>
            <w:r>
              <w:rPr>
                <w:szCs w:val="21"/>
              </w:rPr>
              <w:t>5）5#排气筒废气排放情况（</w:t>
            </w:r>
            <w:r>
              <w:rPr>
                <w:rFonts w:hint="eastAsia"/>
                <w:szCs w:val="21"/>
              </w:rPr>
              <w:t>抛丸粉尘、喷砂粉尘</w:t>
            </w:r>
            <w:r>
              <w:rPr>
                <w:szCs w:val="21"/>
              </w:rPr>
              <w:t>）</w:t>
            </w:r>
          </w:p>
          <w:p w14:paraId="616C15EB">
            <w:pPr>
              <w:pStyle w:val="5"/>
              <w:adjustRightInd w:val="0"/>
              <w:snapToGrid w:val="0"/>
              <w:spacing w:line="360" w:lineRule="auto"/>
              <w:ind w:firstLine="420"/>
              <w:rPr>
                <w:szCs w:val="21"/>
              </w:rPr>
            </w:pPr>
            <w:r>
              <w:rPr>
                <w:szCs w:val="21"/>
              </w:rPr>
              <w:t>现有项目</w:t>
            </w:r>
            <w:r>
              <w:rPr>
                <w:rFonts w:hint="eastAsia"/>
                <w:szCs w:val="21"/>
              </w:rPr>
              <w:t>2#车间抛丸粉尘/喷砂粉尘</w:t>
            </w:r>
            <w:r>
              <w:rPr>
                <w:szCs w:val="21"/>
              </w:rPr>
              <w:t>废气</w:t>
            </w:r>
            <w:r>
              <w:rPr>
                <w:rFonts w:hint="eastAsia"/>
                <w:szCs w:val="21"/>
              </w:rPr>
              <w:t>分别经各自配套的</w:t>
            </w:r>
            <w:r>
              <w:rPr>
                <w:szCs w:val="21"/>
              </w:rPr>
              <w:t>经滤芯脉冲反吹除尘装置处理后通过5#15m排气筒排放，根据《</w:t>
            </w:r>
            <w:r>
              <w:rPr>
                <w:rFonts w:hint="eastAsia"/>
                <w:bCs/>
                <w:szCs w:val="21"/>
              </w:rPr>
              <w:t>常州朗博密封科技股份有限公司迁建年产2.7亿件橡胶制品项目环保设施“三同时”竣工验收报告</w:t>
            </w:r>
            <w:r>
              <w:rPr>
                <w:szCs w:val="21"/>
              </w:rPr>
              <w:t>》，验收监测期间</w:t>
            </w:r>
            <w:r>
              <w:rPr>
                <w:rFonts w:hint="eastAsia"/>
                <w:szCs w:val="21"/>
              </w:rPr>
              <w:t>抛丸/喷砂</w:t>
            </w:r>
            <w:r>
              <w:rPr>
                <w:szCs w:val="21"/>
              </w:rPr>
              <w:t>工序中5#排气筒出口处</w:t>
            </w:r>
            <w:r>
              <w:rPr>
                <w:rFonts w:hint="eastAsia"/>
                <w:szCs w:val="21"/>
              </w:rPr>
              <w:t>颗粒物</w:t>
            </w:r>
            <w:r>
              <w:rPr>
                <w:szCs w:val="21"/>
              </w:rPr>
              <w:t>排放速率为</w:t>
            </w:r>
            <w:r>
              <w:rPr>
                <w:rFonts w:hint="eastAsia"/>
                <w:szCs w:val="21"/>
              </w:rPr>
              <w:t>0.0314</w:t>
            </w:r>
            <w:r>
              <w:rPr>
                <w:szCs w:val="21"/>
              </w:rPr>
              <w:t>kg/h，废气处理设施运行时间为</w:t>
            </w:r>
            <w:r>
              <w:rPr>
                <w:rFonts w:hint="eastAsia"/>
                <w:szCs w:val="21"/>
              </w:rPr>
              <w:t>300</w:t>
            </w:r>
            <w:r>
              <w:rPr>
                <w:szCs w:val="21"/>
              </w:rPr>
              <w:t>h/a，监测期间生产负荷为</w:t>
            </w:r>
            <w:r>
              <w:rPr>
                <w:rFonts w:hint="eastAsia"/>
                <w:szCs w:val="21"/>
              </w:rPr>
              <w:t>100</w:t>
            </w:r>
            <w:r>
              <w:rPr>
                <w:szCs w:val="21"/>
              </w:rPr>
              <w:t>%，则</w:t>
            </w:r>
            <w:r>
              <w:rPr>
                <w:rFonts w:hint="eastAsia"/>
                <w:szCs w:val="21"/>
              </w:rPr>
              <w:t>抛丸及喷砂工序颗粒物</w:t>
            </w:r>
            <w:r>
              <w:rPr>
                <w:szCs w:val="21"/>
              </w:rPr>
              <w:t>经处理后排放量为</w:t>
            </w:r>
            <w:r>
              <w:rPr>
                <w:rFonts w:hint="eastAsia"/>
                <w:szCs w:val="21"/>
              </w:rPr>
              <w:t>0.00942</w:t>
            </w:r>
            <w:r>
              <w:rPr>
                <w:szCs w:val="21"/>
              </w:rPr>
              <w:t>t/a。</w:t>
            </w:r>
          </w:p>
          <w:p w14:paraId="08A85387">
            <w:pPr>
              <w:pStyle w:val="5"/>
              <w:adjustRightInd w:val="0"/>
              <w:snapToGrid w:val="0"/>
              <w:spacing w:line="360" w:lineRule="auto"/>
              <w:ind w:firstLine="420"/>
              <w:rPr>
                <w:b/>
                <w:bCs/>
                <w:szCs w:val="21"/>
              </w:rPr>
            </w:pPr>
            <w:r>
              <w:rPr>
                <w:szCs w:val="21"/>
              </w:rPr>
              <w:t>3）</w:t>
            </w:r>
            <w:r>
              <w:rPr>
                <w:rFonts w:hint="eastAsia"/>
                <w:szCs w:val="21"/>
              </w:rPr>
              <w:t>6</w:t>
            </w:r>
            <w:r>
              <w:rPr>
                <w:szCs w:val="21"/>
              </w:rPr>
              <w:t>#排气筒废气排放情况（</w:t>
            </w:r>
            <w:r>
              <w:rPr>
                <w:rFonts w:hint="eastAsia"/>
                <w:szCs w:val="21"/>
              </w:rPr>
              <w:t>喷浸</w:t>
            </w:r>
            <w:r>
              <w:rPr>
                <w:szCs w:val="21"/>
              </w:rPr>
              <w:t>涂胶废气、干燥废气、</w:t>
            </w:r>
            <w:r>
              <w:rPr>
                <w:rFonts w:hint="eastAsia"/>
                <w:szCs w:val="21"/>
              </w:rPr>
              <w:t>电泳后烘干废气</w:t>
            </w:r>
            <w:r>
              <w:rPr>
                <w:szCs w:val="21"/>
              </w:rPr>
              <w:t>）</w:t>
            </w:r>
          </w:p>
          <w:p w14:paraId="12AD30E4">
            <w:pPr>
              <w:pStyle w:val="5"/>
              <w:adjustRightInd w:val="0"/>
              <w:snapToGrid w:val="0"/>
              <w:spacing w:line="360" w:lineRule="auto"/>
              <w:ind w:firstLine="420"/>
              <w:rPr>
                <w:szCs w:val="21"/>
              </w:rPr>
            </w:pPr>
            <w:r>
              <w:rPr>
                <w:szCs w:val="21"/>
              </w:rPr>
              <w:t>现有项目</w:t>
            </w:r>
            <w:r>
              <w:rPr>
                <w:rFonts w:hint="eastAsia"/>
                <w:szCs w:val="21"/>
              </w:rPr>
              <w:t>2#车间喷浸</w:t>
            </w:r>
            <w:r>
              <w:rPr>
                <w:szCs w:val="21"/>
              </w:rPr>
              <w:t>涂胶废气、干燥废气、</w:t>
            </w:r>
            <w:r>
              <w:rPr>
                <w:rFonts w:hint="eastAsia"/>
                <w:szCs w:val="21"/>
              </w:rPr>
              <w:t>电泳后烘干废气</w:t>
            </w:r>
            <w:r>
              <w:rPr>
                <w:szCs w:val="21"/>
              </w:rPr>
              <w:t>收集后经</w:t>
            </w:r>
            <w:r>
              <w:rPr>
                <w:rFonts w:hint="eastAsia"/>
                <w:szCs w:val="21"/>
              </w:rPr>
              <w:t>碱喷淋</w:t>
            </w:r>
            <w:r>
              <w:rPr>
                <w:szCs w:val="21"/>
              </w:rPr>
              <w:t>+活性炭吸附装置处理后通过</w:t>
            </w:r>
            <w:r>
              <w:rPr>
                <w:rFonts w:hint="eastAsia"/>
                <w:szCs w:val="21"/>
              </w:rPr>
              <w:t>6</w:t>
            </w:r>
            <w:r>
              <w:rPr>
                <w:szCs w:val="21"/>
              </w:rPr>
              <w:t>#15m排气筒排放，根据《</w:t>
            </w:r>
            <w:r>
              <w:rPr>
                <w:rFonts w:hint="eastAsia"/>
                <w:bCs/>
                <w:szCs w:val="21"/>
              </w:rPr>
              <w:t>常州朗博密封科技股份有限公司迁建年产2.7亿件橡胶制品项目环保设施“三同时”竣工验收报告</w:t>
            </w:r>
            <w:r>
              <w:rPr>
                <w:szCs w:val="21"/>
              </w:rPr>
              <w:t>》，验收监测期间</w:t>
            </w:r>
            <w:r>
              <w:rPr>
                <w:rFonts w:hint="eastAsia"/>
                <w:szCs w:val="21"/>
              </w:rPr>
              <w:t>喷浸</w:t>
            </w:r>
            <w:r>
              <w:rPr>
                <w:szCs w:val="21"/>
              </w:rPr>
              <w:t>涂胶、干燥、</w:t>
            </w:r>
            <w:r>
              <w:rPr>
                <w:rFonts w:hint="eastAsia"/>
                <w:szCs w:val="21"/>
              </w:rPr>
              <w:t>电泳后烘干</w:t>
            </w:r>
            <w:r>
              <w:rPr>
                <w:szCs w:val="21"/>
              </w:rPr>
              <w:t>工序中</w:t>
            </w:r>
            <w:r>
              <w:rPr>
                <w:rFonts w:hint="eastAsia"/>
                <w:szCs w:val="21"/>
              </w:rPr>
              <w:t>6</w:t>
            </w:r>
            <w:r>
              <w:rPr>
                <w:szCs w:val="21"/>
              </w:rPr>
              <w:t>#排气筒出口处</w:t>
            </w:r>
            <w:r>
              <w:rPr>
                <w:rFonts w:hint="eastAsia"/>
                <w:szCs w:val="21"/>
              </w:rPr>
              <w:t>颗粒物</w:t>
            </w:r>
            <w:r>
              <w:rPr>
                <w:szCs w:val="21"/>
              </w:rPr>
              <w:t>排放速率为</w:t>
            </w:r>
            <w:r>
              <w:rPr>
                <w:rFonts w:hint="eastAsia"/>
                <w:szCs w:val="21"/>
              </w:rPr>
              <w:t>0.192</w:t>
            </w:r>
            <w:r>
              <w:rPr>
                <w:szCs w:val="21"/>
              </w:rPr>
              <w:t>kg/h、</w:t>
            </w:r>
            <w:r>
              <w:rPr>
                <w:rFonts w:hint="eastAsia"/>
                <w:szCs w:val="21"/>
              </w:rPr>
              <w:t>二甲苯排放速率为0.086kg/h、乙苯排放速率为0.000367kg/h、</w:t>
            </w:r>
            <w:r>
              <w:rPr>
                <w:szCs w:val="21"/>
              </w:rPr>
              <w:t>非甲烷总烃排放速率为</w:t>
            </w:r>
            <w:r>
              <w:rPr>
                <w:rFonts w:hint="eastAsia"/>
                <w:szCs w:val="21"/>
              </w:rPr>
              <w:t>0.0719</w:t>
            </w:r>
            <w:r>
              <w:rPr>
                <w:szCs w:val="21"/>
              </w:rPr>
              <w:t>kg/h、</w:t>
            </w:r>
            <w:r>
              <w:rPr>
                <w:rFonts w:hint="eastAsia"/>
                <w:szCs w:val="21"/>
              </w:rPr>
              <w:t>挥发性有机物</w:t>
            </w:r>
            <w:r>
              <w:rPr>
                <w:szCs w:val="21"/>
              </w:rPr>
              <w:t>排放速率为</w:t>
            </w:r>
            <w:r>
              <w:rPr>
                <w:rFonts w:hint="eastAsia"/>
                <w:szCs w:val="21"/>
              </w:rPr>
              <w:t>0.188</w:t>
            </w:r>
            <w:r>
              <w:rPr>
                <w:szCs w:val="21"/>
              </w:rPr>
              <w:t>kg/h，废气处理设施运行时间为</w:t>
            </w:r>
            <w:r>
              <w:rPr>
                <w:rFonts w:hint="eastAsia"/>
                <w:szCs w:val="21"/>
              </w:rPr>
              <w:t>12</w:t>
            </w:r>
            <w:r>
              <w:rPr>
                <w:szCs w:val="21"/>
              </w:rPr>
              <w:t>00h/a，监测期间生产负荷为</w:t>
            </w:r>
            <w:r>
              <w:rPr>
                <w:rFonts w:hint="eastAsia"/>
                <w:szCs w:val="21"/>
              </w:rPr>
              <w:t>100</w:t>
            </w:r>
            <w:r>
              <w:rPr>
                <w:szCs w:val="21"/>
              </w:rPr>
              <w:t>%，则</w:t>
            </w:r>
            <w:r>
              <w:rPr>
                <w:rFonts w:hint="eastAsia"/>
                <w:szCs w:val="21"/>
              </w:rPr>
              <w:t>喷浸</w:t>
            </w:r>
            <w:r>
              <w:rPr>
                <w:szCs w:val="21"/>
              </w:rPr>
              <w:t>涂胶、干燥、</w:t>
            </w:r>
            <w:r>
              <w:rPr>
                <w:rFonts w:hint="eastAsia"/>
                <w:szCs w:val="21"/>
              </w:rPr>
              <w:t>电泳后烘干</w:t>
            </w:r>
            <w:r>
              <w:rPr>
                <w:szCs w:val="21"/>
              </w:rPr>
              <w:t>工序</w:t>
            </w:r>
            <w:r>
              <w:rPr>
                <w:rFonts w:hint="eastAsia"/>
                <w:szCs w:val="21"/>
              </w:rPr>
              <w:t>颗粒物、二甲苯、乙苯、</w:t>
            </w:r>
            <w:r>
              <w:rPr>
                <w:szCs w:val="21"/>
              </w:rPr>
              <w:t>非甲烷总烃、</w:t>
            </w:r>
            <w:r>
              <w:rPr>
                <w:rFonts w:hint="eastAsia"/>
                <w:szCs w:val="21"/>
              </w:rPr>
              <w:t>挥发性有机物</w:t>
            </w:r>
            <w:r>
              <w:rPr>
                <w:szCs w:val="21"/>
              </w:rPr>
              <w:t>经处理后排放量分别为</w:t>
            </w:r>
            <w:r>
              <w:rPr>
                <w:rFonts w:hint="eastAsia"/>
                <w:szCs w:val="21"/>
              </w:rPr>
              <w:t>0.230</w:t>
            </w:r>
            <w:r>
              <w:rPr>
                <w:szCs w:val="21"/>
              </w:rPr>
              <w:t>t/a、</w:t>
            </w:r>
            <w:r>
              <w:rPr>
                <w:rFonts w:hint="eastAsia"/>
                <w:szCs w:val="21"/>
              </w:rPr>
              <w:t>0.103</w:t>
            </w:r>
            <w:r>
              <w:rPr>
                <w:szCs w:val="21"/>
              </w:rPr>
              <w:t>t/a、</w:t>
            </w:r>
            <w:r>
              <w:rPr>
                <w:rFonts w:hint="eastAsia"/>
                <w:szCs w:val="21"/>
              </w:rPr>
              <w:t>0.00044</w:t>
            </w:r>
            <w:r>
              <w:rPr>
                <w:szCs w:val="21"/>
              </w:rPr>
              <w:t>t/a、</w:t>
            </w:r>
            <w:r>
              <w:rPr>
                <w:rFonts w:hint="eastAsia"/>
                <w:szCs w:val="21"/>
              </w:rPr>
              <w:t>0.0863</w:t>
            </w:r>
            <w:r>
              <w:rPr>
                <w:szCs w:val="21"/>
              </w:rPr>
              <w:t>t/a、</w:t>
            </w:r>
            <w:r>
              <w:rPr>
                <w:rFonts w:hint="eastAsia"/>
                <w:szCs w:val="21"/>
              </w:rPr>
              <w:t>0.226t</w:t>
            </w:r>
            <w:r>
              <w:rPr>
                <w:szCs w:val="21"/>
              </w:rPr>
              <w:t>/a。</w:t>
            </w:r>
          </w:p>
          <w:p w14:paraId="12508497">
            <w:pPr>
              <w:pStyle w:val="5"/>
              <w:adjustRightInd w:val="0"/>
              <w:snapToGrid w:val="0"/>
              <w:spacing w:line="360" w:lineRule="auto"/>
              <w:ind w:firstLine="422"/>
              <w:rPr>
                <w:b/>
                <w:bCs/>
              </w:rPr>
            </w:pPr>
            <w:r>
              <w:rPr>
                <w:b/>
                <w:bCs/>
              </w:rPr>
              <w:t>（2）废水</w:t>
            </w:r>
          </w:p>
          <w:p w14:paraId="48BD6210">
            <w:pPr>
              <w:pStyle w:val="5"/>
              <w:adjustRightInd w:val="0"/>
              <w:snapToGrid w:val="0"/>
              <w:spacing w:line="360" w:lineRule="auto"/>
              <w:ind w:firstLine="422"/>
              <w:rPr>
                <w:b/>
                <w:bCs/>
              </w:rPr>
            </w:pPr>
            <w:r>
              <w:rPr>
                <w:b/>
                <w:bCs/>
              </w:rPr>
              <w:t>①废水产生类别及处置方式</w:t>
            </w:r>
          </w:p>
          <w:p w14:paraId="144BD9CD">
            <w:pPr>
              <w:pStyle w:val="5"/>
              <w:adjustRightInd w:val="0"/>
              <w:snapToGrid w:val="0"/>
              <w:spacing w:line="360" w:lineRule="auto"/>
              <w:ind w:firstLine="420"/>
            </w:pPr>
            <w:r>
              <w:rPr>
                <w:rFonts w:hint="eastAsia"/>
              </w:rPr>
              <w:t>现有</w:t>
            </w:r>
            <w:r>
              <w:t>项目产生的全部生产废水（</w:t>
            </w:r>
            <w:r>
              <w:rPr>
                <w:rFonts w:hint="eastAsia"/>
                <w:highlight w:val="black"/>
                <w:lang w:val="en-US" w:eastAsia="zh-CN"/>
              </w:rPr>
              <w:t xml:space="preserve">                                                </w:t>
            </w:r>
            <w:r>
              <w:rPr>
                <w:rFonts w:hint="eastAsia"/>
                <w:lang w:eastAsia="zh-CN"/>
              </w:rPr>
              <w:t>）</w:t>
            </w:r>
            <w:r>
              <w:t>进厂内污水处理站处理，清水出水回用于生产，浓液经蒸发器蒸发后冷凝液回用，不外排，浓缩液委托有处理资质的单位处理，循环冷却强制排水</w:t>
            </w:r>
            <w:r>
              <w:rPr>
                <w:rFonts w:hint="eastAsia"/>
              </w:rPr>
              <w:t>和</w:t>
            </w:r>
            <w:r>
              <w:t>纯水制备废水作为清下水</w:t>
            </w:r>
            <w:r>
              <w:rPr>
                <w:rFonts w:hint="eastAsia"/>
              </w:rPr>
              <w:t>排入雨水管网</w:t>
            </w:r>
            <w:r>
              <w:t>；生活污水由迎春路-新金宜路污水管网排入金坛区第二污水处理厂集中处理，达标尾水最终排入尧塘。</w:t>
            </w:r>
          </w:p>
          <w:p w14:paraId="41870384">
            <w:pPr>
              <w:pStyle w:val="5"/>
              <w:adjustRightInd w:val="0"/>
              <w:snapToGrid w:val="0"/>
              <w:spacing w:line="360" w:lineRule="auto"/>
              <w:ind w:firstLine="420"/>
            </w:pPr>
            <w:r>
              <w:rPr>
                <w:rFonts w:hint="eastAsia"/>
              </w:rPr>
              <w:t>现有项目水平衡见下图：</w:t>
            </w:r>
          </w:p>
          <w:p w14:paraId="0DCCA747">
            <w:pPr>
              <w:pStyle w:val="5"/>
              <w:adjustRightInd w:val="0"/>
              <w:snapToGrid w:val="0"/>
              <w:spacing w:line="360" w:lineRule="auto"/>
              <w:ind w:firstLine="0" w:firstLineChars="0"/>
            </w:pPr>
          </w:p>
          <w:p w14:paraId="5980738F">
            <w:pPr>
              <w:pStyle w:val="5"/>
              <w:adjustRightInd w:val="0"/>
              <w:snapToGrid w:val="0"/>
              <w:spacing w:line="360" w:lineRule="auto"/>
              <w:ind w:firstLine="0" w:firstLineChars="0"/>
            </w:pPr>
          </w:p>
          <w:p w14:paraId="5E799212">
            <w:pPr>
              <w:pStyle w:val="5"/>
              <w:adjustRightInd w:val="0"/>
              <w:snapToGrid w:val="0"/>
              <w:spacing w:line="360" w:lineRule="auto"/>
              <w:ind w:firstLine="0" w:firstLineChars="0"/>
            </w:pPr>
          </w:p>
          <w:p w14:paraId="39FFFCAE">
            <w:pPr>
              <w:pStyle w:val="5"/>
              <w:adjustRightInd w:val="0"/>
              <w:snapToGrid w:val="0"/>
              <w:spacing w:line="360" w:lineRule="auto"/>
              <w:ind w:firstLine="0" w:firstLineChars="0"/>
            </w:pPr>
          </w:p>
          <w:p w14:paraId="5EBDEA7B">
            <w:pPr>
              <w:pStyle w:val="5"/>
              <w:adjustRightInd w:val="0"/>
              <w:snapToGrid w:val="0"/>
              <w:spacing w:line="360" w:lineRule="auto"/>
              <w:ind w:firstLine="0" w:firstLineChars="0"/>
            </w:pPr>
          </w:p>
          <w:p w14:paraId="13CCA59D">
            <w:pPr>
              <w:pStyle w:val="5"/>
              <w:adjustRightInd w:val="0"/>
              <w:snapToGrid w:val="0"/>
              <w:spacing w:line="360" w:lineRule="auto"/>
              <w:ind w:firstLine="0" w:firstLineChars="0"/>
            </w:pPr>
          </w:p>
          <w:p w14:paraId="287A7C6F">
            <w:pPr>
              <w:pStyle w:val="5"/>
              <w:adjustRightInd w:val="0"/>
              <w:snapToGrid w:val="0"/>
              <w:spacing w:line="360" w:lineRule="auto"/>
              <w:ind w:firstLine="0" w:firstLineChars="0"/>
            </w:pPr>
          </w:p>
          <w:p w14:paraId="4FDAB8C5">
            <w:pPr>
              <w:pStyle w:val="5"/>
              <w:adjustRightInd w:val="0"/>
              <w:snapToGrid w:val="0"/>
              <w:spacing w:line="360" w:lineRule="auto"/>
              <w:ind w:firstLine="0" w:firstLineChars="0"/>
            </w:pPr>
          </w:p>
          <w:p w14:paraId="4F5419EE">
            <w:pPr>
              <w:pStyle w:val="5"/>
              <w:adjustRightInd w:val="0"/>
              <w:snapToGrid w:val="0"/>
              <w:spacing w:line="360" w:lineRule="auto"/>
              <w:ind w:firstLine="0" w:firstLineChars="0"/>
            </w:pPr>
          </w:p>
          <w:p w14:paraId="03F6562F">
            <w:pPr>
              <w:pStyle w:val="5"/>
              <w:adjustRightInd w:val="0"/>
              <w:snapToGrid w:val="0"/>
              <w:spacing w:line="360" w:lineRule="auto"/>
              <w:ind w:firstLine="0" w:firstLineChars="0"/>
            </w:pPr>
          </w:p>
          <w:p w14:paraId="57B3F701">
            <w:pPr>
              <w:pStyle w:val="5"/>
              <w:adjustRightInd w:val="0"/>
              <w:snapToGrid w:val="0"/>
              <w:spacing w:line="360" w:lineRule="auto"/>
              <w:ind w:firstLine="0" w:firstLineChars="0"/>
            </w:pPr>
          </w:p>
          <w:p w14:paraId="535F8689">
            <w:pPr>
              <w:pStyle w:val="5"/>
              <w:adjustRightInd w:val="0"/>
              <w:snapToGrid w:val="0"/>
              <w:spacing w:line="360" w:lineRule="auto"/>
              <w:ind w:firstLine="0" w:firstLineChars="0"/>
            </w:pPr>
          </w:p>
          <w:p w14:paraId="139C01EF">
            <w:pPr>
              <w:pStyle w:val="5"/>
              <w:adjustRightInd w:val="0"/>
              <w:snapToGrid w:val="0"/>
              <w:spacing w:line="360" w:lineRule="auto"/>
              <w:ind w:firstLine="0" w:firstLineChars="0"/>
              <w:jc w:val="center"/>
              <w:rPr>
                <w:rFonts w:hint="eastAsia" w:eastAsia="宋体"/>
                <w:lang w:eastAsia="zh-CN"/>
              </w:rPr>
            </w:pPr>
            <w:r>
              <w:rPr>
                <w:rFonts w:hint="eastAsia"/>
                <w:lang w:eastAsia="zh-CN"/>
              </w:rPr>
              <w:t>（</w:t>
            </w:r>
            <w:r>
              <w:rPr>
                <w:rFonts w:hint="eastAsia"/>
                <w:lang w:val="en-US" w:eastAsia="zh-CN"/>
              </w:rPr>
              <w:t>涉及企业机密，故隐去</w:t>
            </w:r>
            <w:r>
              <w:rPr>
                <w:rFonts w:hint="eastAsia"/>
                <w:lang w:eastAsia="zh-CN"/>
              </w:rPr>
              <w:t>）</w:t>
            </w:r>
          </w:p>
          <w:p w14:paraId="3B05246A">
            <w:pPr>
              <w:pStyle w:val="5"/>
              <w:adjustRightInd w:val="0"/>
              <w:snapToGrid w:val="0"/>
              <w:spacing w:line="360" w:lineRule="auto"/>
              <w:ind w:firstLine="0" w:firstLineChars="0"/>
            </w:pPr>
          </w:p>
          <w:p w14:paraId="2882F007">
            <w:pPr>
              <w:pStyle w:val="5"/>
              <w:adjustRightInd w:val="0"/>
              <w:snapToGrid w:val="0"/>
              <w:spacing w:line="360" w:lineRule="auto"/>
              <w:ind w:firstLine="0" w:firstLineChars="0"/>
            </w:pPr>
          </w:p>
          <w:p w14:paraId="7A5E6157">
            <w:pPr>
              <w:pStyle w:val="5"/>
              <w:adjustRightInd w:val="0"/>
              <w:snapToGrid w:val="0"/>
              <w:spacing w:line="360" w:lineRule="auto"/>
              <w:ind w:firstLine="0" w:firstLineChars="0"/>
            </w:pPr>
          </w:p>
          <w:p w14:paraId="792AF975">
            <w:pPr>
              <w:pStyle w:val="5"/>
              <w:adjustRightInd w:val="0"/>
              <w:snapToGrid w:val="0"/>
              <w:spacing w:line="360" w:lineRule="auto"/>
              <w:ind w:firstLine="0" w:firstLineChars="0"/>
            </w:pPr>
          </w:p>
          <w:p w14:paraId="273A9879">
            <w:pPr>
              <w:pStyle w:val="5"/>
              <w:adjustRightInd w:val="0"/>
              <w:snapToGrid w:val="0"/>
              <w:spacing w:line="360" w:lineRule="auto"/>
              <w:ind w:firstLine="0" w:firstLineChars="0"/>
            </w:pPr>
          </w:p>
          <w:p w14:paraId="72F60BD4">
            <w:pPr>
              <w:pStyle w:val="5"/>
              <w:adjustRightInd w:val="0"/>
              <w:snapToGrid w:val="0"/>
              <w:spacing w:line="360" w:lineRule="auto"/>
              <w:ind w:firstLine="0" w:firstLineChars="0"/>
            </w:pPr>
          </w:p>
          <w:p w14:paraId="0FBD6471">
            <w:pPr>
              <w:pStyle w:val="5"/>
              <w:adjustRightInd w:val="0"/>
              <w:snapToGrid w:val="0"/>
              <w:spacing w:line="360" w:lineRule="auto"/>
              <w:ind w:firstLine="0" w:firstLineChars="0"/>
            </w:pPr>
          </w:p>
          <w:p w14:paraId="584A2183">
            <w:pPr>
              <w:pStyle w:val="5"/>
              <w:adjustRightInd w:val="0"/>
              <w:snapToGrid w:val="0"/>
              <w:spacing w:line="360" w:lineRule="auto"/>
              <w:ind w:firstLine="0" w:firstLineChars="0"/>
            </w:pPr>
          </w:p>
          <w:p w14:paraId="750C5B72">
            <w:pPr>
              <w:pStyle w:val="5"/>
              <w:adjustRightInd w:val="0"/>
              <w:snapToGrid w:val="0"/>
              <w:spacing w:line="360" w:lineRule="auto"/>
              <w:ind w:firstLine="0" w:firstLineChars="0"/>
            </w:pPr>
          </w:p>
          <w:p w14:paraId="3B233E07">
            <w:pPr>
              <w:pStyle w:val="5"/>
              <w:adjustRightInd w:val="0"/>
              <w:snapToGrid w:val="0"/>
              <w:spacing w:line="360" w:lineRule="auto"/>
              <w:ind w:firstLine="0" w:firstLineChars="0"/>
            </w:pPr>
          </w:p>
          <w:p w14:paraId="6F8BB57A">
            <w:pPr>
              <w:pStyle w:val="5"/>
              <w:adjustRightInd w:val="0"/>
              <w:snapToGrid w:val="0"/>
              <w:spacing w:line="360" w:lineRule="auto"/>
              <w:ind w:firstLine="0" w:firstLineChars="0"/>
            </w:pPr>
          </w:p>
          <w:p w14:paraId="272753E7">
            <w:pPr>
              <w:pStyle w:val="5"/>
              <w:adjustRightInd w:val="0"/>
              <w:snapToGrid w:val="0"/>
              <w:spacing w:line="360" w:lineRule="auto"/>
              <w:ind w:firstLine="0" w:firstLineChars="0"/>
            </w:pPr>
          </w:p>
          <w:p w14:paraId="0C94B58F">
            <w:pPr>
              <w:pStyle w:val="5"/>
              <w:adjustRightInd w:val="0"/>
              <w:snapToGrid w:val="0"/>
              <w:spacing w:line="360" w:lineRule="auto"/>
              <w:ind w:firstLine="0" w:firstLineChars="0"/>
              <w:jc w:val="center"/>
              <w:rPr>
                <w:b/>
                <w:bCs/>
                <w:szCs w:val="21"/>
              </w:rPr>
            </w:pPr>
            <w:r>
              <w:rPr>
                <w:b/>
                <w:bCs/>
                <w:szCs w:val="21"/>
              </w:rPr>
              <w:t>图2-</w:t>
            </w:r>
            <w:r>
              <w:rPr>
                <w:rFonts w:hint="eastAsia"/>
                <w:b/>
                <w:bCs/>
                <w:szCs w:val="21"/>
              </w:rPr>
              <w:t>6</w:t>
            </w:r>
            <w:r>
              <w:rPr>
                <w:b/>
                <w:bCs/>
                <w:szCs w:val="21"/>
              </w:rPr>
              <w:t xml:space="preserve">  现有项目</w:t>
            </w:r>
            <w:r>
              <w:rPr>
                <w:rFonts w:hint="eastAsia"/>
                <w:b/>
                <w:bCs/>
                <w:szCs w:val="21"/>
              </w:rPr>
              <w:t>水平衡</w:t>
            </w:r>
            <w:r>
              <w:rPr>
                <w:b/>
                <w:bCs/>
                <w:szCs w:val="21"/>
              </w:rPr>
              <w:t>图</w:t>
            </w:r>
            <w:r>
              <w:rPr>
                <w:rFonts w:hint="eastAsia"/>
                <w:b/>
                <w:bCs/>
                <w:szCs w:val="21"/>
              </w:rPr>
              <w:t>（m</w:t>
            </w:r>
            <w:r>
              <w:rPr>
                <w:rFonts w:hint="eastAsia"/>
                <w:b/>
                <w:bCs/>
                <w:szCs w:val="21"/>
                <w:vertAlign w:val="superscript"/>
              </w:rPr>
              <w:t>3</w:t>
            </w:r>
            <w:r>
              <w:rPr>
                <w:rFonts w:hint="eastAsia"/>
                <w:b/>
                <w:bCs/>
                <w:szCs w:val="21"/>
              </w:rPr>
              <w:t>/a）</w:t>
            </w:r>
          </w:p>
          <w:p w14:paraId="1D2684B7">
            <w:pPr>
              <w:pStyle w:val="5"/>
              <w:adjustRightInd w:val="0"/>
              <w:snapToGrid w:val="0"/>
              <w:spacing w:line="360" w:lineRule="auto"/>
              <w:ind w:firstLine="422"/>
              <w:rPr>
                <w:b/>
                <w:bCs/>
              </w:rPr>
            </w:pPr>
            <w:r>
              <w:rPr>
                <w:b/>
                <w:bCs/>
              </w:rPr>
              <w:t>②废水产生、排放情况</w:t>
            </w:r>
          </w:p>
          <w:p w14:paraId="46D8A279">
            <w:pPr>
              <w:pStyle w:val="5"/>
              <w:adjustRightInd w:val="0"/>
              <w:snapToGrid w:val="0"/>
              <w:spacing w:line="360" w:lineRule="auto"/>
              <w:ind w:firstLine="420"/>
              <w:rPr>
                <w:szCs w:val="21"/>
              </w:rPr>
            </w:pPr>
            <w:r>
              <w:rPr>
                <w:szCs w:val="21"/>
              </w:rPr>
              <w:t>根据《</w:t>
            </w:r>
            <w:r>
              <w:rPr>
                <w:rFonts w:hint="eastAsia"/>
                <w:bCs/>
                <w:szCs w:val="21"/>
              </w:rPr>
              <w:t>常州朗博密封科技股份有限公司迁建年产2.7亿件橡胶制品项目环保设施“三同时”竣工验收报告</w:t>
            </w:r>
            <w:r>
              <w:rPr>
                <w:szCs w:val="21"/>
              </w:rPr>
              <w:t>》，验收监测期间</w:t>
            </w:r>
            <w:r>
              <w:t>现有项目</w:t>
            </w:r>
            <w:r>
              <w:rPr>
                <w:rFonts w:hint="eastAsia"/>
              </w:rPr>
              <w:t>全厂废水排放量</w:t>
            </w:r>
            <w:r>
              <w:t>为</w:t>
            </w:r>
            <w:r>
              <w:rPr>
                <w:rFonts w:hint="eastAsia"/>
              </w:rPr>
              <w:t>3880</w:t>
            </w:r>
            <w:r>
              <w:t>t/a，</w:t>
            </w:r>
            <w:r>
              <w:rPr>
                <w:szCs w:val="21"/>
              </w:rPr>
              <w:t>各污染因子</w:t>
            </w:r>
            <w:r>
              <w:rPr>
                <w:rFonts w:hint="eastAsia"/>
                <w:szCs w:val="21"/>
              </w:rPr>
              <w:t>排放浓度为COD 22mg/L、SS 30mg/L、氨氮0.028mg/L、总磷0.04mg/L、石油类ND、动植物油类ND，则</w:t>
            </w:r>
            <w:r>
              <w:rPr>
                <w:szCs w:val="21"/>
              </w:rPr>
              <w:t xml:space="preserve">排放量为COD </w:t>
            </w:r>
            <w:r>
              <w:rPr>
                <w:rFonts w:hint="eastAsia"/>
                <w:szCs w:val="21"/>
              </w:rPr>
              <w:t>0.0854</w:t>
            </w:r>
            <w:r>
              <w:rPr>
                <w:szCs w:val="21"/>
              </w:rPr>
              <w:t xml:space="preserve">t/a，SS </w:t>
            </w:r>
            <w:r>
              <w:rPr>
                <w:rFonts w:hint="eastAsia"/>
                <w:szCs w:val="21"/>
              </w:rPr>
              <w:t>0.116</w:t>
            </w:r>
            <w:r>
              <w:rPr>
                <w:szCs w:val="21"/>
              </w:rPr>
              <w:t>t/a、氨氮</w:t>
            </w:r>
            <w:r>
              <w:rPr>
                <w:rFonts w:hint="eastAsia"/>
                <w:szCs w:val="21"/>
              </w:rPr>
              <w:t>0.000109</w:t>
            </w:r>
            <w:r>
              <w:rPr>
                <w:szCs w:val="21"/>
              </w:rPr>
              <w:t>t/a、总磷</w:t>
            </w:r>
            <w:r>
              <w:rPr>
                <w:rFonts w:hint="eastAsia"/>
                <w:szCs w:val="21"/>
              </w:rPr>
              <w:t>0.000155</w:t>
            </w:r>
            <w:r>
              <w:rPr>
                <w:szCs w:val="21"/>
              </w:rPr>
              <w:t>t/a、</w:t>
            </w:r>
            <w:r>
              <w:rPr>
                <w:rFonts w:hint="eastAsia"/>
                <w:szCs w:val="21"/>
              </w:rPr>
              <w:t>石油类</w:t>
            </w:r>
            <w:r>
              <w:rPr>
                <w:szCs w:val="21"/>
              </w:rPr>
              <w:t>0t/a</w:t>
            </w:r>
            <w:r>
              <w:rPr>
                <w:rFonts w:hint="eastAsia"/>
                <w:szCs w:val="21"/>
              </w:rPr>
              <w:t>、动植物油0t/a</w:t>
            </w:r>
            <w:r>
              <w:rPr>
                <w:szCs w:val="21"/>
              </w:rPr>
              <w:t>。</w:t>
            </w:r>
          </w:p>
          <w:p w14:paraId="24694034">
            <w:pPr>
              <w:pStyle w:val="5"/>
              <w:adjustRightInd w:val="0"/>
              <w:snapToGrid w:val="0"/>
              <w:spacing w:line="360" w:lineRule="auto"/>
              <w:ind w:firstLine="422"/>
              <w:rPr>
                <w:b/>
                <w:bCs/>
                <w:szCs w:val="21"/>
              </w:rPr>
            </w:pPr>
            <w:r>
              <w:rPr>
                <w:b/>
                <w:bCs/>
                <w:szCs w:val="21"/>
              </w:rPr>
              <w:t>（3）固废</w:t>
            </w:r>
          </w:p>
          <w:p w14:paraId="091F2079">
            <w:pPr>
              <w:pStyle w:val="5"/>
              <w:adjustRightInd w:val="0"/>
              <w:snapToGrid w:val="0"/>
              <w:spacing w:line="360" w:lineRule="auto"/>
              <w:ind w:firstLine="420"/>
              <w:rPr>
                <w:szCs w:val="21"/>
              </w:rPr>
            </w:pPr>
            <w:r>
              <w:rPr>
                <w:szCs w:val="21"/>
              </w:rPr>
              <w:t>现有项目一般固废产生种类为</w:t>
            </w:r>
            <w:r>
              <w:rPr>
                <w:rFonts w:hint="eastAsia"/>
                <w:szCs w:val="21"/>
              </w:rPr>
              <w:t>废胶料、废橡胶边角料、废金属边角料、除尘收集粉尘</w:t>
            </w:r>
            <w:r>
              <w:rPr>
                <w:szCs w:val="21"/>
              </w:rPr>
              <w:t>，均收集后</w:t>
            </w:r>
            <w:r>
              <w:rPr>
                <w:rFonts w:hint="eastAsia"/>
                <w:szCs w:val="21"/>
              </w:rPr>
              <w:t>外售综合利用</w:t>
            </w:r>
            <w:r>
              <w:rPr>
                <w:szCs w:val="21"/>
              </w:rPr>
              <w:t>处置；危险废物为</w:t>
            </w:r>
            <w:r>
              <w:rPr>
                <w:rFonts w:hint="eastAsia"/>
                <w:szCs w:val="21"/>
              </w:rPr>
              <w:t>废矿物油、废超滤膜、蒸发器残渣、含油污泥、废活性炭</w:t>
            </w:r>
            <w:r>
              <w:rPr>
                <w:szCs w:val="21"/>
              </w:rPr>
              <w:t>均收集后委托有资质单位处置；生活垃圾委托环卫部门清运。现有厂区内已建设一座一般固废仓库</w:t>
            </w:r>
            <w:r>
              <w:rPr>
                <w:rFonts w:hint="eastAsia"/>
                <w:szCs w:val="21"/>
              </w:rPr>
              <w:t>100</w:t>
            </w:r>
            <w:r>
              <w:t>m</w:t>
            </w:r>
            <w:r>
              <w:rPr>
                <w:vertAlign w:val="superscript"/>
              </w:rPr>
              <w:t>2</w:t>
            </w:r>
            <w:r>
              <w:rPr>
                <w:szCs w:val="21"/>
              </w:rPr>
              <w:t>，一座危险废物仓库30</w:t>
            </w:r>
            <w:r>
              <w:t>m</w:t>
            </w:r>
            <w:r>
              <w:rPr>
                <w:vertAlign w:val="superscript"/>
              </w:rPr>
              <w:t>2</w:t>
            </w:r>
            <w:r>
              <w:rPr>
                <w:szCs w:val="21"/>
              </w:rPr>
              <w:t>。</w:t>
            </w:r>
            <w:r>
              <w:rPr>
                <w:rFonts w:hint="eastAsia"/>
                <w:szCs w:val="21"/>
              </w:rPr>
              <w:t>根据2024年</w:t>
            </w:r>
            <w:r>
              <w:rPr>
                <w:szCs w:val="21"/>
              </w:rPr>
              <w:t>现有项目固体废物产生及处置情况见下表。</w:t>
            </w:r>
          </w:p>
          <w:p w14:paraId="13D0ACF2">
            <w:pPr>
              <w:pStyle w:val="5"/>
              <w:adjustRightInd w:val="0"/>
              <w:snapToGrid w:val="0"/>
              <w:ind w:firstLine="0" w:firstLineChars="0"/>
              <w:jc w:val="center"/>
              <w:rPr>
                <w:b/>
                <w:bCs/>
                <w:szCs w:val="21"/>
              </w:rPr>
            </w:pPr>
            <w:r>
              <w:rPr>
                <w:b/>
                <w:bCs/>
                <w:szCs w:val="21"/>
              </w:rPr>
              <w:t>表2-10  现有项目固体废物产生及处置情况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557"/>
              <w:gridCol w:w="1198"/>
              <w:gridCol w:w="550"/>
              <w:gridCol w:w="1525"/>
              <w:gridCol w:w="688"/>
              <w:gridCol w:w="1252"/>
              <w:gridCol w:w="711"/>
              <w:gridCol w:w="720"/>
              <w:gridCol w:w="644"/>
              <w:gridCol w:w="544"/>
            </w:tblGrid>
            <w:tr w14:paraId="57BD0C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722C2067">
                  <w:pPr>
                    <w:pStyle w:val="8"/>
                    <w:adjustRightInd w:val="0"/>
                    <w:snapToGrid w:val="0"/>
                    <w:jc w:val="center"/>
                    <w:rPr>
                      <w:b/>
                      <w:bCs/>
                      <w:szCs w:val="21"/>
                    </w:rPr>
                  </w:pPr>
                  <w:r>
                    <w:rPr>
                      <w:b/>
                      <w:bCs/>
                      <w:szCs w:val="21"/>
                    </w:rPr>
                    <w:t>序号</w:t>
                  </w:r>
                </w:p>
              </w:tc>
              <w:tc>
                <w:tcPr>
                  <w:tcW w:w="1206" w:type="dxa"/>
                  <w:vAlign w:val="center"/>
                </w:tcPr>
                <w:p w14:paraId="4BF4D346">
                  <w:pPr>
                    <w:pStyle w:val="8"/>
                    <w:adjustRightInd w:val="0"/>
                    <w:snapToGrid w:val="0"/>
                    <w:jc w:val="center"/>
                    <w:rPr>
                      <w:b/>
                      <w:bCs/>
                      <w:szCs w:val="21"/>
                    </w:rPr>
                  </w:pPr>
                  <w:r>
                    <w:rPr>
                      <w:b/>
                      <w:bCs/>
                      <w:szCs w:val="21"/>
                    </w:rPr>
                    <w:t>固废名称</w:t>
                  </w:r>
                </w:p>
              </w:tc>
              <w:tc>
                <w:tcPr>
                  <w:tcW w:w="552" w:type="dxa"/>
                  <w:vAlign w:val="center"/>
                </w:tcPr>
                <w:p w14:paraId="541BF569">
                  <w:pPr>
                    <w:pStyle w:val="8"/>
                    <w:adjustRightInd w:val="0"/>
                    <w:snapToGrid w:val="0"/>
                    <w:jc w:val="center"/>
                    <w:rPr>
                      <w:b/>
                      <w:bCs/>
                      <w:szCs w:val="21"/>
                    </w:rPr>
                  </w:pPr>
                  <w:r>
                    <w:rPr>
                      <w:b/>
                      <w:bCs/>
                      <w:szCs w:val="21"/>
                    </w:rPr>
                    <w:t>属性</w:t>
                  </w:r>
                </w:p>
              </w:tc>
              <w:tc>
                <w:tcPr>
                  <w:tcW w:w="1534" w:type="dxa"/>
                  <w:vAlign w:val="center"/>
                </w:tcPr>
                <w:p w14:paraId="3FC63A38">
                  <w:pPr>
                    <w:pStyle w:val="8"/>
                    <w:adjustRightInd w:val="0"/>
                    <w:snapToGrid w:val="0"/>
                    <w:jc w:val="center"/>
                    <w:rPr>
                      <w:b/>
                      <w:bCs/>
                      <w:szCs w:val="21"/>
                    </w:rPr>
                  </w:pPr>
                  <w:r>
                    <w:rPr>
                      <w:b/>
                      <w:bCs/>
                      <w:szCs w:val="21"/>
                    </w:rPr>
                    <w:t>产生工序</w:t>
                  </w:r>
                </w:p>
              </w:tc>
              <w:tc>
                <w:tcPr>
                  <w:tcW w:w="689" w:type="dxa"/>
                  <w:vAlign w:val="center"/>
                </w:tcPr>
                <w:p w14:paraId="332E33F4">
                  <w:pPr>
                    <w:pStyle w:val="8"/>
                    <w:adjustRightInd w:val="0"/>
                    <w:snapToGrid w:val="0"/>
                    <w:jc w:val="center"/>
                    <w:rPr>
                      <w:b/>
                      <w:bCs/>
                      <w:szCs w:val="21"/>
                    </w:rPr>
                  </w:pPr>
                  <w:r>
                    <w:rPr>
                      <w:b/>
                      <w:bCs/>
                      <w:szCs w:val="21"/>
                    </w:rPr>
                    <w:t>废物类别</w:t>
                  </w:r>
                </w:p>
              </w:tc>
              <w:tc>
                <w:tcPr>
                  <w:tcW w:w="1253" w:type="dxa"/>
                  <w:vAlign w:val="center"/>
                </w:tcPr>
                <w:p w14:paraId="4CF3593F">
                  <w:pPr>
                    <w:pStyle w:val="8"/>
                    <w:adjustRightInd w:val="0"/>
                    <w:snapToGrid w:val="0"/>
                    <w:jc w:val="center"/>
                    <w:rPr>
                      <w:b/>
                      <w:bCs/>
                      <w:szCs w:val="21"/>
                    </w:rPr>
                  </w:pPr>
                  <w:r>
                    <w:rPr>
                      <w:b/>
                      <w:bCs/>
                      <w:szCs w:val="21"/>
                    </w:rPr>
                    <w:t>废物代码</w:t>
                  </w:r>
                </w:p>
              </w:tc>
              <w:tc>
                <w:tcPr>
                  <w:tcW w:w="711" w:type="dxa"/>
                  <w:vAlign w:val="center"/>
                </w:tcPr>
                <w:p w14:paraId="3F2D9BA8">
                  <w:pPr>
                    <w:pStyle w:val="8"/>
                    <w:adjustRightInd w:val="0"/>
                    <w:snapToGrid w:val="0"/>
                    <w:jc w:val="center"/>
                    <w:rPr>
                      <w:b/>
                      <w:bCs/>
                      <w:szCs w:val="21"/>
                    </w:rPr>
                  </w:pPr>
                  <w:r>
                    <w:rPr>
                      <w:b/>
                      <w:bCs/>
                      <w:szCs w:val="21"/>
                    </w:rPr>
                    <w:t>产生量（t/a）</w:t>
                  </w:r>
                </w:p>
              </w:tc>
              <w:tc>
                <w:tcPr>
                  <w:tcW w:w="720" w:type="dxa"/>
                  <w:vAlign w:val="center"/>
                </w:tcPr>
                <w:p w14:paraId="5C59F522">
                  <w:pPr>
                    <w:pStyle w:val="8"/>
                    <w:adjustRightInd w:val="0"/>
                    <w:snapToGrid w:val="0"/>
                    <w:jc w:val="center"/>
                    <w:rPr>
                      <w:b/>
                      <w:bCs/>
                      <w:szCs w:val="21"/>
                    </w:rPr>
                  </w:pPr>
                  <w:r>
                    <w:rPr>
                      <w:b/>
                      <w:bCs/>
                      <w:szCs w:val="21"/>
                    </w:rPr>
                    <w:t>处理处置量（t/a）</w:t>
                  </w:r>
                </w:p>
              </w:tc>
              <w:tc>
                <w:tcPr>
                  <w:tcW w:w="647" w:type="dxa"/>
                  <w:vAlign w:val="center"/>
                </w:tcPr>
                <w:p w14:paraId="163EEFF6">
                  <w:pPr>
                    <w:pStyle w:val="8"/>
                    <w:adjustRightInd w:val="0"/>
                    <w:snapToGrid w:val="0"/>
                    <w:jc w:val="center"/>
                    <w:rPr>
                      <w:b/>
                      <w:bCs/>
                      <w:szCs w:val="21"/>
                    </w:rPr>
                  </w:pPr>
                  <w:r>
                    <w:rPr>
                      <w:b/>
                      <w:bCs/>
                      <w:szCs w:val="21"/>
                    </w:rPr>
                    <w:t>处理处置方式</w:t>
                  </w:r>
                </w:p>
              </w:tc>
              <w:tc>
                <w:tcPr>
                  <w:tcW w:w="546" w:type="dxa"/>
                  <w:vAlign w:val="center"/>
                </w:tcPr>
                <w:p w14:paraId="5C936A21">
                  <w:pPr>
                    <w:pStyle w:val="8"/>
                    <w:adjustRightInd w:val="0"/>
                    <w:snapToGrid w:val="0"/>
                    <w:jc w:val="center"/>
                    <w:rPr>
                      <w:b/>
                      <w:bCs/>
                      <w:szCs w:val="21"/>
                    </w:rPr>
                  </w:pPr>
                  <w:r>
                    <w:rPr>
                      <w:b/>
                      <w:bCs/>
                      <w:szCs w:val="21"/>
                    </w:rPr>
                    <w:t>暂存场所</w:t>
                  </w:r>
                </w:p>
              </w:tc>
            </w:tr>
            <w:tr w14:paraId="3C1554D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73AAEF67">
                  <w:pPr>
                    <w:pStyle w:val="8"/>
                    <w:adjustRightInd w:val="0"/>
                    <w:snapToGrid w:val="0"/>
                    <w:jc w:val="center"/>
                    <w:rPr>
                      <w:szCs w:val="21"/>
                    </w:rPr>
                  </w:pPr>
                  <w:r>
                    <w:rPr>
                      <w:szCs w:val="21"/>
                    </w:rPr>
                    <w:t>1</w:t>
                  </w:r>
                </w:p>
              </w:tc>
              <w:tc>
                <w:tcPr>
                  <w:tcW w:w="1206" w:type="dxa"/>
                  <w:vAlign w:val="center"/>
                </w:tcPr>
                <w:p w14:paraId="167348D6">
                  <w:pPr>
                    <w:spacing w:line="280" w:lineRule="exact"/>
                    <w:jc w:val="center"/>
                    <w:rPr>
                      <w:szCs w:val="21"/>
                    </w:rPr>
                  </w:pPr>
                  <w:r>
                    <w:rPr>
                      <w:rFonts w:hAnsi="宋体"/>
                      <w:szCs w:val="21"/>
                    </w:rPr>
                    <w:t>废胶料</w:t>
                  </w:r>
                </w:p>
              </w:tc>
              <w:tc>
                <w:tcPr>
                  <w:tcW w:w="552" w:type="dxa"/>
                  <w:vMerge w:val="restart"/>
                  <w:vAlign w:val="center"/>
                </w:tcPr>
                <w:p w14:paraId="6B00BD9A">
                  <w:pPr>
                    <w:pStyle w:val="8"/>
                    <w:adjustRightInd w:val="0"/>
                    <w:snapToGrid w:val="0"/>
                    <w:jc w:val="center"/>
                    <w:rPr>
                      <w:szCs w:val="21"/>
                    </w:rPr>
                  </w:pPr>
                  <w:r>
                    <w:rPr>
                      <w:szCs w:val="21"/>
                    </w:rPr>
                    <w:t>一般固废</w:t>
                  </w:r>
                </w:p>
              </w:tc>
              <w:tc>
                <w:tcPr>
                  <w:tcW w:w="1534" w:type="dxa"/>
                  <w:vAlign w:val="center"/>
                </w:tcPr>
                <w:p w14:paraId="1527EC65">
                  <w:pPr>
                    <w:spacing w:line="280" w:lineRule="exact"/>
                    <w:jc w:val="center"/>
                    <w:rPr>
                      <w:szCs w:val="21"/>
                    </w:rPr>
                  </w:pPr>
                  <w:r>
                    <w:rPr>
                      <w:rFonts w:hAnsi="宋体"/>
                      <w:szCs w:val="21"/>
                    </w:rPr>
                    <w:t>挤出</w:t>
                  </w:r>
                </w:p>
              </w:tc>
              <w:tc>
                <w:tcPr>
                  <w:tcW w:w="689" w:type="dxa"/>
                  <w:vAlign w:val="center"/>
                </w:tcPr>
                <w:p w14:paraId="696AC2D0">
                  <w:pPr>
                    <w:adjustRightInd w:val="0"/>
                    <w:snapToGrid w:val="0"/>
                    <w:jc w:val="center"/>
                    <w:rPr>
                      <w:szCs w:val="21"/>
                    </w:rPr>
                  </w:pPr>
                  <w:r>
                    <w:rPr>
                      <w:kern w:val="0"/>
                      <w:szCs w:val="21"/>
                    </w:rPr>
                    <w:t>SW17</w:t>
                  </w:r>
                </w:p>
              </w:tc>
              <w:tc>
                <w:tcPr>
                  <w:tcW w:w="1253" w:type="dxa"/>
                  <w:vAlign w:val="center"/>
                </w:tcPr>
                <w:p w14:paraId="7602AEAE">
                  <w:pPr>
                    <w:adjustRightInd w:val="0"/>
                    <w:snapToGrid w:val="0"/>
                    <w:jc w:val="center"/>
                    <w:rPr>
                      <w:szCs w:val="21"/>
                    </w:rPr>
                  </w:pPr>
                  <w:r>
                    <w:rPr>
                      <w:kern w:val="0"/>
                      <w:szCs w:val="21"/>
                    </w:rPr>
                    <w:t>900-006-S17</w:t>
                  </w:r>
                </w:p>
              </w:tc>
              <w:tc>
                <w:tcPr>
                  <w:tcW w:w="711" w:type="dxa"/>
                  <w:vAlign w:val="center"/>
                </w:tcPr>
                <w:p w14:paraId="1C481664">
                  <w:pPr>
                    <w:spacing w:line="280" w:lineRule="exact"/>
                    <w:jc w:val="center"/>
                    <w:rPr>
                      <w:szCs w:val="21"/>
                    </w:rPr>
                  </w:pPr>
                  <w:r>
                    <w:rPr>
                      <w:rFonts w:hint="eastAsia"/>
                      <w:szCs w:val="21"/>
                    </w:rPr>
                    <w:t>3.8</w:t>
                  </w:r>
                </w:p>
              </w:tc>
              <w:tc>
                <w:tcPr>
                  <w:tcW w:w="720" w:type="dxa"/>
                  <w:vAlign w:val="center"/>
                </w:tcPr>
                <w:p w14:paraId="19DF994E">
                  <w:pPr>
                    <w:spacing w:line="280" w:lineRule="exact"/>
                    <w:jc w:val="center"/>
                    <w:rPr>
                      <w:szCs w:val="21"/>
                    </w:rPr>
                  </w:pPr>
                  <w:r>
                    <w:rPr>
                      <w:rFonts w:hint="eastAsia"/>
                      <w:szCs w:val="21"/>
                    </w:rPr>
                    <w:t>3.8</w:t>
                  </w:r>
                </w:p>
              </w:tc>
              <w:tc>
                <w:tcPr>
                  <w:tcW w:w="647" w:type="dxa"/>
                  <w:vMerge w:val="restart"/>
                  <w:vAlign w:val="center"/>
                </w:tcPr>
                <w:p w14:paraId="21C12BF5">
                  <w:pPr>
                    <w:pStyle w:val="8"/>
                    <w:adjustRightInd w:val="0"/>
                    <w:snapToGrid w:val="0"/>
                    <w:jc w:val="center"/>
                    <w:rPr>
                      <w:szCs w:val="21"/>
                    </w:rPr>
                  </w:pPr>
                  <w:r>
                    <w:rPr>
                      <w:rFonts w:hint="eastAsia"/>
                      <w:szCs w:val="21"/>
                    </w:rPr>
                    <w:t>收集后外售综合利用</w:t>
                  </w:r>
                </w:p>
              </w:tc>
              <w:tc>
                <w:tcPr>
                  <w:tcW w:w="546" w:type="dxa"/>
                  <w:vMerge w:val="restart"/>
                  <w:vAlign w:val="center"/>
                </w:tcPr>
                <w:p w14:paraId="1E723A6F">
                  <w:pPr>
                    <w:pStyle w:val="8"/>
                    <w:adjustRightInd w:val="0"/>
                    <w:snapToGrid w:val="0"/>
                    <w:jc w:val="center"/>
                    <w:rPr>
                      <w:szCs w:val="21"/>
                    </w:rPr>
                  </w:pPr>
                  <w:r>
                    <w:rPr>
                      <w:szCs w:val="21"/>
                    </w:rPr>
                    <w:t>一般固废仓库</w:t>
                  </w:r>
                </w:p>
              </w:tc>
            </w:tr>
            <w:tr w14:paraId="42178C1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48F5421D">
                  <w:pPr>
                    <w:pStyle w:val="8"/>
                    <w:adjustRightInd w:val="0"/>
                    <w:snapToGrid w:val="0"/>
                    <w:jc w:val="center"/>
                    <w:rPr>
                      <w:szCs w:val="21"/>
                    </w:rPr>
                  </w:pPr>
                  <w:r>
                    <w:rPr>
                      <w:szCs w:val="21"/>
                    </w:rPr>
                    <w:t>2</w:t>
                  </w:r>
                </w:p>
              </w:tc>
              <w:tc>
                <w:tcPr>
                  <w:tcW w:w="1206" w:type="dxa"/>
                  <w:vAlign w:val="center"/>
                </w:tcPr>
                <w:p w14:paraId="26A62217">
                  <w:pPr>
                    <w:spacing w:line="280" w:lineRule="exact"/>
                    <w:jc w:val="center"/>
                    <w:rPr>
                      <w:szCs w:val="21"/>
                    </w:rPr>
                  </w:pPr>
                  <w:r>
                    <w:rPr>
                      <w:rFonts w:hAnsi="宋体"/>
                      <w:szCs w:val="21"/>
                    </w:rPr>
                    <w:t>废</w:t>
                  </w:r>
                  <w:r>
                    <w:rPr>
                      <w:rFonts w:hint="eastAsia" w:hAnsi="宋体"/>
                      <w:szCs w:val="21"/>
                    </w:rPr>
                    <w:t>橡胶</w:t>
                  </w:r>
                  <w:r>
                    <w:rPr>
                      <w:rFonts w:hAnsi="宋体"/>
                      <w:szCs w:val="21"/>
                    </w:rPr>
                    <w:t>边角料</w:t>
                  </w:r>
                </w:p>
              </w:tc>
              <w:tc>
                <w:tcPr>
                  <w:tcW w:w="552" w:type="dxa"/>
                  <w:vMerge w:val="continue"/>
                  <w:vAlign w:val="center"/>
                </w:tcPr>
                <w:p w14:paraId="046874CE">
                  <w:pPr>
                    <w:pStyle w:val="8"/>
                    <w:adjustRightInd w:val="0"/>
                    <w:snapToGrid w:val="0"/>
                    <w:jc w:val="center"/>
                    <w:rPr>
                      <w:szCs w:val="21"/>
                    </w:rPr>
                  </w:pPr>
                </w:p>
              </w:tc>
              <w:tc>
                <w:tcPr>
                  <w:tcW w:w="1534" w:type="dxa"/>
                  <w:vAlign w:val="center"/>
                </w:tcPr>
                <w:p w14:paraId="1C91078E">
                  <w:pPr>
                    <w:spacing w:line="280" w:lineRule="exact"/>
                    <w:jc w:val="center"/>
                    <w:rPr>
                      <w:szCs w:val="21"/>
                    </w:rPr>
                  </w:pPr>
                  <w:r>
                    <w:rPr>
                      <w:rFonts w:hint="eastAsia" w:hAnsi="宋体"/>
                      <w:szCs w:val="21"/>
                    </w:rPr>
                    <w:t>切片、</w:t>
                  </w:r>
                  <w:r>
                    <w:rPr>
                      <w:rFonts w:hAnsi="宋体"/>
                      <w:szCs w:val="21"/>
                    </w:rPr>
                    <w:t>修整</w:t>
                  </w:r>
                </w:p>
              </w:tc>
              <w:tc>
                <w:tcPr>
                  <w:tcW w:w="689" w:type="dxa"/>
                  <w:vAlign w:val="center"/>
                </w:tcPr>
                <w:p w14:paraId="540B8A3F">
                  <w:pPr>
                    <w:adjustRightInd w:val="0"/>
                    <w:snapToGrid w:val="0"/>
                    <w:jc w:val="center"/>
                    <w:rPr>
                      <w:kern w:val="0"/>
                      <w:szCs w:val="21"/>
                    </w:rPr>
                  </w:pPr>
                  <w:r>
                    <w:rPr>
                      <w:kern w:val="0"/>
                      <w:szCs w:val="21"/>
                    </w:rPr>
                    <w:t>SW17</w:t>
                  </w:r>
                </w:p>
              </w:tc>
              <w:tc>
                <w:tcPr>
                  <w:tcW w:w="1253" w:type="dxa"/>
                  <w:vAlign w:val="center"/>
                </w:tcPr>
                <w:p w14:paraId="1BCC0B0C">
                  <w:pPr>
                    <w:adjustRightInd w:val="0"/>
                    <w:snapToGrid w:val="0"/>
                    <w:jc w:val="center"/>
                    <w:rPr>
                      <w:kern w:val="0"/>
                      <w:szCs w:val="21"/>
                    </w:rPr>
                  </w:pPr>
                  <w:r>
                    <w:rPr>
                      <w:kern w:val="0"/>
                      <w:szCs w:val="21"/>
                    </w:rPr>
                    <w:t>900-006-S17</w:t>
                  </w:r>
                </w:p>
              </w:tc>
              <w:tc>
                <w:tcPr>
                  <w:tcW w:w="711" w:type="dxa"/>
                  <w:vAlign w:val="center"/>
                </w:tcPr>
                <w:p w14:paraId="3E8BA4B3">
                  <w:pPr>
                    <w:spacing w:line="280" w:lineRule="exact"/>
                    <w:jc w:val="center"/>
                    <w:rPr>
                      <w:szCs w:val="21"/>
                    </w:rPr>
                  </w:pPr>
                  <w:r>
                    <w:rPr>
                      <w:rFonts w:hint="eastAsia"/>
                      <w:szCs w:val="21"/>
                    </w:rPr>
                    <w:t>15.4</w:t>
                  </w:r>
                </w:p>
              </w:tc>
              <w:tc>
                <w:tcPr>
                  <w:tcW w:w="720" w:type="dxa"/>
                  <w:vAlign w:val="center"/>
                </w:tcPr>
                <w:p w14:paraId="7D7CF50C">
                  <w:pPr>
                    <w:spacing w:line="280" w:lineRule="exact"/>
                    <w:jc w:val="center"/>
                    <w:rPr>
                      <w:szCs w:val="21"/>
                    </w:rPr>
                  </w:pPr>
                  <w:r>
                    <w:rPr>
                      <w:rFonts w:hint="eastAsia"/>
                      <w:szCs w:val="21"/>
                    </w:rPr>
                    <w:t>15.4</w:t>
                  </w:r>
                </w:p>
              </w:tc>
              <w:tc>
                <w:tcPr>
                  <w:tcW w:w="647" w:type="dxa"/>
                  <w:vMerge w:val="continue"/>
                  <w:vAlign w:val="center"/>
                </w:tcPr>
                <w:p w14:paraId="2346DCEA">
                  <w:pPr>
                    <w:pStyle w:val="8"/>
                    <w:adjustRightInd w:val="0"/>
                    <w:snapToGrid w:val="0"/>
                    <w:jc w:val="center"/>
                    <w:rPr>
                      <w:szCs w:val="21"/>
                    </w:rPr>
                  </w:pPr>
                </w:p>
              </w:tc>
              <w:tc>
                <w:tcPr>
                  <w:tcW w:w="546" w:type="dxa"/>
                  <w:vMerge w:val="continue"/>
                  <w:vAlign w:val="center"/>
                </w:tcPr>
                <w:p w14:paraId="093021F7">
                  <w:pPr>
                    <w:pStyle w:val="8"/>
                    <w:adjustRightInd w:val="0"/>
                    <w:snapToGrid w:val="0"/>
                    <w:jc w:val="center"/>
                    <w:rPr>
                      <w:szCs w:val="21"/>
                    </w:rPr>
                  </w:pPr>
                </w:p>
              </w:tc>
            </w:tr>
            <w:tr w14:paraId="63C58E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5B0001F7">
                  <w:pPr>
                    <w:pStyle w:val="8"/>
                    <w:adjustRightInd w:val="0"/>
                    <w:snapToGrid w:val="0"/>
                    <w:jc w:val="center"/>
                    <w:rPr>
                      <w:szCs w:val="21"/>
                    </w:rPr>
                  </w:pPr>
                  <w:r>
                    <w:rPr>
                      <w:szCs w:val="21"/>
                    </w:rPr>
                    <w:t>3</w:t>
                  </w:r>
                </w:p>
              </w:tc>
              <w:tc>
                <w:tcPr>
                  <w:tcW w:w="1206" w:type="dxa"/>
                  <w:vAlign w:val="center"/>
                </w:tcPr>
                <w:p w14:paraId="5565A3FF">
                  <w:pPr>
                    <w:spacing w:line="280" w:lineRule="exact"/>
                    <w:jc w:val="center"/>
                    <w:rPr>
                      <w:szCs w:val="21"/>
                    </w:rPr>
                  </w:pPr>
                  <w:r>
                    <w:rPr>
                      <w:rFonts w:hint="eastAsia" w:hAnsi="宋体"/>
                      <w:szCs w:val="21"/>
                    </w:rPr>
                    <w:t>废金属边角料</w:t>
                  </w:r>
                </w:p>
              </w:tc>
              <w:tc>
                <w:tcPr>
                  <w:tcW w:w="552" w:type="dxa"/>
                  <w:vMerge w:val="continue"/>
                  <w:vAlign w:val="center"/>
                </w:tcPr>
                <w:p w14:paraId="65051E3E">
                  <w:pPr>
                    <w:pStyle w:val="8"/>
                    <w:adjustRightInd w:val="0"/>
                    <w:snapToGrid w:val="0"/>
                    <w:jc w:val="center"/>
                    <w:rPr>
                      <w:szCs w:val="21"/>
                    </w:rPr>
                  </w:pPr>
                </w:p>
              </w:tc>
              <w:tc>
                <w:tcPr>
                  <w:tcW w:w="1534" w:type="dxa"/>
                  <w:vAlign w:val="center"/>
                </w:tcPr>
                <w:p w14:paraId="65B796D8">
                  <w:pPr>
                    <w:spacing w:line="280" w:lineRule="exact"/>
                    <w:jc w:val="center"/>
                    <w:rPr>
                      <w:szCs w:val="21"/>
                    </w:rPr>
                  </w:pPr>
                  <w:r>
                    <w:rPr>
                      <w:rFonts w:hint="eastAsia" w:hAnsi="宋体"/>
                      <w:szCs w:val="21"/>
                    </w:rPr>
                    <w:t>抛丸</w:t>
                  </w:r>
                </w:p>
              </w:tc>
              <w:tc>
                <w:tcPr>
                  <w:tcW w:w="689" w:type="dxa"/>
                  <w:vAlign w:val="center"/>
                </w:tcPr>
                <w:p w14:paraId="1F8C0F79">
                  <w:pPr>
                    <w:adjustRightInd w:val="0"/>
                    <w:snapToGrid w:val="0"/>
                    <w:jc w:val="center"/>
                    <w:rPr>
                      <w:szCs w:val="21"/>
                    </w:rPr>
                  </w:pPr>
                  <w:r>
                    <w:rPr>
                      <w:kern w:val="0"/>
                      <w:szCs w:val="21"/>
                    </w:rPr>
                    <w:t>SW17</w:t>
                  </w:r>
                </w:p>
              </w:tc>
              <w:tc>
                <w:tcPr>
                  <w:tcW w:w="1253" w:type="dxa"/>
                  <w:vAlign w:val="center"/>
                </w:tcPr>
                <w:p w14:paraId="53CB3B0E">
                  <w:pPr>
                    <w:adjustRightInd w:val="0"/>
                    <w:snapToGrid w:val="0"/>
                    <w:jc w:val="center"/>
                    <w:rPr>
                      <w:szCs w:val="21"/>
                    </w:rPr>
                  </w:pPr>
                  <w:r>
                    <w:rPr>
                      <w:kern w:val="0"/>
                      <w:szCs w:val="21"/>
                    </w:rPr>
                    <w:t>900-006-S17</w:t>
                  </w:r>
                </w:p>
              </w:tc>
              <w:tc>
                <w:tcPr>
                  <w:tcW w:w="711" w:type="dxa"/>
                  <w:vAlign w:val="center"/>
                </w:tcPr>
                <w:p w14:paraId="48AA1372">
                  <w:pPr>
                    <w:spacing w:line="280" w:lineRule="exact"/>
                    <w:jc w:val="center"/>
                    <w:rPr>
                      <w:szCs w:val="21"/>
                    </w:rPr>
                  </w:pPr>
                  <w:r>
                    <w:rPr>
                      <w:rFonts w:hint="eastAsia"/>
                      <w:szCs w:val="21"/>
                    </w:rPr>
                    <w:t>0.8</w:t>
                  </w:r>
                </w:p>
              </w:tc>
              <w:tc>
                <w:tcPr>
                  <w:tcW w:w="720" w:type="dxa"/>
                  <w:vAlign w:val="center"/>
                </w:tcPr>
                <w:p w14:paraId="1E4FBE23">
                  <w:pPr>
                    <w:spacing w:line="280" w:lineRule="exact"/>
                    <w:jc w:val="center"/>
                    <w:rPr>
                      <w:szCs w:val="21"/>
                    </w:rPr>
                  </w:pPr>
                  <w:r>
                    <w:rPr>
                      <w:rFonts w:hint="eastAsia"/>
                      <w:szCs w:val="21"/>
                    </w:rPr>
                    <w:t>0.8</w:t>
                  </w:r>
                </w:p>
              </w:tc>
              <w:tc>
                <w:tcPr>
                  <w:tcW w:w="647" w:type="dxa"/>
                  <w:vMerge w:val="continue"/>
                  <w:vAlign w:val="center"/>
                </w:tcPr>
                <w:p w14:paraId="746C9245">
                  <w:pPr>
                    <w:pStyle w:val="8"/>
                    <w:adjustRightInd w:val="0"/>
                    <w:snapToGrid w:val="0"/>
                    <w:jc w:val="center"/>
                    <w:rPr>
                      <w:szCs w:val="21"/>
                    </w:rPr>
                  </w:pPr>
                </w:p>
              </w:tc>
              <w:tc>
                <w:tcPr>
                  <w:tcW w:w="546" w:type="dxa"/>
                  <w:vMerge w:val="continue"/>
                  <w:vAlign w:val="center"/>
                </w:tcPr>
                <w:p w14:paraId="3D7A16C4">
                  <w:pPr>
                    <w:pStyle w:val="8"/>
                    <w:adjustRightInd w:val="0"/>
                    <w:snapToGrid w:val="0"/>
                    <w:jc w:val="center"/>
                    <w:rPr>
                      <w:szCs w:val="21"/>
                    </w:rPr>
                  </w:pPr>
                </w:p>
              </w:tc>
            </w:tr>
            <w:tr w14:paraId="0EA5C59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5FDF2B09">
                  <w:pPr>
                    <w:pStyle w:val="8"/>
                    <w:adjustRightInd w:val="0"/>
                    <w:snapToGrid w:val="0"/>
                    <w:jc w:val="center"/>
                    <w:rPr>
                      <w:szCs w:val="21"/>
                    </w:rPr>
                  </w:pPr>
                  <w:r>
                    <w:rPr>
                      <w:szCs w:val="21"/>
                    </w:rPr>
                    <w:t>4</w:t>
                  </w:r>
                </w:p>
              </w:tc>
              <w:tc>
                <w:tcPr>
                  <w:tcW w:w="1206" w:type="dxa"/>
                  <w:vAlign w:val="center"/>
                </w:tcPr>
                <w:p w14:paraId="1F16D0F9">
                  <w:pPr>
                    <w:spacing w:line="280" w:lineRule="exact"/>
                    <w:jc w:val="center"/>
                    <w:rPr>
                      <w:szCs w:val="21"/>
                    </w:rPr>
                  </w:pPr>
                  <w:r>
                    <w:rPr>
                      <w:rFonts w:hAnsi="宋体"/>
                      <w:szCs w:val="21"/>
                    </w:rPr>
                    <w:t>布袋除尘装置截留粉尘</w:t>
                  </w:r>
                </w:p>
              </w:tc>
              <w:tc>
                <w:tcPr>
                  <w:tcW w:w="552" w:type="dxa"/>
                  <w:vMerge w:val="continue"/>
                  <w:vAlign w:val="center"/>
                </w:tcPr>
                <w:p w14:paraId="52DAC190">
                  <w:pPr>
                    <w:pStyle w:val="8"/>
                    <w:adjustRightInd w:val="0"/>
                    <w:snapToGrid w:val="0"/>
                    <w:jc w:val="center"/>
                    <w:rPr>
                      <w:szCs w:val="21"/>
                    </w:rPr>
                  </w:pPr>
                </w:p>
              </w:tc>
              <w:tc>
                <w:tcPr>
                  <w:tcW w:w="1534" w:type="dxa"/>
                  <w:vAlign w:val="center"/>
                </w:tcPr>
                <w:p w14:paraId="6D44CDE5">
                  <w:pPr>
                    <w:spacing w:line="280" w:lineRule="exact"/>
                    <w:jc w:val="center"/>
                    <w:rPr>
                      <w:szCs w:val="21"/>
                    </w:rPr>
                  </w:pPr>
                  <w:r>
                    <w:rPr>
                      <w:rFonts w:hint="eastAsia"/>
                      <w:szCs w:val="21"/>
                    </w:rPr>
                    <w:t>除尘</w:t>
                  </w:r>
                </w:p>
              </w:tc>
              <w:tc>
                <w:tcPr>
                  <w:tcW w:w="689" w:type="dxa"/>
                  <w:vAlign w:val="center"/>
                </w:tcPr>
                <w:p w14:paraId="65E61F92">
                  <w:pPr>
                    <w:adjustRightInd w:val="0"/>
                    <w:snapToGrid w:val="0"/>
                    <w:jc w:val="center"/>
                    <w:rPr>
                      <w:szCs w:val="21"/>
                    </w:rPr>
                  </w:pPr>
                  <w:r>
                    <w:rPr>
                      <w:szCs w:val="21"/>
                    </w:rPr>
                    <w:t>SW59</w:t>
                  </w:r>
                </w:p>
              </w:tc>
              <w:tc>
                <w:tcPr>
                  <w:tcW w:w="1253" w:type="dxa"/>
                  <w:vAlign w:val="center"/>
                </w:tcPr>
                <w:p w14:paraId="64F1C7B6">
                  <w:pPr>
                    <w:adjustRightInd w:val="0"/>
                    <w:snapToGrid w:val="0"/>
                    <w:jc w:val="center"/>
                    <w:rPr>
                      <w:szCs w:val="21"/>
                    </w:rPr>
                  </w:pPr>
                  <w:r>
                    <w:rPr>
                      <w:szCs w:val="21"/>
                    </w:rPr>
                    <w:t>900-099-S59</w:t>
                  </w:r>
                </w:p>
              </w:tc>
              <w:tc>
                <w:tcPr>
                  <w:tcW w:w="711" w:type="dxa"/>
                  <w:vAlign w:val="center"/>
                </w:tcPr>
                <w:p w14:paraId="2DEFC3B3">
                  <w:pPr>
                    <w:spacing w:line="280" w:lineRule="exact"/>
                    <w:jc w:val="center"/>
                    <w:rPr>
                      <w:szCs w:val="21"/>
                    </w:rPr>
                  </w:pPr>
                  <w:r>
                    <w:rPr>
                      <w:rFonts w:hint="eastAsia"/>
                      <w:szCs w:val="21"/>
                    </w:rPr>
                    <w:t>13.7</w:t>
                  </w:r>
                </w:p>
              </w:tc>
              <w:tc>
                <w:tcPr>
                  <w:tcW w:w="720" w:type="dxa"/>
                  <w:vAlign w:val="center"/>
                </w:tcPr>
                <w:p w14:paraId="61AD6979">
                  <w:pPr>
                    <w:spacing w:line="280" w:lineRule="exact"/>
                    <w:jc w:val="center"/>
                    <w:rPr>
                      <w:szCs w:val="21"/>
                    </w:rPr>
                  </w:pPr>
                  <w:r>
                    <w:rPr>
                      <w:rFonts w:hint="eastAsia"/>
                      <w:szCs w:val="21"/>
                    </w:rPr>
                    <w:t>13.7</w:t>
                  </w:r>
                </w:p>
              </w:tc>
              <w:tc>
                <w:tcPr>
                  <w:tcW w:w="647" w:type="dxa"/>
                  <w:vMerge w:val="continue"/>
                  <w:vAlign w:val="center"/>
                </w:tcPr>
                <w:p w14:paraId="1738D7C4">
                  <w:pPr>
                    <w:pStyle w:val="8"/>
                    <w:adjustRightInd w:val="0"/>
                    <w:snapToGrid w:val="0"/>
                    <w:jc w:val="center"/>
                    <w:rPr>
                      <w:szCs w:val="21"/>
                    </w:rPr>
                  </w:pPr>
                </w:p>
              </w:tc>
              <w:tc>
                <w:tcPr>
                  <w:tcW w:w="546" w:type="dxa"/>
                  <w:vMerge w:val="continue"/>
                  <w:vAlign w:val="center"/>
                </w:tcPr>
                <w:p w14:paraId="6EDE204D">
                  <w:pPr>
                    <w:pStyle w:val="8"/>
                    <w:adjustRightInd w:val="0"/>
                    <w:snapToGrid w:val="0"/>
                    <w:jc w:val="center"/>
                    <w:rPr>
                      <w:szCs w:val="21"/>
                    </w:rPr>
                  </w:pPr>
                </w:p>
              </w:tc>
            </w:tr>
            <w:tr w14:paraId="1A6BFF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79865465">
                  <w:pPr>
                    <w:pStyle w:val="8"/>
                    <w:adjustRightInd w:val="0"/>
                    <w:snapToGrid w:val="0"/>
                    <w:jc w:val="center"/>
                    <w:rPr>
                      <w:szCs w:val="21"/>
                    </w:rPr>
                  </w:pPr>
                  <w:r>
                    <w:rPr>
                      <w:rFonts w:hint="eastAsia"/>
                      <w:szCs w:val="21"/>
                    </w:rPr>
                    <w:t>5</w:t>
                  </w:r>
                </w:p>
              </w:tc>
              <w:tc>
                <w:tcPr>
                  <w:tcW w:w="1206" w:type="dxa"/>
                  <w:vAlign w:val="center"/>
                </w:tcPr>
                <w:p w14:paraId="33C3CA1E">
                  <w:pPr>
                    <w:pStyle w:val="8"/>
                    <w:adjustRightInd w:val="0"/>
                    <w:snapToGrid w:val="0"/>
                    <w:jc w:val="center"/>
                    <w:rPr>
                      <w:szCs w:val="21"/>
                    </w:rPr>
                  </w:pPr>
                  <w:r>
                    <w:rPr>
                      <w:rFonts w:hint="eastAsia"/>
                      <w:szCs w:val="21"/>
                    </w:rPr>
                    <w:t>废胶黏剂</w:t>
                  </w:r>
                </w:p>
              </w:tc>
              <w:tc>
                <w:tcPr>
                  <w:tcW w:w="552" w:type="dxa"/>
                  <w:vMerge w:val="restart"/>
                  <w:vAlign w:val="center"/>
                </w:tcPr>
                <w:p w14:paraId="19E11968">
                  <w:pPr>
                    <w:pStyle w:val="8"/>
                    <w:adjustRightInd w:val="0"/>
                    <w:snapToGrid w:val="0"/>
                    <w:jc w:val="center"/>
                    <w:rPr>
                      <w:szCs w:val="21"/>
                    </w:rPr>
                  </w:pPr>
                  <w:r>
                    <w:rPr>
                      <w:szCs w:val="21"/>
                    </w:rPr>
                    <w:t>危险废物</w:t>
                  </w:r>
                </w:p>
              </w:tc>
              <w:tc>
                <w:tcPr>
                  <w:tcW w:w="1534" w:type="dxa"/>
                  <w:vAlign w:val="center"/>
                </w:tcPr>
                <w:p w14:paraId="25669FA6">
                  <w:pPr>
                    <w:pStyle w:val="8"/>
                    <w:adjustRightInd w:val="0"/>
                    <w:snapToGrid w:val="0"/>
                    <w:jc w:val="center"/>
                    <w:rPr>
                      <w:szCs w:val="21"/>
                    </w:rPr>
                  </w:pPr>
                  <w:r>
                    <w:rPr>
                      <w:rFonts w:hint="eastAsia"/>
                      <w:szCs w:val="21"/>
                    </w:rPr>
                    <w:t>喷涂浸胶</w:t>
                  </w:r>
                </w:p>
              </w:tc>
              <w:tc>
                <w:tcPr>
                  <w:tcW w:w="689" w:type="dxa"/>
                  <w:vAlign w:val="center"/>
                </w:tcPr>
                <w:p w14:paraId="36EA2490">
                  <w:pPr>
                    <w:pStyle w:val="8"/>
                    <w:adjustRightInd w:val="0"/>
                    <w:snapToGrid w:val="0"/>
                    <w:jc w:val="center"/>
                    <w:rPr>
                      <w:szCs w:val="21"/>
                    </w:rPr>
                  </w:pPr>
                  <w:r>
                    <w:rPr>
                      <w:rFonts w:hint="eastAsia"/>
                    </w:rPr>
                    <w:t>HW13</w:t>
                  </w:r>
                </w:p>
              </w:tc>
              <w:tc>
                <w:tcPr>
                  <w:tcW w:w="1253" w:type="dxa"/>
                  <w:vAlign w:val="center"/>
                </w:tcPr>
                <w:p w14:paraId="1DA67E25">
                  <w:pPr>
                    <w:spacing w:line="280" w:lineRule="exact"/>
                    <w:jc w:val="center"/>
                    <w:rPr>
                      <w:szCs w:val="21"/>
                    </w:rPr>
                  </w:pPr>
                  <w:r>
                    <w:rPr>
                      <w:rFonts w:hint="eastAsia"/>
                      <w:szCs w:val="21"/>
                    </w:rPr>
                    <w:t>900-014-13</w:t>
                  </w:r>
                </w:p>
              </w:tc>
              <w:tc>
                <w:tcPr>
                  <w:tcW w:w="711" w:type="dxa"/>
                  <w:vAlign w:val="center"/>
                </w:tcPr>
                <w:p w14:paraId="78D4AEF1">
                  <w:pPr>
                    <w:adjustRightInd w:val="0"/>
                    <w:snapToGrid w:val="0"/>
                    <w:jc w:val="center"/>
                    <w:rPr>
                      <w:szCs w:val="21"/>
                    </w:rPr>
                  </w:pPr>
                  <w:r>
                    <w:rPr>
                      <w:rFonts w:hint="eastAsia"/>
                      <w:szCs w:val="21"/>
                    </w:rPr>
                    <w:t>3.62</w:t>
                  </w:r>
                </w:p>
              </w:tc>
              <w:tc>
                <w:tcPr>
                  <w:tcW w:w="720" w:type="dxa"/>
                  <w:vAlign w:val="center"/>
                </w:tcPr>
                <w:p w14:paraId="3C6D4004">
                  <w:pPr>
                    <w:adjustRightInd w:val="0"/>
                    <w:snapToGrid w:val="0"/>
                    <w:jc w:val="center"/>
                    <w:rPr>
                      <w:szCs w:val="21"/>
                    </w:rPr>
                  </w:pPr>
                  <w:r>
                    <w:rPr>
                      <w:rFonts w:hint="eastAsia"/>
                      <w:szCs w:val="21"/>
                    </w:rPr>
                    <w:t>3.62</w:t>
                  </w:r>
                </w:p>
              </w:tc>
              <w:tc>
                <w:tcPr>
                  <w:tcW w:w="647" w:type="dxa"/>
                  <w:vMerge w:val="restart"/>
                  <w:vAlign w:val="center"/>
                </w:tcPr>
                <w:p w14:paraId="65DA7374">
                  <w:pPr>
                    <w:pStyle w:val="8"/>
                    <w:adjustRightInd w:val="0"/>
                    <w:snapToGrid w:val="0"/>
                    <w:jc w:val="center"/>
                    <w:rPr>
                      <w:b/>
                      <w:bCs/>
                      <w:szCs w:val="21"/>
                    </w:rPr>
                  </w:pPr>
                  <w:r>
                    <w:rPr>
                      <w:szCs w:val="21"/>
                    </w:rPr>
                    <w:t>委托有资质单位处置</w:t>
                  </w:r>
                </w:p>
              </w:tc>
              <w:tc>
                <w:tcPr>
                  <w:tcW w:w="546" w:type="dxa"/>
                  <w:vMerge w:val="restart"/>
                  <w:vAlign w:val="center"/>
                </w:tcPr>
                <w:p w14:paraId="2932BF43">
                  <w:pPr>
                    <w:pStyle w:val="8"/>
                    <w:adjustRightInd w:val="0"/>
                    <w:snapToGrid w:val="0"/>
                    <w:jc w:val="center"/>
                    <w:rPr>
                      <w:b/>
                      <w:bCs/>
                      <w:szCs w:val="21"/>
                    </w:rPr>
                  </w:pPr>
                  <w:r>
                    <w:rPr>
                      <w:szCs w:val="21"/>
                    </w:rPr>
                    <w:t>危险废物仓库</w:t>
                  </w:r>
                </w:p>
              </w:tc>
            </w:tr>
            <w:tr w14:paraId="6451C3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1380C555">
                  <w:pPr>
                    <w:pStyle w:val="8"/>
                    <w:adjustRightInd w:val="0"/>
                    <w:snapToGrid w:val="0"/>
                    <w:jc w:val="center"/>
                    <w:rPr>
                      <w:b/>
                      <w:bCs/>
                      <w:szCs w:val="21"/>
                    </w:rPr>
                  </w:pPr>
                  <w:r>
                    <w:rPr>
                      <w:szCs w:val="21"/>
                    </w:rPr>
                    <w:t>6</w:t>
                  </w:r>
                </w:p>
              </w:tc>
              <w:tc>
                <w:tcPr>
                  <w:tcW w:w="1206" w:type="dxa"/>
                  <w:vAlign w:val="center"/>
                </w:tcPr>
                <w:p w14:paraId="79DB59E7">
                  <w:pPr>
                    <w:spacing w:line="280" w:lineRule="exact"/>
                    <w:jc w:val="center"/>
                    <w:rPr>
                      <w:rFonts w:hAnsi="宋体"/>
                      <w:szCs w:val="21"/>
                    </w:rPr>
                  </w:pPr>
                  <w:r>
                    <w:rPr>
                      <w:rFonts w:hAnsi="宋体"/>
                      <w:szCs w:val="21"/>
                    </w:rPr>
                    <w:t>废矿物油</w:t>
                  </w:r>
                </w:p>
              </w:tc>
              <w:tc>
                <w:tcPr>
                  <w:tcW w:w="552" w:type="dxa"/>
                  <w:vMerge w:val="continue"/>
                  <w:vAlign w:val="center"/>
                </w:tcPr>
                <w:p w14:paraId="65B141A6">
                  <w:pPr>
                    <w:pStyle w:val="8"/>
                    <w:adjustRightInd w:val="0"/>
                    <w:snapToGrid w:val="0"/>
                    <w:jc w:val="center"/>
                    <w:rPr>
                      <w:szCs w:val="21"/>
                    </w:rPr>
                  </w:pPr>
                </w:p>
              </w:tc>
              <w:tc>
                <w:tcPr>
                  <w:tcW w:w="1534" w:type="dxa"/>
                  <w:vAlign w:val="center"/>
                </w:tcPr>
                <w:p w14:paraId="1071EEE0">
                  <w:pPr>
                    <w:spacing w:line="280" w:lineRule="exact"/>
                    <w:jc w:val="center"/>
                    <w:rPr>
                      <w:szCs w:val="21"/>
                    </w:rPr>
                  </w:pPr>
                  <w:r>
                    <w:rPr>
                      <w:rFonts w:hint="eastAsia"/>
                      <w:szCs w:val="21"/>
                    </w:rPr>
                    <w:t>机器更换</w:t>
                  </w:r>
                </w:p>
              </w:tc>
              <w:tc>
                <w:tcPr>
                  <w:tcW w:w="689" w:type="dxa"/>
                  <w:vAlign w:val="center"/>
                </w:tcPr>
                <w:p w14:paraId="380810C3">
                  <w:pPr>
                    <w:snapToGrid w:val="0"/>
                    <w:jc w:val="center"/>
                  </w:pPr>
                  <w:r>
                    <w:rPr>
                      <w:szCs w:val="21"/>
                    </w:rPr>
                    <w:t>HW</w:t>
                  </w:r>
                  <w:r>
                    <w:rPr>
                      <w:rFonts w:hint="eastAsia"/>
                      <w:szCs w:val="21"/>
                    </w:rPr>
                    <w:t>08</w:t>
                  </w:r>
                </w:p>
              </w:tc>
              <w:tc>
                <w:tcPr>
                  <w:tcW w:w="1253" w:type="dxa"/>
                  <w:vAlign w:val="center"/>
                </w:tcPr>
                <w:p w14:paraId="099336D6">
                  <w:pPr>
                    <w:spacing w:line="280" w:lineRule="exact"/>
                    <w:jc w:val="center"/>
                    <w:rPr>
                      <w:szCs w:val="21"/>
                    </w:rPr>
                  </w:pPr>
                  <w:r>
                    <w:rPr>
                      <w:rFonts w:hint="eastAsia"/>
                      <w:szCs w:val="21"/>
                    </w:rPr>
                    <w:t>900-249-08</w:t>
                  </w:r>
                </w:p>
              </w:tc>
              <w:tc>
                <w:tcPr>
                  <w:tcW w:w="711" w:type="dxa"/>
                  <w:vAlign w:val="center"/>
                </w:tcPr>
                <w:p w14:paraId="360B6C4D">
                  <w:pPr>
                    <w:spacing w:line="280" w:lineRule="exact"/>
                    <w:jc w:val="center"/>
                    <w:rPr>
                      <w:szCs w:val="21"/>
                    </w:rPr>
                  </w:pPr>
                  <w:r>
                    <w:rPr>
                      <w:rFonts w:hint="eastAsia"/>
                      <w:szCs w:val="21"/>
                    </w:rPr>
                    <w:t>0.75</w:t>
                  </w:r>
                </w:p>
              </w:tc>
              <w:tc>
                <w:tcPr>
                  <w:tcW w:w="720" w:type="dxa"/>
                  <w:vAlign w:val="center"/>
                </w:tcPr>
                <w:p w14:paraId="05DCA01B">
                  <w:pPr>
                    <w:pStyle w:val="8"/>
                    <w:adjustRightInd w:val="0"/>
                    <w:snapToGrid w:val="0"/>
                    <w:jc w:val="center"/>
                    <w:rPr>
                      <w:szCs w:val="21"/>
                    </w:rPr>
                  </w:pPr>
                  <w:r>
                    <w:rPr>
                      <w:rFonts w:hint="eastAsia"/>
                      <w:szCs w:val="21"/>
                    </w:rPr>
                    <w:t>0.75</w:t>
                  </w:r>
                </w:p>
              </w:tc>
              <w:tc>
                <w:tcPr>
                  <w:tcW w:w="647" w:type="dxa"/>
                  <w:vMerge w:val="continue"/>
                  <w:vAlign w:val="center"/>
                </w:tcPr>
                <w:p w14:paraId="5277E5EF">
                  <w:pPr>
                    <w:pStyle w:val="8"/>
                    <w:adjustRightInd w:val="0"/>
                    <w:snapToGrid w:val="0"/>
                    <w:jc w:val="center"/>
                    <w:rPr>
                      <w:szCs w:val="21"/>
                    </w:rPr>
                  </w:pPr>
                </w:p>
              </w:tc>
              <w:tc>
                <w:tcPr>
                  <w:tcW w:w="546" w:type="dxa"/>
                  <w:vMerge w:val="continue"/>
                  <w:vAlign w:val="center"/>
                </w:tcPr>
                <w:p w14:paraId="1B87742A">
                  <w:pPr>
                    <w:pStyle w:val="8"/>
                    <w:adjustRightInd w:val="0"/>
                    <w:snapToGrid w:val="0"/>
                    <w:jc w:val="center"/>
                    <w:rPr>
                      <w:szCs w:val="21"/>
                    </w:rPr>
                  </w:pPr>
                </w:p>
              </w:tc>
            </w:tr>
            <w:tr w14:paraId="5A03DE6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69447D77">
                  <w:pPr>
                    <w:pStyle w:val="8"/>
                    <w:adjustRightInd w:val="0"/>
                    <w:snapToGrid w:val="0"/>
                    <w:jc w:val="center"/>
                    <w:rPr>
                      <w:szCs w:val="21"/>
                    </w:rPr>
                  </w:pPr>
                  <w:r>
                    <w:rPr>
                      <w:szCs w:val="21"/>
                    </w:rPr>
                    <w:t>7</w:t>
                  </w:r>
                </w:p>
              </w:tc>
              <w:tc>
                <w:tcPr>
                  <w:tcW w:w="1206" w:type="dxa"/>
                  <w:vAlign w:val="center"/>
                </w:tcPr>
                <w:p w14:paraId="7DE2E1DB">
                  <w:pPr>
                    <w:spacing w:line="320" w:lineRule="exact"/>
                    <w:jc w:val="center"/>
                    <w:rPr>
                      <w:szCs w:val="21"/>
                    </w:rPr>
                  </w:pPr>
                  <w:r>
                    <w:rPr>
                      <w:rFonts w:hint="eastAsia" w:hAnsi="宋体"/>
                      <w:szCs w:val="21"/>
                    </w:rPr>
                    <w:t>废超滤膜</w:t>
                  </w:r>
                </w:p>
              </w:tc>
              <w:tc>
                <w:tcPr>
                  <w:tcW w:w="552" w:type="dxa"/>
                  <w:vMerge w:val="continue"/>
                  <w:vAlign w:val="center"/>
                </w:tcPr>
                <w:p w14:paraId="4B30FC78">
                  <w:pPr>
                    <w:adjustRightInd w:val="0"/>
                    <w:snapToGrid w:val="0"/>
                    <w:jc w:val="center"/>
                    <w:textAlignment w:val="center"/>
                    <w:rPr>
                      <w:szCs w:val="21"/>
                    </w:rPr>
                  </w:pPr>
                </w:p>
              </w:tc>
              <w:tc>
                <w:tcPr>
                  <w:tcW w:w="1534" w:type="dxa"/>
                  <w:vAlign w:val="center"/>
                </w:tcPr>
                <w:p w14:paraId="47DF1AFB">
                  <w:pPr>
                    <w:spacing w:line="280" w:lineRule="exact"/>
                    <w:jc w:val="center"/>
                    <w:rPr>
                      <w:szCs w:val="21"/>
                    </w:rPr>
                  </w:pPr>
                  <w:r>
                    <w:rPr>
                      <w:rFonts w:hint="eastAsia"/>
                      <w:szCs w:val="21"/>
                    </w:rPr>
                    <w:t>电泳液过滤</w:t>
                  </w:r>
                </w:p>
              </w:tc>
              <w:tc>
                <w:tcPr>
                  <w:tcW w:w="689" w:type="dxa"/>
                  <w:vAlign w:val="center"/>
                </w:tcPr>
                <w:p w14:paraId="0198AA7E">
                  <w:pPr>
                    <w:autoSpaceDE w:val="0"/>
                    <w:autoSpaceDN w:val="0"/>
                    <w:snapToGrid w:val="0"/>
                    <w:jc w:val="center"/>
                    <w:rPr>
                      <w:szCs w:val="21"/>
                    </w:rPr>
                  </w:pPr>
                  <w:r>
                    <w:rPr>
                      <w:kern w:val="0"/>
                      <w:szCs w:val="21"/>
                    </w:rPr>
                    <w:t>HW12</w:t>
                  </w:r>
                </w:p>
              </w:tc>
              <w:tc>
                <w:tcPr>
                  <w:tcW w:w="1253" w:type="dxa"/>
                  <w:vAlign w:val="center"/>
                </w:tcPr>
                <w:p w14:paraId="42A97C8D">
                  <w:pPr>
                    <w:spacing w:line="280" w:lineRule="exact"/>
                    <w:jc w:val="center"/>
                    <w:rPr>
                      <w:szCs w:val="21"/>
                    </w:rPr>
                  </w:pPr>
                  <w:r>
                    <w:rPr>
                      <w:rFonts w:hint="eastAsia"/>
                      <w:szCs w:val="21"/>
                    </w:rPr>
                    <w:t>900-252-12</w:t>
                  </w:r>
                </w:p>
              </w:tc>
              <w:tc>
                <w:tcPr>
                  <w:tcW w:w="711" w:type="dxa"/>
                  <w:vAlign w:val="center"/>
                </w:tcPr>
                <w:p w14:paraId="7FF98613">
                  <w:pPr>
                    <w:spacing w:line="280" w:lineRule="exact"/>
                    <w:jc w:val="center"/>
                    <w:rPr>
                      <w:szCs w:val="21"/>
                    </w:rPr>
                  </w:pPr>
                  <w:r>
                    <w:rPr>
                      <w:rFonts w:hint="eastAsia"/>
                      <w:szCs w:val="21"/>
                    </w:rPr>
                    <w:t>0.1</w:t>
                  </w:r>
                </w:p>
              </w:tc>
              <w:tc>
                <w:tcPr>
                  <w:tcW w:w="720" w:type="dxa"/>
                  <w:vAlign w:val="center"/>
                </w:tcPr>
                <w:p w14:paraId="7DD0546F">
                  <w:pPr>
                    <w:pStyle w:val="8"/>
                    <w:adjustRightInd w:val="0"/>
                    <w:snapToGrid w:val="0"/>
                    <w:jc w:val="center"/>
                    <w:rPr>
                      <w:szCs w:val="21"/>
                    </w:rPr>
                  </w:pPr>
                  <w:r>
                    <w:rPr>
                      <w:rFonts w:hint="eastAsia"/>
                      <w:szCs w:val="21"/>
                    </w:rPr>
                    <w:t>0.1</w:t>
                  </w:r>
                </w:p>
              </w:tc>
              <w:tc>
                <w:tcPr>
                  <w:tcW w:w="647" w:type="dxa"/>
                  <w:vMerge w:val="continue"/>
                  <w:vAlign w:val="center"/>
                </w:tcPr>
                <w:p w14:paraId="016F38E8">
                  <w:pPr>
                    <w:pStyle w:val="8"/>
                    <w:adjustRightInd w:val="0"/>
                    <w:snapToGrid w:val="0"/>
                    <w:jc w:val="center"/>
                    <w:rPr>
                      <w:szCs w:val="21"/>
                    </w:rPr>
                  </w:pPr>
                </w:p>
              </w:tc>
              <w:tc>
                <w:tcPr>
                  <w:tcW w:w="546" w:type="dxa"/>
                  <w:vMerge w:val="continue"/>
                  <w:vAlign w:val="center"/>
                </w:tcPr>
                <w:p w14:paraId="217E5113">
                  <w:pPr>
                    <w:pStyle w:val="8"/>
                    <w:adjustRightInd w:val="0"/>
                    <w:snapToGrid w:val="0"/>
                    <w:jc w:val="center"/>
                    <w:rPr>
                      <w:szCs w:val="21"/>
                    </w:rPr>
                  </w:pPr>
                </w:p>
              </w:tc>
            </w:tr>
            <w:tr w14:paraId="01AEF75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495BE078">
                  <w:pPr>
                    <w:pStyle w:val="8"/>
                    <w:adjustRightInd w:val="0"/>
                    <w:snapToGrid w:val="0"/>
                    <w:jc w:val="center"/>
                    <w:rPr>
                      <w:szCs w:val="21"/>
                    </w:rPr>
                  </w:pPr>
                  <w:r>
                    <w:rPr>
                      <w:szCs w:val="21"/>
                    </w:rPr>
                    <w:t>8</w:t>
                  </w:r>
                </w:p>
              </w:tc>
              <w:tc>
                <w:tcPr>
                  <w:tcW w:w="1206" w:type="dxa"/>
                  <w:vAlign w:val="center"/>
                </w:tcPr>
                <w:p w14:paraId="4ED8A195">
                  <w:pPr>
                    <w:spacing w:line="280" w:lineRule="exact"/>
                    <w:jc w:val="center"/>
                    <w:rPr>
                      <w:szCs w:val="21"/>
                    </w:rPr>
                  </w:pPr>
                  <w:r>
                    <w:rPr>
                      <w:rFonts w:hint="eastAsia" w:hAnsi="宋体"/>
                      <w:szCs w:val="21"/>
                    </w:rPr>
                    <w:t>蒸发器残渣</w:t>
                  </w:r>
                </w:p>
              </w:tc>
              <w:tc>
                <w:tcPr>
                  <w:tcW w:w="552" w:type="dxa"/>
                  <w:vMerge w:val="continue"/>
                  <w:vAlign w:val="center"/>
                </w:tcPr>
                <w:p w14:paraId="6B454179">
                  <w:pPr>
                    <w:adjustRightInd w:val="0"/>
                    <w:snapToGrid w:val="0"/>
                    <w:jc w:val="center"/>
                    <w:textAlignment w:val="center"/>
                    <w:rPr>
                      <w:szCs w:val="21"/>
                    </w:rPr>
                  </w:pPr>
                </w:p>
              </w:tc>
              <w:tc>
                <w:tcPr>
                  <w:tcW w:w="1534" w:type="dxa"/>
                  <w:vAlign w:val="center"/>
                </w:tcPr>
                <w:p w14:paraId="35D92CF1">
                  <w:pPr>
                    <w:spacing w:line="280" w:lineRule="exact"/>
                    <w:jc w:val="center"/>
                    <w:rPr>
                      <w:szCs w:val="21"/>
                    </w:rPr>
                  </w:pPr>
                  <w:r>
                    <w:rPr>
                      <w:rFonts w:hint="eastAsia"/>
                      <w:szCs w:val="21"/>
                    </w:rPr>
                    <w:t>废水处理</w:t>
                  </w:r>
                </w:p>
              </w:tc>
              <w:tc>
                <w:tcPr>
                  <w:tcW w:w="689" w:type="dxa"/>
                  <w:vAlign w:val="center"/>
                </w:tcPr>
                <w:p w14:paraId="1858FCF4">
                  <w:pPr>
                    <w:spacing w:line="320" w:lineRule="exact"/>
                    <w:jc w:val="center"/>
                    <w:rPr>
                      <w:szCs w:val="21"/>
                    </w:rPr>
                  </w:pPr>
                  <w:r>
                    <w:rPr>
                      <w:szCs w:val="21"/>
                    </w:rPr>
                    <w:t>HW49</w:t>
                  </w:r>
                </w:p>
              </w:tc>
              <w:tc>
                <w:tcPr>
                  <w:tcW w:w="1253" w:type="dxa"/>
                  <w:vAlign w:val="center"/>
                </w:tcPr>
                <w:p w14:paraId="377978E8">
                  <w:pPr>
                    <w:spacing w:line="280" w:lineRule="exact"/>
                    <w:jc w:val="center"/>
                    <w:rPr>
                      <w:szCs w:val="21"/>
                    </w:rPr>
                  </w:pPr>
                  <w:r>
                    <w:rPr>
                      <w:szCs w:val="21"/>
                    </w:rPr>
                    <w:t>900-</w:t>
                  </w:r>
                  <w:r>
                    <w:rPr>
                      <w:rFonts w:hint="eastAsia"/>
                      <w:szCs w:val="21"/>
                    </w:rPr>
                    <w:t>046</w:t>
                  </w:r>
                  <w:r>
                    <w:rPr>
                      <w:szCs w:val="21"/>
                    </w:rPr>
                    <w:t>-49</w:t>
                  </w:r>
                </w:p>
              </w:tc>
              <w:tc>
                <w:tcPr>
                  <w:tcW w:w="711" w:type="dxa"/>
                  <w:vAlign w:val="center"/>
                </w:tcPr>
                <w:p w14:paraId="71E75128">
                  <w:pPr>
                    <w:spacing w:line="320" w:lineRule="exact"/>
                    <w:jc w:val="center"/>
                    <w:rPr>
                      <w:rFonts w:hint="eastAsia" w:eastAsia="宋体"/>
                      <w:szCs w:val="21"/>
                      <w:lang w:eastAsia="zh-CN"/>
                    </w:rPr>
                  </w:pPr>
                  <w:r>
                    <w:rPr>
                      <w:rFonts w:hint="eastAsia"/>
                      <w:szCs w:val="21"/>
                    </w:rPr>
                    <w:t>18.</w:t>
                  </w:r>
                  <w:r>
                    <w:rPr>
                      <w:rFonts w:hint="eastAsia"/>
                      <w:szCs w:val="21"/>
                      <w:lang w:val="en-US" w:eastAsia="zh-CN"/>
                    </w:rPr>
                    <w:t>4</w:t>
                  </w:r>
                </w:p>
              </w:tc>
              <w:tc>
                <w:tcPr>
                  <w:tcW w:w="720" w:type="dxa"/>
                  <w:vAlign w:val="center"/>
                </w:tcPr>
                <w:p w14:paraId="1278178A">
                  <w:pPr>
                    <w:pStyle w:val="8"/>
                    <w:adjustRightInd w:val="0"/>
                    <w:snapToGrid w:val="0"/>
                    <w:jc w:val="center"/>
                    <w:rPr>
                      <w:rFonts w:hint="eastAsia" w:eastAsia="宋体"/>
                      <w:szCs w:val="21"/>
                      <w:lang w:eastAsia="zh-CN"/>
                    </w:rPr>
                  </w:pPr>
                  <w:r>
                    <w:rPr>
                      <w:rFonts w:hint="eastAsia"/>
                      <w:szCs w:val="21"/>
                    </w:rPr>
                    <w:t>18.</w:t>
                  </w:r>
                  <w:r>
                    <w:rPr>
                      <w:rFonts w:hint="eastAsia"/>
                      <w:szCs w:val="21"/>
                      <w:lang w:val="en-US" w:eastAsia="zh-CN"/>
                    </w:rPr>
                    <w:t>4</w:t>
                  </w:r>
                </w:p>
              </w:tc>
              <w:tc>
                <w:tcPr>
                  <w:tcW w:w="647" w:type="dxa"/>
                  <w:vMerge w:val="continue"/>
                  <w:vAlign w:val="center"/>
                </w:tcPr>
                <w:p w14:paraId="4AF120C3">
                  <w:pPr>
                    <w:pStyle w:val="8"/>
                    <w:adjustRightInd w:val="0"/>
                    <w:snapToGrid w:val="0"/>
                    <w:jc w:val="center"/>
                    <w:rPr>
                      <w:szCs w:val="21"/>
                    </w:rPr>
                  </w:pPr>
                </w:p>
              </w:tc>
              <w:tc>
                <w:tcPr>
                  <w:tcW w:w="546" w:type="dxa"/>
                  <w:vMerge w:val="continue"/>
                  <w:vAlign w:val="center"/>
                </w:tcPr>
                <w:p w14:paraId="68D2D611">
                  <w:pPr>
                    <w:pStyle w:val="8"/>
                    <w:adjustRightInd w:val="0"/>
                    <w:snapToGrid w:val="0"/>
                    <w:jc w:val="center"/>
                    <w:rPr>
                      <w:szCs w:val="21"/>
                    </w:rPr>
                  </w:pPr>
                </w:p>
              </w:tc>
            </w:tr>
            <w:tr w14:paraId="1E18E74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1F0B0C09">
                  <w:pPr>
                    <w:pStyle w:val="8"/>
                    <w:adjustRightInd w:val="0"/>
                    <w:snapToGrid w:val="0"/>
                    <w:jc w:val="center"/>
                    <w:rPr>
                      <w:szCs w:val="21"/>
                    </w:rPr>
                  </w:pPr>
                  <w:r>
                    <w:rPr>
                      <w:rFonts w:hint="eastAsia"/>
                      <w:szCs w:val="21"/>
                    </w:rPr>
                    <w:t>9</w:t>
                  </w:r>
                </w:p>
              </w:tc>
              <w:tc>
                <w:tcPr>
                  <w:tcW w:w="1206" w:type="dxa"/>
                  <w:vAlign w:val="center"/>
                </w:tcPr>
                <w:p w14:paraId="1601AC92">
                  <w:pPr>
                    <w:spacing w:line="280" w:lineRule="exact"/>
                    <w:jc w:val="center"/>
                    <w:rPr>
                      <w:szCs w:val="21"/>
                    </w:rPr>
                  </w:pPr>
                  <w:r>
                    <w:rPr>
                      <w:rFonts w:hint="eastAsia" w:hAnsi="宋体"/>
                      <w:szCs w:val="21"/>
                    </w:rPr>
                    <w:t>污泥</w:t>
                  </w:r>
                </w:p>
              </w:tc>
              <w:tc>
                <w:tcPr>
                  <w:tcW w:w="552" w:type="dxa"/>
                  <w:vMerge w:val="continue"/>
                  <w:vAlign w:val="center"/>
                </w:tcPr>
                <w:p w14:paraId="7A921EA5">
                  <w:pPr>
                    <w:adjustRightInd w:val="0"/>
                    <w:snapToGrid w:val="0"/>
                    <w:jc w:val="center"/>
                    <w:textAlignment w:val="center"/>
                    <w:rPr>
                      <w:szCs w:val="21"/>
                    </w:rPr>
                  </w:pPr>
                </w:p>
              </w:tc>
              <w:tc>
                <w:tcPr>
                  <w:tcW w:w="1534" w:type="dxa"/>
                  <w:vAlign w:val="center"/>
                </w:tcPr>
                <w:p w14:paraId="5AD002D5">
                  <w:pPr>
                    <w:spacing w:line="280" w:lineRule="exact"/>
                    <w:jc w:val="center"/>
                    <w:rPr>
                      <w:szCs w:val="21"/>
                    </w:rPr>
                  </w:pPr>
                  <w:r>
                    <w:rPr>
                      <w:rFonts w:hAnsi="宋体"/>
                      <w:szCs w:val="21"/>
                    </w:rPr>
                    <w:t>污水处理</w:t>
                  </w:r>
                </w:p>
              </w:tc>
              <w:tc>
                <w:tcPr>
                  <w:tcW w:w="689" w:type="dxa"/>
                  <w:vAlign w:val="center"/>
                </w:tcPr>
                <w:p w14:paraId="6A743F5A">
                  <w:pPr>
                    <w:adjustRightInd w:val="0"/>
                    <w:snapToGrid w:val="0"/>
                    <w:jc w:val="center"/>
                    <w:rPr>
                      <w:szCs w:val="21"/>
                    </w:rPr>
                  </w:pPr>
                  <w:r>
                    <w:rPr>
                      <w:rFonts w:hint="eastAsia" w:hAnsi="宋体"/>
                    </w:rPr>
                    <w:t>HW17</w:t>
                  </w:r>
                </w:p>
              </w:tc>
              <w:tc>
                <w:tcPr>
                  <w:tcW w:w="1253" w:type="dxa"/>
                  <w:vAlign w:val="center"/>
                </w:tcPr>
                <w:p w14:paraId="2768CF25">
                  <w:pPr>
                    <w:spacing w:line="280" w:lineRule="exact"/>
                    <w:jc w:val="center"/>
                    <w:rPr>
                      <w:szCs w:val="21"/>
                    </w:rPr>
                  </w:pPr>
                  <w:r>
                    <w:rPr>
                      <w:rFonts w:hint="eastAsia"/>
                      <w:szCs w:val="21"/>
                    </w:rPr>
                    <w:t>336-064-17</w:t>
                  </w:r>
                </w:p>
              </w:tc>
              <w:tc>
                <w:tcPr>
                  <w:tcW w:w="711" w:type="dxa"/>
                  <w:vAlign w:val="center"/>
                </w:tcPr>
                <w:p w14:paraId="16483D18">
                  <w:pPr>
                    <w:spacing w:line="320" w:lineRule="exact"/>
                    <w:jc w:val="center"/>
                    <w:rPr>
                      <w:szCs w:val="21"/>
                    </w:rPr>
                  </w:pPr>
                  <w:r>
                    <w:rPr>
                      <w:rFonts w:hint="eastAsia"/>
                      <w:szCs w:val="21"/>
                    </w:rPr>
                    <w:t>27.3</w:t>
                  </w:r>
                </w:p>
              </w:tc>
              <w:tc>
                <w:tcPr>
                  <w:tcW w:w="720" w:type="dxa"/>
                  <w:vAlign w:val="center"/>
                </w:tcPr>
                <w:p w14:paraId="77D17B6E">
                  <w:pPr>
                    <w:pStyle w:val="8"/>
                    <w:adjustRightInd w:val="0"/>
                    <w:snapToGrid w:val="0"/>
                    <w:jc w:val="center"/>
                    <w:rPr>
                      <w:szCs w:val="21"/>
                    </w:rPr>
                  </w:pPr>
                  <w:r>
                    <w:rPr>
                      <w:rFonts w:hint="eastAsia"/>
                      <w:szCs w:val="21"/>
                    </w:rPr>
                    <w:t>27.3</w:t>
                  </w:r>
                </w:p>
              </w:tc>
              <w:tc>
                <w:tcPr>
                  <w:tcW w:w="647" w:type="dxa"/>
                  <w:vMerge w:val="continue"/>
                  <w:vAlign w:val="center"/>
                </w:tcPr>
                <w:p w14:paraId="72BB6B0F">
                  <w:pPr>
                    <w:pStyle w:val="8"/>
                    <w:adjustRightInd w:val="0"/>
                    <w:snapToGrid w:val="0"/>
                    <w:jc w:val="center"/>
                    <w:rPr>
                      <w:szCs w:val="21"/>
                    </w:rPr>
                  </w:pPr>
                </w:p>
              </w:tc>
              <w:tc>
                <w:tcPr>
                  <w:tcW w:w="546" w:type="dxa"/>
                  <w:vMerge w:val="continue"/>
                  <w:vAlign w:val="center"/>
                </w:tcPr>
                <w:p w14:paraId="18603693">
                  <w:pPr>
                    <w:pStyle w:val="8"/>
                    <w:adjustRightInd w:val="0"/>
                    <w:snapToGrid w:val="0"/>
                    <w:jc w:val="center"/>
                    <w:rPr>
                      <w:szCs w:val="21"/>
                    </w:rPr>
                  </w:pPr>
                </w:p>
              </w:tc>
            </w:tr>
            <w:tr w14:paraId="72321E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762AB04D">
                  <w:pPr>
                    <w:pStyle w:val="8"/>
                    <w:adjustRightInd w:val="0"/>
                    <w:snapToGrid w:val="0"/>
                    <w:jc w:val="center"/>
                    <w:rPr>
                      <w:szCs w:val="21"/>
                    </w:rPr>
                  </w:pPr>
                  <w:r>
                    <w:rPr>
                      <w:rFonts w:hint="eastAsia"/>
                      <w:szCs w:val="21"/>
                    </w:rPr>
                    <w:t>10</w:t>
                  </w:r>
                </w:p>
              </w:tc>
              <w:tc>
                <w:tcPr>
                  <w:tcW w:w="1206" w:type="dxa"/>
                  <w:vAlign w:val="center"/>
                </w:tcPr>
                <w:p w14:paraId="6619C4DC">
                  <w:pPr>
                    <w:spacing w:line="280" w:lineRule="exact"/>
                    <w:jc w:val="center"/>
                    <w:rPr>
                      <w:rFonts w:hAnsi="宋体"/>
                      <w:szCs w:val="21"/>
                    </w:rPr>
                  </w:pPr>
                  <w:r>
                    <w:rPr>
                      <w:rFonts w:hint="eastAsia" w:hAnsi="宋体"/>
                      <w:szCs w:val="21"/>
                    </w:rPr>
                    <w:t>废包装桶</w:t>
                  </w:r>
                </w:p>
              </w:tc>
              <w:tc>
                <w:tcPr>
                  <w:tcW w:w="552" w:type="dxa"/>
                  <w:vMerge w:val="continue"/>
                  <w:vAlign w:val="center"/>
                </w:tcPr>
                <w:p w14:paraId="4536FBF6">
                  <w:pPr>
                    <w:adjustRightInd w:val="0"/>
                    <w:snapToGrid w:val="0"/>
                    <w:jc w:val="center"/>
                    <w:textAlignment w:val="center"/>
                    <w:rPr>
                      <w:szCs w:val="21"/>
                    </w:rPr>
                  </w:pPr>
                </w:p>
              </w:tc>
              <w:tc>
                <w:tcPr>
                  <w:tcW w:w="1534" w:type="dxa"/>
                  <w:vAlign w:val="center"/>
                </w:tcPr>
                <w:p w14:paraId="1BA2045B">
                  <w:pPr>
                    <w:spacing w:line="280" w:lineRule="exact"/>
                    <w:jc w:val="center"/>
                    <w:rPr>
                      <w:rFonts w:hAnsi="宋体"/>
                      <w:szCs w:val="21"/>
                    </w:rPr>
                  </w:pPr>
                  <w:r>
                    <w:rPr>
                      <w:rFonts w:hint="eastAsia" w:hAnsi="宋体"/>
                      <w:szCs w:val="21"/>
                    </w:rPr>
                    <w:t>电泳漆等</w:t>
                  </w:r>
                </w:p>
              </w:tc>
              <w:tc>
                <w:tcPr>
                  <w:tcW w:w="689" w:type="dxa"/>
                  <w:vAlign w:val="center"/>
                </w:tcPr>
                <w:p w14:paraId="372167ED">
                  <w:pPr>
                    <w:spacing w:line="340" w:lineRule="exact"/>
                    <w:jc w:val="center"/>
                    <w:rPr>
                      <w:szCs w:val="21"/>
                    </w:rPr>
                  </w:pPr>
                  <w:r>
                    <w:rPr>
                      <w:szCs w:val="21"/>
                    </w:rPr>
                    <w:t>HW</w:t>
                  </w:r>
                  <w:r>
                    <w:rPr>
                      <w:rFonts w:hint="eastAsia"/>
                      <w:szCs w:val="21"/>
                    </w:rPr>
                    <w:t>49</w:t>
                  </w:r>
                </w:p>
              </w:tc>
              <w:tc>
                <w:tcPr>
                  <w:tcW w:w="1253" w:type="dxa"/>
                  <w:vAlign w:val="center"/>
                </w:tcPr>
                <w:p w14:paraId="22268923">
                  <w:pPr>
                    <w:spacing w:line="280" w:lineRule="exact"/>
                    <w:jc w:val="center"/>
                    <w:rPr>
                      <w:szCs w:val="21"/>
                    </w:rPr>
                  </w:pPr>
                  <w:r>
                    <w:rPr>
                      <w:rFonts w:hint="eastAsia"/>
                      <w:szCs w:val="21"/>
                    </w:rPr>
                    <w:t>900-041-49</w:t>
                  </w:r>
                </w:p>
              </w:tc>
              <w:tc>
                <w:tcPr>
                  <w:tcW w:w="711" w:type="dxa"/>
                  <w:vAlign w:val="center"/>
                </w:tcPr>
                <w:p w14:paraId="26004B01">
                  <w:pPr>
                    <w:spacing w:line="320" w:lineRule="exact"/>
                    <w:jc w:val="center"/>
                    <w:rPr>
                      <w:szCs w:val="21"/>
                    </w:rPr>
                  </w:pPr>
                  <w:r>
                    <w:rPr>
                      <w:rFonts w:hint="eastAsia"/>
                      <w:szCs w:val="21"/>
                    </w:rPr>
                    <w:t>0.88</w:t>
                  </w:r>
                </w:p>
              </w:tc>
              <w:tc>
                <w:tcPr>
                  <w:tcW w:w="720" w:type="dxa"/>
                  <w:vAlign w:val="center"/>
                </w:tcPr>
                <w:p w14:paraId="0D9FBAE1">
                  <w:pPr>
                    <w:pStyle w:val="8"/>
                    <w:adjustRightInd w:val="0"/>
                    <w:snapToGrid w:val="0"/>
                    <w:jc w:val="center"/>
                    <w:rPr>
                      <w:szCs w:val="21"/>
                    </w:rPr>
                  </w:pPr>
                  <w:r>
                    <w:rPr>
                      <w:rFonts w:hint="eastAsia"/>
                      <w:szCs w:val="21"/>
                    </w:rPr>
                    <w:t>0.88</w:t>
                  </w:r>
                </w:p>
              </w:tc>
              <w:tc>
                <w:tcPr>
                  <w:tcW w:w="647" w:type="dxa"/>
                  <w:vMerge w:val="continue"/>
                  <w:vAlign w:val="center"/>
                </w:tcPr>
                <w:p w14:paraId="37FA8B48">
                  <w:pPr>
                    <w:pStyle w:val="8"/>
                    <w:adjustRightInd w:val="0"/>
                    <w:snapToGrid w:val="0"/>
                    <w:jc w:val="center"/>
                    <w:rPr>
                      <w:szCs w:val="21"/>
                    </w:rPr>
                  </w:pPr>
                </w:p>
              </w:tc>
              <w:tc>
                <w:tcPr>
                  <w:tcW w:w="546" w:type="dxa"/>
                  <w:vMerge w:val="continue"/>
                  <w:vAlign w:val="center"/>
                </w:tcPr>
                <w:p w14:paraId="31CFB47D">
                  <w:pPr>
                    <w:pStyle w:val="8"/>
                    <w:adjustRightInd w:val="0"/>
                    <w:snapToGrid w:val="0"/>
                    <w:jc w:val="center"/>
                    <w:rPr>
                      <w:szCs w:val="21"/>
                    </w:rPr>
                  </w:pPr>
                </w:p>
              </w:tc>
            </w:tr>
            <w:tr w14:paraId="6610687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14493EE9">
                  <w:pPr>
                    <w:pStyle w:val="8"/>
                    <w:adjustRightInd w:val="0"/>
                    <w:snapToGrid w:val="0"/>
                    <w:jc w:val="center"/>
                    <w:rPr>
                      <w:szCs w:val="21"/>
                    </w:rPr>
                  </w:pPr>
                  <w:r>
                    <w:rPr>
                      <w:rFonts w:hint="eastAsia"/>
                      <w:szCs w:val="21"/>
                    </w:rPr>
                    <w:t>11</w:t>
                  </w:r>
                </w:p>
              </w:tc>
              <w:tc>
                <w:tcPr>
                  <w:tcW w:w="1206" w:type="dxa"/>
                  <w:vAlign w:val="center"/>
                </w:tcPr>
                <w:p w14:paraId="5563DCC9">
                  <w:pPr>
                    <w:spacing w:line="280" w:lineRule="exact"/>
                    <w:jc w:val="center"/>
                    <w:rPr>
                      <w:rFonts w:hAnsi="宋体"/>
                      <w:szCs w:val="21"/>
                    </w:rPr>
                  </w:pPr>
                  <w:r>
                    <w:rPr>
                      <w:rFonts w:hAnsi="宋体"/>
                      <w:szCs w:val="21"/>
                    </w:rPr>
                    <w:t>废活性炭</w:t>
                  </w:r>
                </w:p>
              </w:tc>
              <w:tc>
                <w:tcPr>
                  <w:tcW w:w="552" w:type="dxa"/>
                  <w:vMerge w:val="continue"/>
                  <w:vAlign w:val="center"/>
                </w:tcPr>
                <w:p w14:paraId="35A0AE69">
                  <w:pPr>
                    <w:adjustRightInd w:val="0"/>
                    <w:snapToGrid w:val="0"/>
                    <w:jc w:val="center"/>
                    <w:textAlignment w:val="center"/>
                    <w:rPr>
                      <w:szCs w:val="21"/>
                    </w:rPr>
                  </w:pPr>
                </w:p>
              </w:tc>
              <w:tc>
                <w:tcPr>
                  <w:tcW w:w="1534" w:type="dxa"/>
                  <w:vAlign w:val="center"/>
                </w:tcPr>
                <w:p w14:paraId="6E4507A2">
                  <w:pPr>
                    <w:spacing w:line="280" w:lineRule="exact"/>
                    <w:jc w:val="center"/>
                    <w:rPr>
                      <w:szCs w:val="21"/>
                    </w:rPr>
                  </w:pPr>
                  <w:r>
                    <w:rPr>
                      <w:rFonts w:hint="eastAsia"/>
                      <w:szCs w:val="21"/>
                    </w:rPr>
                    <w:t>废气治理</w:t>
                  </w:r>
                </w:p>
              </w:tc>
              <w:tc>
                <w:tcPr>
                  <w:tcW w:w="689" w:type="dxa"/>
                  <w:vAlign w:val="center"/>
                </w:tcPr>
                <w:p w14:paraId="34E60EAF">
                  <w:pPr>
                    <w:spacing w:line="340" w:lineRule="exact"/>
                    <w:jc w:val="center"/>
                    <w:rPr>
                      <w:szCs w:val="21"/>
                    </w:rPr>
                  </w:pPr>
                  <w:r>
                    <w:rPr>
                      <w:szCs w:val="21"/>
                    </w:rPr>
                    <w:t>HW</w:t>
                  </w:r>
                  <w:r>
                    <w:rPr>
                      <w:rFonts w:hint="eastAsia"/>
                      <w:szCs w:val="21"/>
                    </w:rPr>
                    <w:t>49</w:t>
                  </w:r>
                </w:p>
              </w:tc>
              <w:tc>
                <w:tcPr>
                  <w:tcW w:w="1253" w:type="dxa"/>
                  <w:vAlign w:val="center"/>
                </w:tcPr>
                <w:p w14:paraId="558C7754">
                  <w:pPr>
                    <w:pStyle w:val="8"/>
                    <w:adjustRightInd w:val="0"/>
                    <w:snapToGrid w:val="0"/>
                    <w:jc w:val="center"/>
                    <w:rPr>
                      <w:szCs w:val="21"/>
                    </w:rPr>
                  </w:pPr>
                  <w:r>
                    <w:rPr>
                      <w:rFonts w:hint="eastAsia"/>
                      <w:szCs w:val="21"/>
                    </w:rPr>
                    <w:t>900-039-49</w:t>
                  </w:r>
                </w:p>
              </w:tc>
              <w:tc>
                <w:tcPr>
                  <w:tcW w:w="711" w:type="dxa"/>
                  <w:vAlign w:val="center"/>
                </w:tcPr>
                <w:p w14:paraId="3C454E27">
                  <w:pPr>
                    <w:spacing w:line="280" w:lineRule="exact"/>
                    <w:jc w:val="center"/>
                    <w:rPr>
                      <w:szCs w:val="21"/>
                    </w:rPr>
                  </w:pPr>
                  <w:r>
                    <w:rPr>
                      <w:rFonts w:hint="eastAsia"/>
                      <w:szCs w:val="21"/>
                    </w:rPr>
                    <w:t>45.6</w:t>
                  </w:r>
                </w:p>
              </w:tc>
              <w:tc>
                <w:tcPr>
                  <w:tcW w:w="720" w:type="dxa"/>
                  <w:vAlign w:val="center"/>
                </w:tcPr>
                <w:p w14:paraId="4EECF47E">
                  <w:pPr>
                    <w:pStyle w:val="8"/>
                    <w:adjustRightInd w:val="0"/>
                    <w:snapToGrid w:val="0"/>
                    <w:jc w:val="center"/>
                    <w:rPr>
                      <w:szCs w:val="21"/>
                    </w:rPr>
                  </w:pPr>
                  <w:r>
                    <w:rPr>
                      <w:rFonts w:hint="eastAsia"/>
                      <w:szCs w:val="21"/>
                    </w:rPr>
                    <w:t>45.6</w:t>
                  </w:r>
                </w:p>
              </w:tc>
              <w:tc>
                <w:tcPr>
                  <w:tcW w:w="647" w:type="dxa"/>
                  <w:vMerge w:val="continue"/>
                  <w:vAlign w:val="center"/>
                </w:tcPr>
                <w:p w14:paraId="4CB310FB">
                  <w:pPr>
                    <w:pStyle w:val="8"/>
                    <w:adjustRightInd w:val="0"/>
                    <w:snapToGrid w:val="0"/>
                    <w:jc w:val="center"/>
                    <w:rPr>
                      <w:szCs w:val="21"/>
                    </w:rPr>
                  </w:pPr>
                </w:p>
              </w:tc>
              <w:tc>
                <w:tcPr>
                  <w:tcW w:w="546" w:type="dxa"/>
                  <w:vMerge w:val="continue"/>
                  <w:vAlign w:val="center"/>
                </w:tcPr>
                <w:p w14:paraId="2BA6F33A">
                  <w:pPr>
                    <w:pStyle w:val="8"/>
                    <w:adjustRightInd w:val="0"/>
                    <w:snapToGrid w:val="0"/>
                    <w:jc w:val="center"/>
                    <w:rPr>
                      <w:szCs w:val="21"/>
                    </w:rPr>
                  </w:pPr>
                </w:p>
              </w:tc>
            </w:tr>
            <w:tr w14:paraId="344F38D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2EF1C381">
                  <w:pPr>
                    <w:pStyle w:val="8"/>
                    <w:adjustRightInd w:val="0"/>
                    <w:snapToGrid w:val="0"/>
                    <w:jc w:val="center"/>
                    <w:rPr>
                      <w:szCs w:val="21"/>
                    </w:rPr>
                  </w:pPr>
                  <w:r>
                    <w:rPr>
                      <w:rFonts w:hint="eastAsia"/>
                      <w:szCs w:val="21"/>
                    </w:rPr>
                    <w:t>12</w:t>
                  </w:r>
                </w:p>
              </w:tc>
              <w:tc>
                <w:tcPr>
                  <w:tcW w:w="1206" w:type="dxa"/>
                  <w:vAlign w:val="center"/>
                </w:tcPr>
                <w:p w14:paraId="6CAB75CE">
                  <w:pPr>
                    <w:pStyle w:val="8"/>
                    <w:adjustRightInd w:val="0"/>
                    <w:snapToGrid w:val="0"/>
                    <w:jc w:val="center"/>
                    <w:rPr>
                      <w:szCs w:val="21"/>
                    </w:rPr>
                  </w:pPr>
                  <w:r>
                    <w:rPr>
                      <w:szCs w:val="21"/>
                    </w:rPr>
                    <w:t>废抹布手套</w:t>
                  </w:r>
                </w:p>
              </w:tc>
              <w:tc>
                <w:tcPr>
                  <w:tcW w:w="552" w:type="dxa"/>
                  <w:vMerge w:val="continue"/>
                  <w:vAlign w:val="center"/>
                </w:tcPr>
                <w:p w14:paraId="3FC5A048">
                  <w:pPr>
                    <w:adjustRightInd w:val="0"/>
                    <w:snapToGrid w:val="0"/>
                    <w:jc w:val="center"/>
                    <w:textAlignment w:val="center"/>
                    <w:rPr>
                      <w:szCs w:val="21"/>
                    </w:rPr>
                  </w:pPr>
                </w:p>
              </w:tc>
              <w:tc>
                <w:tcPr>
                  <w:tcW w:w="1534" w:type="dxa"/>
                  <w:vAlign w:val="center"/>
                </w:tcPr>
                <w:p w14:paraId="58A92C60">
                  <w:pPr>
                    <w:adjustRightInd w:val="0"/>
                    <w:snapToGrid w:val="0"/>
                    <w:jc w:val="center"/>
                    <w:textAlignment w:val="center"/>
                    <w:rPr>
                      <w:szCs w:val="21"/>
                    </w:rPr>
                  </w:pPr>
                  <w:r>
                    <w:rPr>
                      <w:szCs w:val="21"/>
                    </w:rPr>
                    <w:t>擦拭</w:t>
                  </w:r>
                </w:p>
              </w:tc>
              <w:tc>
                <w:tcPr>
                  <w:tcW w:w="689" w:type="dxa"/>
                  <w:vAlign w:val="center"/>
                </w:tcPr>
                <w:p w14:paraId="01819EE6">
                  <w:pPr>
                    <w:pStyle w:val="8"/>
                    <w:adjustRightInd w:val="0"/>
                    <w:snapToGrid w:val="0"/>
                    <w:jc w:val="center"/>
                    <w:rPr>
                      <w:szCs w:val="21"/>
                    </w:rPr>
                  </w:pPr>
                  <w:r>
                    <w:rPr>
                      <w:szCs w:val="21"/>
                    </w:rPr>
                    <w:t>HW49</w:t>
                  </w:r>
                </w:p>
              </w:tc>
              <w:tc>
                <w:tcPr>
                  <w:tcW w:w="1253" w:type="dxa"/>
                  <w:vAlign w:val="center"/>
                </w:tcPr>
                <w:p w14:paraId="6428AA0C">
                  <w:pPr>
                    <w:pStyle w:val="8"/>
                    <w:adjustRightInd w:val="0"/>
                    <w:snapToGrid w:val="0"/>
                    <w:jc w:val="center"/>
                    <w:rPr>
                      <w:szCs w:val="21"/>
                    </w:rPr>
                  </w:pPr>
                  <w:r>
                    <w:rPr>
                      <w:szCs w:val="21"/>
                    </w:rPr>
                    <w:t>900-041-49</w:t>
                  </w:r>
                </w:p>
              </w:tc>
              <w:tc>
                <w:tcPr>
                  <w:tcW w:w="711" w:type="dxa"/>
                  <w:vAlign w:val="center"/>
                </w:tcPr>
                <w:p w14:paraId="06505B68">
                  <w:pPr>
                    <w:pStyle w:val="8"/>
                    <w:adjustRightInd w:val="0"/>
                    <w:snapToGrid w:val="0"/>
                    <w:jc w:val="center"/>
                    <w:rPr>
                      <w:szCs w:val="21"/>
                    </w:rPr>
                  </w:pPr>
                  <w:r>
                    <w:rPr>
                      <w:rFonts w:hint="eastAsia"/>
                      <w:szCs w:val="21"/>
                    </w:rPr>
                    <w:t>0.1</w:t>
                  </w:r>
                </w:p>
              </w:tc>
              <w:tc>
                <w:tcPr>
                  <w:tcW w:w="720" w:type="dxa"/>
                  <w:vAlign w:val="center"/>
                </w:tcPr>
                <w:p w14:paraId="0CF08275">
                  <w:pPr>
                    <w:pStyle w:val="8"/>
                    <w:adjustRightInd w:val="0"/>
                    <w:snapToGrid w:val="0"/>
                    <w:jc w:val="center"/>
                    <w:rPr>
                      <w:szCs w:val="21"/>
                    </w:rPr>
                  </w:pPr>
                  <w:r>
                    <w:rPr>
                      <w:rFonts w:hint="eastAsia"/>
                      <w:szCs w:val="21"/>
                    </w:rPr>
                    <w:t>0.1</w:t>
                  </w:r>
                </w:p>
              </w:tc>
              <w:tc>
                <w:tcPr>
                  <w:tcW w:w="647" w:type="dxa"/>
                  <w:vMerge w:val="restart"/>
                  <w:vAlign w:val="center"/>
                </w:tcPr>
                <w:p w14:paraId="5F24F3C4">
                  <w:pPr>
                    <w:pStyle w:val="8"/>
                    <w:adjustRightInd w:val="0"/>
                    <w:snapToGrid w:val="0"/>
                    <w:jc w:val="center"/>
                    <w:rPr>
                      <w:szCs w:val="21"/>
                    </w:rPr>
                  </w:pPr>
                  <w:r>
                    <w:rPr>
                      <w:szCs w:val="21"/>
                    </w:rPr>
                    <w:t>环卫清运</w:t>
                  </w:r>
                </w:p>
              </w:tc>
              <w:tc>
                <w:tcPr>
                  <w:tcW w:w="546" w:type="dxa"/>
                  <w:vAlign w:val="center"/>
                </w:tcPr>
                <w:p w14:paraId="0558137C">
                  <w:pPr>
                    <w:pStyle w:val="8"/>
                    <w:adjustRightInd w:val="0"/>
                    <w:snapToGrid w:val="0"/>
                    <w:jc w:val="center"/>
                    <w:rPr>
                      <w:szCs w:val="21"/>
                    </w:rPr>
                  </w:pPr>
                  <w:r>
                    <w:rPr>
                      <w:rFonts w:hint="eastAsia"/>
                      <w:szCs w:val="21"/>
                    </w:rPr>
                    <w:t>/</w:t>
                  </w:r>
                </w:p>
              </w:tc>
            </w:tr>
            <w:tr w14:paraId="41D2566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560" w:type="dxa"/>
                  <w:vAlign w:val="center"/>
                </w:tcPr>
                <w:p w14:paraId="1F55837D">
                  <w:pPr>
                    <w:pStyle w:val="8"/>
                    <w:adjustRightInd w:val="0"/>
                    <w:snapToGrid w:val="0"/>
                    <w:jc w:val="center"/>
                    <w:rPr>
                      <w:szCs w:val="21"/>
                    </w:rPr>
                  </w:pPr>
                  <w:r>
                    <w:rPr>
                      <w:rFonts w:hint="eastAsia"/>
                      <w:szCs w:val="21"/>
                    </w:rPr>
                    <w:t>13</w:t>
                  </w:r>
                </w:p>
              </w:tc>
              <w:tc>
                <w:tcPr>
                  <w:tcW w:w="1206" w:type="dxa"/>
                  <w:vAlign w:val="center"/>
                </w:tcPr>
                <w:p w14:paraId="67216003">
                  <w:pPr>
                    <w:pStyle w:val="8"/>
                    <w:adjustRightInd w:val="0"/>
                    <w:snapToGrid w:val="0"/>
                    <w:jc w:val="center"/>
                    <w:rPr>
                      <w:szCs w:val="21"/>
                    </w:rPr>
                  </w:pPr>
                  <w:r>
                    <w:rPr>
                      <w:szCs w:val="21"/>
                    </w:rPr>
                    <w:t>生活垃圾</w:t>
                  </w:r>
                </w:p>
              </w:tc>
              <w:tc>
                <w:tcPr>
                  <w:tcW w:w="552" w:type="dxa"/>
                  <w:vAlign w:val="center"/>
                </w:tcPr>
                <w:p w14:paraId="7B3643AD">
                  <w:pPr>
                    <w:adjustRightInd w:val="0"/>
                    <w:snapToGrid w:val="0"/>
                    <w:jc w:val="center"/>
                    <w:textAlignment w:val="center"/>
                    <w:rPr>
                      <w:szCs w:val="21"/>
                    </w:rPr>
                  </w:pPr>
                  <w:r>
                    <w:rPr>
                      <w:szCs w:val="21"/>
                    </w:rPr>
                    <w:t>/</w:t>
                  </w:r>
                </w:p>
              </w:tc>
              <w:tc>
                <w:tcPr>
                  <w:tcW w:w="1534" w:type="dxa"/>
                  <w:vAlign w:val="center"/>
                </w:tcPr>
                <w:p w14:paraId="09A70BCA">
                  <w:pPr>
                    <w:adjustRightInd w:val="0"/>
                    <w:snapToGrid w:val="0"/>
                    <w:jc w:val="center"/>
                    <w:textAlignment w:val="center"/>
                    <w:rPr>
                      <w:szCs w:val="21"/>
                    </w:rPr>
                  </w:pPr>
                  <w:r>
                    <w:rPr>
                      <w:szCs w:val="21"/>
                    </w:rPr>
                    <w:t>员工生活</w:t>
                  </w:r>
                </w:p>
              </w:tc>
              <w:tc>
                <w:tcPr>
                  <w:tcW w:w="689" w:type="dxa"/>
                  <w:vAlign w:val="center"/>
                </w:tcPr>
                <w:p w14:paraId="5506908C">
                  <w:pPr>
                    <w:pStyle w:val="62"/>
                    <w:adjustRightInd w:val="0"/>
                    <w:snapToGrid w:val="0"/>
                    <w:rPr>
                      <w:rFonts w:eastAsia="宋体"/>
                    </w:rPr>
                  </w:pPr>
                  <w:r>
                    <w:rPr>
                      <w:rFonts w:eastAsia="宋体"/>
                      <w:b w:val="0"/>
                      <w:bCs/>
                    </w:rPr>
                    <w:t>SW64</w:t>
                  </w:r>
                </w:p>
              </w:tc>
              <w:tc>
                <w:tcPr>
                  <w:tcW w:w="1253" w:type="dxa"/>
                  <w:vAlign w:val="center"/>
                </w:tcPr>
                <w:p w14:paraId="6100C677">
                  <w:pPr>
                    <w:pStyle w:val="62"/>
                    <w:adjustRightInd w:val="0"/>
                    <w:snapToGrid w:val="0"/>
                    <w:rPr>
                      <w:rFonts w:eastAsia="宋体"/>
                    </w:rPr>
                  </w:pPr>
                  <w:r>
                    <w:rPr>
                      <w:rFonts w:eastAsia="宋体"/>
                      <w:b w:val="0"/>
                      <w:bCs/>
                    </w:rPr>
                    <w:t>900-099-S64</w:t>
                  </w:r>
                </w:p>
              </w:tc>
              <w:tc>
                <w:tcPr>
                  <w:tcW w:w="711" w:type="dxa"/>
                  <w:vAlign w:val="center"/>
                </w:tcPr>
                <w:p w14:paraId="72362BE5">
                  <w:pPr>
                    <w:pStyle w:val="8"/>
                    <w:adjustRightInd w:val="0"/>
                    <w:snapToGrid w:val="0"/>
                    <w:jc w:val="center"/>
                    <w:rPr>
                      <w:szCs w:val="21"/>
                    </w:rPr>
                  </w:pPr>
                  <w:r>
                    <w:rPr>
                      <w:szCs w:val="21"/>
                    </w:rPr>
                    <w:t>29</w:t>
                  </w:r>
                </w:p>
              </w:tc>
              <w:tc>
                <w:tcPr>
                  <w:tcW w:w="720" w:type="dxa"/>
                  <w:vAlign w:val="center"/>
                </w:tcPr>
                <w:p w14:paraId="7432A425">
                  <w:pPr>
                    <w:pStyle w:val="8"/>
                    <w:adjustRightInd w:val="0"/>
                    <w:snapToGrid w:val="0"/>
                    <w:jc w:val="center"/>
                    <w:rPr>
                      <w:szCs w:val="21"/>
                    </w:rPr>
                  </w:pPr>
                  <w:r>
                    <w:rPr>
                      <w:szCs w:val="21"/>
                    </w:rPr>
                    <w:t>29</w:t>
                  </w:r>
                </w:p>
              </w:tc>
              <w:tc>
                <w:tcPr>
                  <w:tcW w:w="647" w:type="dxa"/>
                  <w:vMerge w:val="continue"/>
                  <w:vAlign w:val="center"/>
                </w:tcPr>
                <w:p w14:paraId="1711874D">
                  <w:pPr>
                    <w:pStyle w:val="8"/>
                    <w:adjustRightInd w:val="0"/>
                    <w:snapToGrid w:val="0"/>
                    <w:jc w:val="center"/>
                    <w:rPr>
                      <w:szCs w:val="21"/>
                    </w:rPr>
                  </w:pPr>
                </w:p>
              </w:tc>
              <w:tc>
                <w:tcPr>
                  <w:tcW w:w="546" w:type="dxa"/>
                  <w:vAlign w:val="center"/>
                </w:tcPr>
                <w:p w14:paraId="11CDD6B4">
                  <w:pPr>
                    <w:pStyle w:val="8"/>
                    <w:adjustRightInd w:val="0"/>
                    <w:snapToGrid w:val="0"/>
                    <w:jc w:val="center"/>
                    <w:rPr>
                      <w:szCs w:val="21"/>
                    </w:rPr>
                  </w:pPr>
                  <w:r>
                    <w:rPr>
                      <w:szCs w:val="21"/>
                    </w:rPr>
                    <w:t>/</w:t>
                  </w:r>
                </w:p>
              </w:tc>
            </w:tr>
          </w:tbl>
          <w:p w14:paraId="225E6EFB">
            <w:pPr>
              <w:pStyle w:val="5"/>
              <w:adjustRightInd w:val="0"/>
              <w:snapToGrid w:val="0"/>
              <w:spacing w:beforeLines="50" w:line="360" w:lineRule="auto"/>
              <w:ind w:firstLine="422"/>
              <w:rPr>
                <w:b/>
                <w:bCs/>
                <w:szCs w:val="21"/>
              </w:rPr>
            </w:pPr>
            <w:r>
              <w:rPr>
                <w:b/>
                <w:bCs/>
                <w:szCs w:val="21"/>
              </w:rPr>
              <w:t>（4）污染物实际排放量</w:t>
            </w:r>
          </w:p>
          <w:p w14:paraId="626E9F3A">
            <w:pPr>
              <w:pStyle w:val="5"/>
              <w:adjustRightInd w:val="0"/>
              <w:snapToGrid w:val="0"/>
              <w:spacing w:line="360" w:lineRule="auto"/>
              <w:ind w:firstLine="420"/>
              <w:rPr>
                <w:szCs w:val="21"/>
              </w:rPr>
            </w:pPr>
            <w:r>
              <w:rPr>
                <w:szCs w:val="21"/>
              </w:rPr>
              <w:t>综上计算得现有项目污染物实际排放情况见表2-11。</w:t>
            </w:r>
          </w:p>
          <w:p w14:paraId="1B6FD68F">
            <w:pPr>
              <w:pStyle w:val="5"/>
              <w:adjustRightInd w:val="0"/>
              <w:snapToGrid w:val="0"/>
              <w:ind w:firstLine="0" w:firstLineChars="0"/>
              <w:jc w:val="center"/>
              <w:rPr>
                <w:b/>
                <w:bCs/>
                <w:szCs w:val="21"/>
              </w:rPr>
            </w:pPr>
            <w:r>
              <w:rPr>
                <w:b/>
                <w:bCs/>
                <w:szCs w:val="21"/>
              </w:rPr>
              <w:t>表2-11  现有项目污染物实际排放情况表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957"/>
              <w:gridCol w:w="1151"/>
              <w:gridCol w:w="2163"/>
              <w:gridCol w:w="2162"/>
              <w:gridCol w:w="1956"/>
            </w:tblGrid>
            <w:tr w14:paraId="71CC519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Align w:val="center"/>
                </w:tcPr>
                <w:p w14:paraId="3F44A753">
                  <w:pPr>
                    <w:pStyle w:val="8"/>
                    <w:jc w:val="center"/>
                    <w:rPr>
                      <w:szCs w:val="21"/>
                    </w:rPr>
                  </w:pPr>
                  <w:r>
                    <w:rPr>
                      <w:b/>
                      <w:bCs/>
                      <w:szCs w:val="21"/>
                    </w:rPr>
                    <w:t>污染类型</w:t>
                  </w:r>
                </w:p>
              </w:tc>
              <w:tc>
                <w:tcPr>
                  <w:tcW w:w="3327" w:type="dxa"/>
                  <w:gridSpan w:val="2"/>
                  <w:vAlign w:val="center"/>
                </w:tcPr>
                <w:p w14:paraId="648DCA44">
                  <w:pPr>
                    <w:pStyle w:val="8"/>
                    <w:jc w:val="center"/>
                    <w:rPr>
                      <w:szCs w:val="21"/>
                    </w:rPr>
                  </w:pPr>
                  <w:r>
                    <w:rPr>
                      <w:b/>
                      <w:bCs/>
                      <w:szCs w:val="21"/>
                    </w:rPr>
                    <w:t>污染物名称</w:t>
                  </w:r>
                </w:p>
              </w:tc>
              <w:tc>
                <w:tcPr>
                  <w:tcW w:w="2168" w:type="dxa"/>
                  <w:vAlign w:val="center"/>
                </w:tcPr>
                <w:p w14:paraId="43A33725">
                  <w:pPr>
                    <w:pStyle w:val="8"/>
                    <w:jc w:val="center"/>
                    <w:rPr>
                      <w:szCs w:val="21"/>
                    </w:rPr>
                  </w:pPr>
                  <w:r>
                    <w:rPr>
                      <w:b/>
                      <w:bCs/>
                      <w:szCs w:val="21"/>
                    </w:rPr>
                    <w:t>核算排放量（t/a）</w:t>
                  </w:r>
                </w:p>
              </w:tc>
              <w:tc>
                <w:tcPr>
                  <w:tcW w:w="1962" w:type="dxa"/>
                  <w:vAlign w:val="center"/>
                </w:tcPr>
                <w:p w14:paraId="19480E75">
                  <w:pPr>
                    <w:pStyle w:val="8"/>
                    <w:jc w:val="center"/>
                    <w:rPr>
                      <w:b/>
                      <w:bCs/>
                      <w:szCs w:val="21"/>
                    </w:rPr>
                  </w:pPr>
                  <w:r>
                    <w:rPr>
                      <w:b/>
                      <w:bCs/>
                      <w:szCs w:val="21"/>
                    </w:rPr>
                    <w:t>环评批复量（t/a）</w:t>
                  </w:r>
                </w:p>
              </w:tc>
            </w:tr>
            <w:tr w14:paraId="0179BE8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restart"/>
                  <w:vAlign w:val="center"/>
                </w:tcPr>
                <w:p w14:paraId="11CBE0B0">
                  <w:pPr>
                    <w:pStyle w:val="8"/>
                    <w:jc w:val="center"/>
                    <w:rPr>
                      <w:szCs w:val="21"/>
                    </w:rPr>
                  </w:pPr>
                  <w:r>
                    <w:rPr>
                      <w:szCs w:val="21"/>
                    </w:rPr>
                    <w:t>废气</w:t>
                  </w:r>
                </w:p>
              </w:tc>
              <w:tc>
                <w:tcPr>
                  <w:tcW w:w="1155" w:type="dxa"/>
                  <w:vMerge w:val="restart"/>
                  <w:vAlign w:val="center"/>
                </w:tcPr>
                <w:p w14:paraId="3F4B643C">
                  <w:pPr>
                    <w:pStyle w:val="8"/>
                    <w:jc w:val="center"/>
                    <w:rPr>
                      <w:szCs w:val="21"/>
                    </w:rPr>
                  </w:pPr>
                  <w:r>
                    <w:rPr>
                      <w:szCs w:val="21"/>
                    </w:rPr>
                    <w:t>有组织</w:t>
                  </w:r>
                </w:p>
              </w:tc>
              <w:tc>
                <w:tcPr>
                  <w:tcW w:w="2172" w:type="dxa"/>
                  <w:vAlign w:val="center"/>
                </w:tcPr>
                <w:p w14:paraId="4B8001AD">
                  <w:pPr>
                    <w:pStyle w:val="8"/>
                    <w:jc w:val="center"/>
                    <w:rPr>
                      <w:szCs w:val="21"/>
                    </w:rPr>
                  </w:pPr>
                  <w:r>
                    <w:rPr>
                      <w:szCs w:val="21"/>
                    </w:rPr>
                    <w:t>颗粒物</w:t>
                  </w:r>
                </w:p>
              </w:tc>
              <w:tc>
                <w:tcPr>
                  <w:tcW w:w="2168" w:type="dxa"/>
                  <w:vAlign w:val="center"/>
                </w:tcPr>
                <w:p w14:paraId="38CE5EA3">
                  <w:pPr>
                    <w:pStyle w:val="8"/>
                    <w:adjustRightInd w:val="0"/>
                    <w:snapToGrid w:val="0"/>
                    <w:jc w:val="center"/>
                    <w:rPr>
                      <w:szCs w:val="21"/>
                    </w:rPr>
                  </w:pPr>
                  <w:r>
                    <w:rPr>
                      <w:rFonts w:hint="eastAsia"/>
                      <w:szCs w:val="21"/>
                    </w:rPr>
                    <w:t>0.45</w:t>
                  </w:r>
                </w:p>
              </w:tc>
              <w:tc>
                <w:tcPr>
                  <w:tcW w:w="1962" w:type="dxa"/>
                  <w:vAlign w:val="center"/>
                </w:tcPr>
                <w:p w14:paraId="55C05E14">
                  <w:pPr>
                    <w:pStyle w:val="8"/>
                    <w:adjustRightInd w:val="0"/>
                    <w:snapToGrid w:val="0"/>
                    <w:jc w:val="center"/>
                    <w:rPr>
                      <w:szCs w:val="21"/>
                    </w:rPr>
                  </w:pPr>
                  <w:r>
                    <w:rPr>
                      <w:rFonts w:hint="eastAsia"/>
                    </w:rPr>
                    <w:t>0.45</w:t>
                  </w:r>
                </w:p>
              </w:tc>
            </w:tr>
            <w:tr w14:paraId="7971B61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6405F6FF">
                  <w:pPr>
                    <w:pStyle w:val="8"/>
                    <w:jc w:val="center"/>
                    <w:rPr>
                      <w:szCs w:val="21"/>
                    </w:rPr>
                  </w:pPr>
                </w:p>
              </w:tc>
              <w:tc>
                <w:tcPr>
                  <w:tcW w:w="1155" w:type="dxa"/>
                  <w:vMerge w:val="continue"/>
                  <w:vAlign w:val="center"/>
                </w:tcPr>
                <w:p w14:paraId="00075A03">
                  <w:pPr>
                    <w:pStyle w:val="8"/>
                    <w:jc w:val="center"/>
                    <w:rPr>
                      <w:szCs w:val="21"/>
                    </w:rPr>
                  </w:pPr>
                </w:p>
              </w:tc>
              <w:tc>
                <w:tcPr>
                  <w:tcW w:w="2172" w:type="dxa"/>
                  <w:vAlign w:val="center"/>
                </w:tcPr>
                <w:p w14:paraId="326C3545">
                  <w:pPr>
                    <w:pStyle w:val="8"/>
                    <w:jc w:val="center"/>
                    <w:rPr>
                      <w:szCs w:val="21"/>
                    </w:rPr>
                  </w:pPr>
                  <w:r>
                    <w:rPr>
                      <w:rFonts w:hint="eastAsia"/>
                      <w:szCs w:val="21"/>
                    </w:rPr>
                    <w:t>二甲苯</w:t>
                  </w:r>
                </w:p>
              </w:tc>
              <w:tc>
                <w:tcPr>
                  <w:tcW w:w="2168" w:type="dxa"/>
                  <w:vAlign w:val="center"/>
                </w:tcPr>
                <w:p w14:paraId="44D16912">
                  <w:pPr>
                    <w:pStyle w:val="8"/>
                    <w:adjustRightInd w:val="0"/>
                    <w:snapToGrid w:val="0"/>
                    <w:jc w:val="center"/>
                    <w:rPr>
                      <w:szCs w:val="21"/>
                    </w:rPr>
                  </w:pPr>
                  <w:r>
                    <w:rPr>
                      <w:rFonts w:hint="eastAsia"/>
                      <w:szCs w:val="21"/>
                    </w:rPr>
                    <w:t>0.103</w:t>
                  </w:r>
                </w:p>
              </w:tc>
              <w:tc>
                <w:tcPr>
                  <w:tcW w:w="1962" w:type="dxa"/>
                  <w:vAlign w:val="center"/>
                </w:tcPr>
                <w:p w14:paraId="22A44FD6">
                  <w:pPr>
                    <w:pStyle w:val="8"/>
                    <w:adjustRightInd w:val="0"/>
                    <w:snapToGrid w:val="0"/>
                    <w:jc w:val="center"/>
                    <w:rPr>
                      <w:szCs w:val="21"/>
                    </w:rPr>
                  </w:pPr>
                  <w:r>
                    <w:rPr>
                      <w:rFonts w:hint="eastAsia"/>
                    </w:rPr>
                    <w:t>0.152</w:t>
                  </w:r>
                </w:p>
              </w:tc>
            </w:tr>
            <w:tr w14:paraId="15D0FCA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6A386B79">
                  <w:pPr>
                    <w:pStyle w:val="8"/>
                    <w:jc w:val="center"/>
                    <w:rPr>
                      <w:szCs w:val="21"/>
                    </w:rPr>
                  </w:pPr>
                </w:p>
              </w:tc>
              <w:tc>
                <w:tcPr>
                  <w:tcW w:w="1155" w:type="dxa"/>
                  <w:vMerge w:val="continue"/>
                  <w:vAlign w:val="center"/>
                </w:tcPr>
                <w:p w14:paraId="235D4424">
                  <w:pPr>
                    <w:pStyle w:val="8"/>
                    <w:jc w:val="center"/>
                    <w:rPr>
                      <w:szCs w:val="21"/>
                    </w:rPr>
                  </w:pPr>
                </w:p>
              </w:tc>
              <w:tc>
                <w:tcPr>
                  <w:tcW w:w="2172" w:type="dxa"/>
                  <w:vAlign w:val="center"/>
                </w:tcPr>
                <w:p w14:paraId="51D2ED30">
                  <w:pPr>
                    <w:pStyle w:val="8"/>
                    <w:jc w:val="center"/>
                    <w:rPr>
                      <w:szCs w:val="21"/>
                    </w:rPr>
                  </w:pPr>
                  <w:r>
                    <w:rPr>
                      <w:rFonts w:hint="eastAsia"/>
                      <w:szCs w:val="21"/>
                    </w:rPr>
                    <w:t>乙苯</w:t>
                  </w:r>
                </w:p>
              </w:tc>
              <w:tc>
                <w:tcPr>
                  <w:tcW w:w="2168" w:type="dxa"/>
                  <w:vAlign w:val="center"/>
                </w:tcPr>
                <w:p w14:paraId="3C6DCAAB">
                  <w:pPr>
                    <w:pStyle w:val="8"/>
                    <w:adjustRightInd w:val="0"/>
                    <w:snapToGrid w:val="0"/>
                    <w:jc w:val="center"/>
                    <w:rPr>
                      <w:szCs w:val="21"/>
                    </w:rPr>
                  </w:pPr>
                  <w:r>
                    <w:rPr>
                      <w:rFonts w:hint="eastAsia"/>
                      <w:szCs w:val="21"/>
                    </w:rPr>
                    <w:t>0.00044</w:t>
                  </w:r>
                </w:p>
              </w:tc>
              <w:tc>
                <w:tcPr>
                  <w:tcW w:w="1962" w:type="dxa"/>
                  <w:vAlign w:val="center"/>
                </w:tcPr>
                <w:p w14:paraId="1D09546A">
                  <w:pPr>
                    <w:pStyle w:val="8"/>
                    <w:adjustRightInd w:val="0"/>
                    <w:snapToGrid w:val="0"/>
                    <w:jc w:val="center"/>
                    <w:rPr>
                      <w:szCs w:val="21"/>
                    </w:rPr>
                  </w:pPr>
                  <w:r>
                    <w:rPr>
                      <w:rFonts w:hint="eastAsia"/>
                    </w:rPr>
                    <w:t>0.057</w:t>
                  </w:r>
                </w:p>
              </w:tc>
            </w:tr>
            <w:tr w14:paraId="114B66D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71306DE1">
                  <w:pPr>
                    <w:pStyle w:val="8"/>
                    <w:jc w:val="center"/>
                    <w:rPr>
                      <w:szCs w:val="21"/>
                    </w:rPr>
                  </w:pPr>
                </w:p>
              </w:tc>
              <w:tc>
                <w:tcPr>
                  <w:tcW w:w="1155" w:type="dxa"/>
                  <w:vMerge w:val="continue"/>
                  <w:vAlign w:val="center"/>
                </w:tcPr>
                <w:p w14:paraId="694C3AF8">
                  <w:pPr>
                    <w:pStyle w:val="8"/>
                    <w:jc w:val="center"/>
                    <w:rPr>
                      <w:szCs w:val="21"/>
                    </w:rPr>
                  </w:pPr>
                </w:p>
              </w:tc>
              <w:tc>
                <w:tcPr>
                  <w:tcW w:w="2172" w:type="dxa"/>
                  <w:vAlign w:val="center"/>
                </w:tcPr>
                <w:p w14:paraId="3CB394F6">
                  <w:pPr>
                    <w:pStyle w:val="8"/>
                    <w:jc w:val="center"/>
                    <w:rPr>
                      <w:szCs w:val="21"/>
                    </w:rPr>
                  </w:pPr>
                  <w:r>
                    <w:rPr>
                      <w:rFonts w:hint="eastAsia"/>
                      <w:szCs w:val="21"/>
                    </w:rPr>
                    <w:t>挥发性有机物</w:t>
                  </w:r>
                </w:p>
              </w:tc>
              <w:tc>
                <w:tcPr>
                  <w:tcW w:w="2168" w:type="dxa"/>
                  <w:vAlign w:val="center"/>
                </w:tcPr>
                <w:p w14:paraId="0E8B1B76">
                  <w:pPr>
                    <w:pStyle w:val="8"/>
                    <w:adjustRightInd w:val="0"/>
                    <w:snapToGrid w:val="0"/>
                    <w:jc w:val="center"/>
                    <w:rPr>
                      <w:szCs w:val="21"/>
                    </w:rPr>
                  </w:pPr>
                  <w:r>
                    <w:rPr>
                      <w:rFonts w:hint="eastAsia"/>
                      <w:szCs w:val="21"/>
                    </w:rPr>
                    <w:t>0.4821</w:t>
                  </w:r>
                </w:p>
              </w:tc>
              <w:tc>
                <w:tcPr>
                  <w:tcW w:w="1962" w:type="dxa"/>
                  <w:vAlign w:val="center"/>
                </w:tcPr>
                <w:p w14:paraId="0B88C60E">
                  <w:pPr>
                    <w:pStyle w:val="8"/>
                    <w:adjustRightInd w:val="0"/>
                    <w:snapToGrid w:val="0"/>
                    <w:jc w:val="center"/>
                    <w:rPr>
                      <w:szCs w:val="21"/>
                    </w:rPr>
                  </w:pPr>
                  <w:r>
                    <w:rPr>
                      <w:rFonts w:hint="eastAsia"/>
                    </w:rPr>
                    <w:t>1.4715</w:t>
                  </w:r>
                </w:p>
              </w:tc>
            </w:tr>
            <w:tr w14:paraId="23F4F0F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33C6A6D0">
                  <w:pPr>
                    <w:pStyle w:val="8"/>
                    <w:jc w:val="center"/>
                    <w:rPr>
                      <w:szCs w:val="21"/>
                    </w:rPr>
                  </w:pPr>
                </w:p>
              </w:tc>
              <w:tc>
                <w:tcPr>
                  <w:tcW w:w="1155" w:type="dxa"/>
                  <w:vMerge w:val="continue"/>
                  <w:vAlign w:val="center"/>
                </w:tcPr>
                <w:p w14:paraId="1BD7BB0D">
                  <w:pPr>
                    <w:pStyle w:val="8"/>
                    <w:jc w:val="center"/>
                    <w:rPr>
                      <w:szCs w:val="21"/>
                    </w:rPr>
                  </w:pPr>
                </w:p>
              </w:tc>
              <w:tc>
                <w:tcPr>
                  <w:tcW w:w="2172" w:type="dxa"/>
                  <w:vAlign w:val="center"/>
                </w:tcPr>
                <w:p w14:paraId="1730516A">
                  <w:pPr>
                    <w:pStyle w:val="8"/>
                    <w:jc w:val="center"/>
                    <w:rPr>
                      <w:szCs w:val="21"/>
                    </w:rPr>
                  </w:pPr>
                  <w:r>
                    <w:rPr>
                      <w:szCs w:val="21"/>
                    </w:rPr>
                    <w:t>H</w:t>
                  </w:r>
                  <w:r>
                    <w:rPr>
                      <w:szCs w:val="21"/>
                      <w:vertAlign w:val="subscript"/>
                    </w:rPr>
                    <w:t>2</w:t>
                  </w:r>
                  <w:r>
                    <w:rPr>
                      <w:szCs w:val="21"/>
                    </w:rPr>
                    <w:t>S</w:t>
                  </w:r>
                </w:p>
              </w:tc>
              <w:tc>
                <w:tcPr>
                  <w:tcW w:w="2168" w:type="dxa"/>
                  <w:vAlign w:val="center"/>
                </w:tcPr>
                <w:p w14:paraId="16BA018A">
                  <w:pPr>
                    <w:pStyle w:val="8"/>
                    <w:jc w:val="center"/>
                    <w:rPr>
                      <w:szCs w:val="21"/>
                    </w:rPr>
                  </w:pPr>
                  <w:r>
                    <w:rPr>
                      <w:rFonts w:hint="eastAsia"/>
                      <w:szCs w:val="21"/>
                    </w:rPr>
                    <w:t>0</w:t>
                  </w:r>
                </w:p>
              </w:tc>
              <w:tc>
                <w:tcPr>
                  <w:tcW w:w="1962" w:type="dxa"/>
                  <w:vAlign w:val="center"/>
                </w:tcPr>
                <w:p w14:paraId="451F961F">
                  <w:pPr>
                    <w:pStyle w:val="8"/>
                    <w:jc w:val="center"/>
                    <w:rPr>
                      <w:szCs w:val="21"/>
                    </w:rPr>
                  </w:pPr>
                  <w:r>
                    <w:rPr>
                      <w:rFonts w:hint="eastAsia"/>
                    </w:rPr>
                    <w:t>0.2026</w:t>
                  </w:r>
                </w:p>
              </w:tc>
            </w:tr>
            <w:tr w14:paraId="69EE5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restart"/>
                  <w:vAlign w:val="center"/>
                </w:tcPr>
                <w:p w14:paraId="24C8C0F5">
                  <w:pPr>
                    <w:pStyle w:val="8"/>
                    <w:jc w:val="center"/>
                    <w:rPr>
                      <w:szCs w:val="21"/>
                    </w:rPr>
                  </w:pPr>
                  <w:r>
                    <w:rPr>
                      <w:szCs w:val="21"/>
                    </w:rPr>
                    <w:t>废水</w:t>
                  </w:r>
                </w:p>
              </w:tc>
              <w:tc>
                <w:tcPr>
                  <w:tcW w:w="3327" w:type="dxa"/>
                  <w:gridSpan w:val="2"/>
                  <w:vAlign w:val="center"/>
                </w:tcPr>
                <w:p w14:paraId="0DF9B79A">
                  <w:pPr>
                    <w:pStyle w:val="8"/>
                    <w:jc w:val="center"/>
                    <w:rPr>
                      <w:szCs w:val="21"/>
                    </w:rPr>
                  </w:pPr>
                  <w:r>
                    <w:rPr>
                      <w:szCs w:val="21"/>
                    </w:rPr>
                    <w:t>废水量</w:t>
                  </w:r>
                  <w:r>
                    <w:rPr>
                      <w:rFonts w:hint="eastAsia"/>
                      <w:szCs w:val="21"/>
                    </w:rPr>
                    <w:t>（生活污水）</w:t>
                  </w:r>
                </w:p>
              </w:tc>
              <w:tc>
                <w:tcPr>
                  <w:tcW w:w="2168" w:type="dxa"/>
                  <w:vAlign w:val="center"/>
                </w:tcPr>
                <w:p w14:paraId="04F05729">
                  <w:pPr>
                    <w:pStyle w:val="8"/>
                    <w:jc w:val="center"/>
                    <w:rPr>
                      <w:szCs w:val="21"/>
                    </w:rPr>
                  </w:pPr>
                  <w:r>
                    <w:rPr>
                      <w:rFonts w:hint="eastAsia"/>
                      <w:szCs w:val="21"/>
                    </w:rPr>
                    <w:t>3880</w:t>
                  </w:r>
                </w:p>
              </w:tc>
              <w:tc>
                <w:tcPr>
                  <w:tcW w:w="1962" w:type="dxa"/>
                  <w:vAlign w:val="center"/>
                </w:tcPr>
                <w:p w14:paraId="6E409FFF">
                  <w:pPr>
                    <w:pStyle w:val="8"/>
                    <w:adjustRightInd w:val="0"/>
                    <w:snapToGrid w:val="0"/>
                    <w:jc w:val="center"/>
                    <w:rPr>
                      <w:szCs w:val="21"/>
                    </w:rPr>
                  </w:pPr>
                  <w:r>
                    <w:rPr>
                      <w:rFonts w:hint="eastAsia"/>
                    </w:rPr>
                    <w:t>9264</w:t>
                  </w:r>
                </w:p>
              </w:tc>
            </w:tr>
            <w:tr w14:paraId="48BA98D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4A1CBC8D">
                  <w:pPr>
                    <w:pStyle w:val="8"/>
                    <w:jc w:val="center"/>
                    <w:rPr>
                      <w:szCs w:val="21"/>
                    </w:rPr>
                  </w:pPr>
                </w:p>
              </w:tc>
              <w:tc>
                <w:tcPr>
                  <w:tcW w:w="3327" w:type="dxa"/>
                  <w:gridSpan w:val="2"/>
                  <w:vAlign w:val="center"/>
                </w:tcPr>
                <w:p w14:paraId="7F2D3D9E">
                  <w:pPr>
                    <w:pStyle w:val="8"/>
                    <w:jc w:val="center"/>
                    <w:rPr>
                      <w:szCs w:val="21"/>
                    </w:rPr>
                  </w:pPr>
                  <w:r>
                    <w:rPr>
                      <w:szCs w:val="21"/>
                    </w:rPr>
                    <w:t>COD</w:t>
                  </w:r>
                </w:p>
              </w:tc>
              <w:tc>
                <w:tcPr>
                  <w:tcW w:w="2168" w:type="dxa"/>
                  <w:vAlign w:val="center"/>
                </w:tcPr>
                <w:p w14:paraId="1929AF70">
                  <w:pPr>
                    <w:pStyle w:val="8"/>
                    <w:jc w:val="center"/>
                    <w:rPr>
                      <w:szCs w:val="21"/>
                    </w:rPr>
                  </w:pPr>
                  <w:r>
                    <w:rPr>
                      <w:rFonts w:hint="eastAsia"/>
                      <w:szCs w:val="21"/>
                    </w:rPr>
                    <w:t>0.0854</w:t>
                  </w:r>
                </w:p>
              </w:tc>
              <w:tc>
                <w:tcPr>
                  <w:tcW w:w="1962" w:type="dxa"/>
                  <w:vAlign w:val="center"/>
                </w:tcPr>
                <w:p w14:paraId="58FD325D">
                  <w:pPr>
                    <w:jc w:val="center"/>
                    <w:rPr>
                      <w:szCs w:val="21"/>
                    </w:rPr>
                  </w:pPr>
                  <w:r>
                    <w:rPr>
                      <w:rFonts w:hint="eastAsia"/>
                    </w:rPr>
                    <w:t>2.779</w:t>
                  </w:r>
                </w:p>
              </w:tc>
            </w:tr>
            <w:tr w14:paraId="34A344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40EB1E62">
                  <w:pPr>
                    <w:pStyle w:val="8"/>
                    <w:jc w:val="center"/>
                    <w:rPr>
                      <w:szCs w:val="21"/>
                    </w:rPr>
                  </w:pPr>
                </w:p>
              </w:tc>
              <w:tc>
                <w:tcPr>
                  <w:tcW w:w="3327" w:type="dxa"/>
                  <w:gridSpan w:val="2"/>
                  <w:vAlign w:val="center"/>
                </w:tcPr>
                <w:p w14:paraId="4413622E">
                  <w:pPr>
                    <w:pStyle w:val="8"/>
                    <w:jc w:val="center"/>
                    <w:rPr>
                      <w:szCs w:val="21"/>
                    </w:rPr>
                  </w:pPr>
                  <w:r>
                    <w:rPr>
                      <w:szCs w:val="21"/>
                    </w:rPr>
                    <w:t>SS</w:t>
                  </w:r>
                </w:p>
              </w:tc>
              <w:tc>
                <w:tcPr>
                  <w:tcW w:w="2168" w:type="dxa"/>
                  <w:vAlign w:val="center"/>
                </w:tcPr>
                <w:p w14:paraId="1EEB4477">
                  <w:pPr>
                    <w:pStyle w:val="8"/>
                    <w:jc w:val="center"/>
                    <w:rPr>
                      <w:szCs w:val="21"/>
                    </w:rPr>
                  </w:pPr>
                  <w:r>
                    <w:rPr>
                      <w:rFonts w:hint="eastAsia"/>
                      <w:szCs w:val="21"/>
                    </w:rPr>
                    <w:t>0.116</w:t>
                  </w:r>
                </w:p>
              </w:tc>
              <w:tc>
                <w:tcPr>
                  <w:tcW w:w="1962" w:type="dxa"/>
                  <w:vAlign w:val="center"/>
                </w:tcPr>
                <w:p w14:paraId="134963EB">
                  <w:pPr>
                    <w:jc w:val="center"/>
                    <w:rPr>
                      <w:szCs w:val="21"/>
                    </w:rPr>
                  </w:pPr>
                  <w:r>
                    <w:rPr>
                      <w:rFonts w:hint="eastAsia"/>
                    </w:rPr>
                    <w:t>1.39</w:t>
                  </w:r>
                </w:p>
              </w:tc>
            </w:tr>
            <w:tr w14:paraId="1954D90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0FB16F4A">
                  <w:pPr>
                    <w:pStyle w:val="8"/>
                    <w:jc w:val="center"/>
                    <w:rPr>
                      <w:szCs w:val="21"/>
                    </w:rPr>
                  </w:pPr>
                </w:p>
              </w:tc>
              <w:tc>
                <w:tcPr>
                  <w:tcW w:w="3327" w:type="dxa"/>
                  <w:gridSpan w:val="2"/>
                  <w:vAlign w:val="center"/>
                </w:tcPr>
                <w:p w14:paraId="6BCE21D3">
                  <w:pPr>
                    <w:pStyle w:val="8"/>
                    <w:jc w:val="center"/>
                    <w:rPr>
                      <w:szCs w:val="21"/>
                    </w:rPr>
                  </w:pPr>
                  <w:r>
                    <w:rPr>
                      <w:szCs w:val="21"/>
                    </w:rPr>
                    <w:t>氨氮</w:t>
                  </w:r>
                </w:p>
              </w:tc>
              <w:tc>
                <w:tcPr>
                  <w:tcW w:w="2168" w:type="dxa"/>
                  <w:vAlign w:val="center"/>
                </w:tcPr>
                <w:p w14:paraId="7539038A">
                  <w:pPr>
                    <w:pStyle w:val="8"/>
                    <w:jc w:val="center"/>
                    <w:rPr>
                      <w:szCs w:val="21"/>
                    </w:rPr>
                  </w:pPr>
                  <w:r>
                    <w:rPr>
                      <w:rFonts w:hint="eastAsia"/>
                      <w:szCs w:val="21"/>
                    </w:rPr>
                    <w:t>0.000109</w:t>
                  </w:r>
                </w:p>
              </w:tc>
              <w:tc>
                <w:tcPr>
                  <w:tcW w:w="1962" w:type="dxa"/>
                  <w:vAlign w:val="center"/>
                </w:tcPr>
                <w:p w14:paraId="462A74E2">
                  <w:pPr>
                    <w:jc w:val="center"/>
                    <w:rPr>
                      <w:szCs w:val="21"/>
                    </w:rPr>
                  </w:pPr>
                  <w:r>
                    <w:rPr>
                      <w:rFonts w:hint="eastAsia"/>
                    </w:rPr>
                    <w:t>0.278</w:t>
                  </w:r>
                </w:p>
              </w:tc>
            </w:tr>
            <w:tr w14:paraId="37261E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68012A42">
                  <w:pPr>
                    <w:pStyle w:val="8"/>
                    <w:jc w:val="center"/>
                    <w:rPr>
                      <w:szCs w:val="21"/>
                    </w:rPr>
                  </w:pPr>
                </w:p>
              </w:tc>
              <w:tc>
                <w:tcPr>
                  <w:tcW w:w="3327" w:type="dxa"/>
                  <w:gridSpan w:val="2"/>
                  <w:vAlign w:val="center"/>
                </w:tcPr>
                <w:p w14:paraId="3C13A2C4">
                  <w:pPr>
                    <w:pStyle w:val="8"/>
                    <w:jc w:val="center"/>
                    <w:rPr>
                      <w:szCs w:val="21"/>
                    </w:rPr>
                  </w:pPr>
                  <w:r>
                    <w:rPr>
                      <w:szCs w:val="21"/>
                    </w:rPr>
                    <w:t>TP</w:t>
                  </w:r>
                </w:p>
              </w:tc>
              <w:tc>
                <w:tcPr>
                  <w:tcW w:w="2168" w:type="dxa"/>
                  <w:vAlign w:val="center"/>
                </w:tcPr>
                <w:p w14:paraId="2EA651B3">
                  <w:pPr>
                    <w:pStyle w:val="8"/>
                    <w:jc w:val="center"/>
                    <w:rPr>
                      <w:szCs w:val="21"/>
                    </w:rPr>
                  </w:pPr>
                  <w:r>
                    <w:rPr>
                      <w:rFonts w:hint="eastAsia"/>
                      <w:szCs w:val="21"/>
                    </w:rPr>
                    <w:t>0.000155</w:t>
                  </w:r>
                </w:p>
              </w:tc>
              <w:tc>
                <w:tcPr>
                  <w:tcW w:w="1962" w:type="dxa"/>
                  <w:vAlign w:val="center"/>
                </w:tcPr>
                <w:p w14:paraId="50B52EC4">
                  <w:pPr>
                    <w:jc w:val="center"/>
                    <w:rPr>
                      <w:szCs w:val="21"/>
                    </w:rPr>
                  </w:pPr>
                  <w:r>
                    <w:rPr>
                      <w:rFonts w:hint="eastAsia"/>
                    </w:rPr>
                    <w:t>0.0086</w:t>
                  </w:r>
                </w:p>
              </w:tc>
            </w:tr>
            <w:tr w14:paraId="1AA354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556E1764">
                  <w:pPr>
                    <w:pStyle w:val="8"/>
                    <w:jc w:val="center"/>
                    <w:rPr>
                      <w:szCs w:val="21"/>
                    </w:rPr>
                  </w:pPr>
                </w:p>
              </w:tc>
              <w:tc>
                <w:tcPr>
                  <w:tcW w:w="3327" w:type="dxa"/>
                  <w:gridSpan w:val="2"/>
                  <w:vAlign w:val="center"/>
                </w:tcPr>
                <w:p w14:paraId="6C88C4F3">
                  <w:pPr>
                    <w:pStyle w:val="8"/>
                    <w:jc w:val="center"/>
                    <w:rPr>
                      <w:szCs w:val="21"/>
                    </w:rPr>
                  </w:pPr>
                  <w:r>
                    <w:rPr>
                      <w:szCs w:val="21"/>
                    </w:rPr>
                    <w:t>石油类</w:t>
                  </w:r>
                </w:p>
              </w:tc>
              <w:tc>
                <w:tcPr>
                  <w:tcW w:w="2168" w:type="dxa"/>
                  <w:vAlign w:val="center"/>
                </w:tcPr>
                <w:p w14:paraId="09214860">
                  <w:pPr>
                    <w:pStyle w:val="8"/>
                    <w:jc w:val="center"/>
                    <w:rPr>
                      <w:szCs w:val="21"/>
                    </w:rPr>
                  </w:pPr>
                  <w:r>
                    <w:rPr>
                      <w:rFonts w:hint="eastAsia"/>
                      <w:szCs w:val="21"/>
                    </w:rPr>
                    <w:t>0</w:t>
                  </w:r>
                </w:p>
              </w:tc>
              <w:tc>
                <w:tcPr>
                  <w:tcW w:w="1962" w:type="dxa"/>
                  <w:vAlign w:val="center"/>
                </w:tcPr>
                <w:p w14:paraId="1E914B43">
                  <w:pPr>
                    <w:jc w:val="center"/>
                    <w:rPr>
                      <w:szCs w:val="21"/>
                    </w:rPr>
                  </w:pPr>
                  <w:r>
                    <w:rPr>
                      <w:rFonts w:hint="eastAsia"/>
                    </w:rPr>
                    <w:t>0.093</w:t>
                  </w:r>
                </w:p>
              </w:tc>
            </w:tr>
            <w:tr w14:paraId="425A7DE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0A5DD158">
                  <w:pPr>
                    <w:pStyle w:val="8"/>
                    <w:jc w:val="center"/>
                    <w:rPr>
                      <w:szCs w:val="21"/>
                    </w:rPr>
                  </w:pPr>
                </w:p>
              </w:tc>
              <w:tc>
                <w:tcPr>
                  <w:tcW w:w="3327" w:type="dxa"/>
                  <w:gridSpan w:val="2"/>
                  <w:vAlign w:val="center"/>
                </w:tcPr>
                <w:p w14:paraId="698FD3C1">
                  <w:pPr>
                    <w:pStyle w:val="8"/>
                    <w:jc w:val="center"/>
                    <w:rPr>
                      <w:szCs w:val="21"/>
                    </w:rPr>
                  </w:pPr>
                  <w:r>
                    <w:rPr>
                      <w:rFonts w:hint="eastAsia"/>
                      <w:szCs w:val="21"/>
                    </w:rPr>
                    <w:t>动植物油</w:t>
                  </w:r>
                </w:p>
              </w:tc>
              <w:tc>
                <w:tcPr>
                  <w:tcW w:w="2168" w:type="dxa"/>
                  <w:vAlign w:val="center"/>
                </w:tcPr>
                <w:p w14:paraId="59E191F2">
                  <w:pPr>
                    <w:pStyle w:val="8"/>
                    <w:jc w:val="center"/>
                    <w:rPr>
                      <w:szCs w:val="21"/>
                    </w:rPr>
                  </w:pPr>
                  <w:r>
                    <w:rPr>
                      <w:rFonts w:hint="eastAsia"/>
                      <w:szCs w:val="21"/>
                    </w:rPr>
                    <w:t>0</w:t>
                  </w:r>
                </w:p>
              </w:tc>
              <w:tc>
                <w:tcPr>
                  <w:tcW w:w="1962" w:type="dxa"/>
                  <w:vAlign w:val="center"/>
                </w:tcPr>
                <w:p w14:paraId="6239CCAF">
                  <w:pPr>
                    <w:jc w:val="center"/>
                    <w:rPr>
                      <w:szCs w:val="21"/>
                    </w:rPr>
                  </w:pPr>
                  <w:r>
                    <w:rPr>
                      <w:rFonts w:hint="eastAsia"/>
                    </w:rPr>
                    <w:t>0.926</w:t>
                  </w:r>
                </w:p>
              </w:tc>
            </w:tr>
            <w:tr w14:paraId="7CDD88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restart"/>
                  <w:vAlign w:val="center"/>
                </w:tcPr>
                <w:p w14:paraId="73CD079B">
                  <w:pPr>
                    <w:pStyle w:val="8"/>
                    <w:jc w:val="center"/>
                    <w:rPr>
                      <w:szCs w:val="21"/>
                    </w:rPr>
                  </w:pPr>
                  <w:r>
                    <w:rPr>
                      <w:szCs w:val="21"/>
                    </w:rPr>
                    <w:t>固废</w:t>
                  </w:r>
                </w:p>
              </w:tc>
              <w:tc>
                <w:tcPr>
                  <w:tcW w:w="3327" w:type="dxa"/>
                  <w:gridSpan w:val="2"/>
                  <w:vAlign w:val="center"/>
                </w:tcPr>
                <w:p w14:paraId="3CF1F529">
                  <w:pPr>
                    <w:pStyle w:val="8"/>
                    <w:jc w:val="center"/>
                    <w:rPr>
                      <w:szCs w:val="21"/>
                    </w:rPr>
                  </w:pPr>
                  <w:r>
                    <w:rPr>
                      <w:szCs w:val="21"/>
                    </w:rPr>
                    <w:t>生活垃圾</w:t>
                  </w:r>
                </w:p>
              </w:tc>
              <w:tc>
                <w:tcPr>
                  <w:tcW w:w="2168" w:type="dxa"/>
                  <w:vAlign w:val="center"/>
                </w:tcPr>
                <w:p w14:paraId="088F349B">
                  <w:pPr>
                    <w:pStyle w:val="8"/>
                    <w:jc w:val="center"/>
                    <w:rPr>
                      <w:szCs w:val="21"/>
                    </w:rPr>
                  </w:pPr>
                  <w:r>
                    <w:rPr>
                      <w:szCs w:val="21"/>
                    </w:rPr>
                    <w:t>0</w:t>
                  </w:r>
                </w:p>
              </w:tc>
              <w:tc>
                <w:tcPr>
                  <w:tcW w:w="1962" w:type="dxa"/>
                  <w:vAlign w:val="center"/>
                </w:tcPr>
                <w:p w14:paraId="0A6DB824">
                  <w:pPr>
                    <w:pStyle w:val="8"/>
                    <w:jc w:val="center"/>
                    <w:rPr>
                      <w:szCs w:val="21"/>
                    </w:rPr>
                  </w:pPr>
                  <w:r>
                    <w:rPr>
                      <w:szCs w:val="21"/>
                    </w:rPr>
                    <w:t>0</w:t>
                  </w:r>
                </w:p>
              </w:tc>
            </w:tr>
            <w:tr w14:paraId="582F147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0ED91984">
                  <w:pPr>
                    <w:pStyle w:val="8"/>
                    <w:jc w:val="center"/>
                    <w:rPr>
                      <w:szCs w:val="21"/>
                    </w:rPr>
                  </w:pPr>
                </w:p>
              </w:tc>
              <w:tc>
                <w:tcPr>
                  <w:tcW w:w="3327" w:type="dxa"/>
                  <w:gridSpan w:val="2"/>
                  <w:vAlign w:val="center"/>
                </w:tcPr>
                <w:p w14:paraId="2A5808A8">
                  <w:pPr>
                    <w:pStyle w:val="8"/>
                    <w:jc w:val="center"/>
                    <w:rPr>
                      <w:szCs w:val="21"/>
                    </w:rPr>
                  </w:pPr>
                  <w:r>
                    <w:rPr>
                      <w:szCs w:val="21"/>
                    </w:rPr>
                    <w:t>一般固废</w:t>
                  </w:r>
                </w:p>
              </w:tc>
              <w:tc>
                <w:tcPr>
                  <w:tcW w:w="2168" w:type="dxa"/>
                  <w:vAlign w:val="center"/>
                </w:tcPr>
                <w:p w14:paraId="03832820">
                  <w:pPr>
                    <w:pStyle w:val="8"/>
                    <w:jc w:val="center"/>
                    <w:rPr>
                      <w:szCs w:val="21"/>
                    </w:rPr>
                  </w:pPr>
                  <w:r>
                    <w:rPr>
                      <w:szCs w:val="21"/>
                    </w:rPr>
                    <w:t>0</w:t>
                  </w:r>
                </w:p>
              </w:tc>
              <w:tc>
                <w:tcPr>
                  <w:tcW w:w="1962" w:type="dxa"/>
                  <w:vAlign w:val="center"/>
                </w:tcPr>
                <w:p w14:paraId="6EF0F533">
                  <w:pPr>
                    <w:pStyle w:val="8"/>
                    <w:jc w:val="center"/>
                    <w:rPr>
                      <w:szCs w:val="21"/>
                    </w:rPr>
                  </w:pPr>
                  <w:r>
                    <w:rPr>
                      <w:szCs w:val="21"/>
                    </w:rPr>
                    <w:t>0</w:t>
                  </w:r>
                </w:p>
              </w:tc>
            </w:tr>
            <w:tr w14:paraId="76D8EB4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961" w:type="dxa"/>
                  <w:vMerge w:val="continue"/>
                  <w:vAlign w:val="center"/>
                </w:tcPr>
                <w:p w14:paraId="0793EA44">
                  <w:pPr>
                    <w:pStyle w:val="8"/>
                    <w:jc w:val="center"/>
                    <w:rPr>
                      <w:szCs w:val="21"/>
                    </w:rPr>
                  </w:pPr>
                </w:p>
              </w:tc>
              <w:tc>
                <w:tcPr>
                  <w:tcW w:w="3327" w:type="dxa"/>
                  <w:gridSpan w:val="2"/>
                  <w:vAlign w:val="center"/>
                </w:tcPr>
                <w:p w14:paraId="0626CF99">
                  <w:pPr>
                    <w:pStyle w:val="8"/>
                    <w:jc w:val="center"/>
                    <w:rPr>
                      <w:szCs w:val="21"/>
                    </w:rPr>
                  </w:pPr>
                  <w:r>
                    <w:rPr>
                      <w:szCs w:val="21"/>
                    </w:rPr>
                    <w:t>危险废物</w:t>
                  </w:r>
                </w:p>
              </w:tc>
              <w:tc>
                <w:tcPr>
                  <w:tcW w:w="2168" w:type="dxa"/>
                  <w:vAlign w:val="center"/>
                </w:tcPr>
                <w:p w14:paraId="3386D096">
                  <w:pPr>
                    <w:pStyle w:val="8"/>
                    <w:jc w:val="center"/>
                    <w:rPr>
                      <w:szCs w:val="21"/>
                    </w:rPr>
                  </w:pPr>
                  <w:r>
                    <w:rPr>
                      <w:szCs w:val="21"/>
                    </w:rPr>
                    <w:t>0</w:t>
                  </w:r>
                </w:p>
              </w:tc>
              <w:tc>
                <w:tcPr>
                  <w:tcW w:w="1962" w:type="dxa"/>
                  <w:vAlign w:val="center"/>
                </w:tcPr>
                <w:p w14:paraId="2805E78A">
                  <w:pPr>
                    <w:pStyle w:val="8"/>
                    <w:jc w:val="center"/>
                    <w:rPr>
                      <w:szCs w:val="21"/>
                    </w:rPr>
                  </w:pPr>
                  <w:r>
                    <w:rPr>
                      <w:szCs w:val="21"/>
                    </w:rPr>
                    <w:t>0</w:t>
                  </w:r>
                </w:p>
              </w:tc>
            </w:tr>
          </w:tbl>
          <w:p w14:paraId="6884A3D9">
            <w:pPr>
              <w:pStyle w:val="5"/>
              <w:adjustRightInd w:val="0"/>
              <w:snapToGrid w:val="0"/>
              <w:spacing w:beforeLines="50" w:line="360" w:lineRule="auto"/>
              <w:ind w:firstLine="422"/>
              <w:rPr>
                <w:b/>
                <w:bCs/>
                <w:szCs w:val="21"/>
              </w:rPr>
            </w:pPr>
            <w:r>
              <w:rPr>
                <w:b/>
                <w:bCs/>
                <w:szCs w:val="21"/>
              </w:rPr>
              <w:t>2、达标排放情况</w:t>
            </w:r>
          </w:p>
          <w:p w14:paraId="2307BFE4">
            <w:pPr>
              <w:pStyle w:val="5"/>
              <w:adjustRightInd w:val="0"/>
              <w:snapToGrid w:val="0"/>
              <w:spacing w:line="360" w:lineRule="auto"/>
              <w:ind w:firstLine="420"/>
              <w:rPr>
                <w:szCs w:val="21"/>
              </w:rPr>
            </w:pPr>
            <w:r>
              <w:rPr>
                <w:szCs w:val="21"/>
              </w:rPr>
              <w:t>建设单位于2024年</w:t>
            </w:r>
            <w:r>
              <w:rPr>
                <w:rFonts w:hint="eastAsia"/>
                <w:szCs w:val="21"/>
              </w:rPr>
              <w:t>11</w:t>
            </w:r>
            <w:r>
              <w:rPr>
                <w:szCs w:val="21"/>
              </w:rPr>
              <w:t>月委托</w:t>
            </w:r>
            <w:r>
              <w:rPr>
                <w:rFonts w:hint="eastAsia"/>
                <w:szCs w:val="21"/>
              </w:rPr>
              <w:t>江苏赛蓝环境检测</w:t>
            </w:r>
            <w:r>
              <w:rPr>
                <w:szCs w:val="21"/>
              </w:rPr>
              <w:t>有限公司对现有厂区内各项污染因子进行例行检测（报告编号：</w:t>
            </w:r>
            <w:r>
              <w:rPr>
                <w:rFonts w:hint="eastAsia"/>
                <w:szCs w:val="21"/>
              </w:rPr>
              <w:t>（2024）苏赛检字第（11148）号</w:t>
            </w:r>
            <w:r>
              <w:rPr>
                <w:szCs w:val="21"/>
              </w:rPr>
              <w:t>），其中抛丸工序在检测期间未进行生产，2#排气筒废气排放情况参照2023年8月例行检测报告（报告编号：RW-2023-07-019B01），根据检测结果现有项目各项污染因子排放情况见下表：</w:t>
            </w:r>
          </w:p>
          <w:p w14:paraId="0FDB77E6">
            <w:pPr>
              <w:pStyle w:val="5"/>
              <w:adjustRightInd w:val="0"/>
              <w:snapToGrid w:val="0"/>
              <w:spacing w:line="360" w:lineRule="auto"/>
              <w:ind w:firstLine="422"/>
              <w:rPr>
                <w:b/>
                <w:bCs/>
                <w:szCs w:val="21"/>
              </w:rPr>
            </w:pPr>
            <w:r>
              <w:rPr>
                <w:b/>
                <w:bCs/>
                <w:szCs w:val="21"/>
              </w:rPr>
              <w:t>（1）废气</w:t>
            </w:r>
          </w:p>
          <w:p w14:paraId="3E09D8A4">
            <w:pPr>
              <w:pStyle w:val="5"/>
              <w:adjustRightInd w:val="0"/>
              <w:snapToGrid w:val="0"/>
              <w:spacing w:line="360" w:lineRule="auto"/>
              <w:ind w:firstLine="422"/>
              <w:rPr>
                <w:b/>
                <w:bCs/>
                <w:szCs w:val="21"/>
              </w:rPr>
            </w:pPr>
            <w:r>
              <w:rPr>
                <w:b/>
                <w:bCs/>
                <w:szCs w:val="21"/>
              </w:rPr>
              <w:t>①废气有组织排放情况</w:t>
            </w:r>
          </w:p>
          <w:p w14:paraId="045616CB">
            <w:pPr>
              <w:pStyle w:val="5"/>
              <w:adjustRightInd w:val="0"/>
              <w:snapToGrid w:val="0"/>
              <w:ind w:firstLine="0" w:firstLineChars="0"/>
              <w:jc w:val="center"/>
              <w:rPr>
                <w:b/>
                <w:bCs/>
                <w:szCs w:val="21"/>
              </w:rPr>
            </w:pPr>
            <w:r>
              <w:rPr>
                <w:b/>
                <w:bCs/>
                <w:szCs w:val="21"/>
              </w:rPr>
              <w:t>表2-12  现有项目有组织废气监测结果表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946"/>
              <w:gridCol w:w="1454"/>
              <w:gridCol w:w="640"/>
              <w:gridCol w:w="1733"/>
              <w:gridCol w:w="849"/>
              <w:gridCol w:w="958"/>
              <w:gridCol w:w="624"/>
              <w:gridCol w:w="540"/>
              <w:gridCol w:w="645"/>
            </w:tblGrid>
            <w:tr w14:paraId="3D2425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restart"/>
                  <w:tcMar>
                    <w:top w:w="0" w:type="dxa"/>
                    <w:left w:w="0" w:type="dxa"/>
                    <w:bottom w:w="0" w:type="dxa"/>
                    <w:right w:w="0" w:type="dxa"/>
                  </w:tcMar>
                  <w:vAlign w:val="center"/>
                </w:tcPr>
                <w:p w14:paraId="5E7D20B4">
                  <w:pPr>
                    <w:widowControl/>
                    <w:adjustRightInd w:val="0"/>
                    <w:jc w:val="center"/>
                    <w:rPr>
                      <w:b/>
                      <w:szCs w:val="21"/>
                    </w:rPr>
                  </w:pPr>
                  <w:r>
                    <w:rPr>
                      <w:b/>
                      <w:bCs/>
                      <w:szCs w:val="21"/>
                    </w:rPr>
                    <w:t>采样日期</w:t>
                  </w:r>
                </w:p>
              </w:tc>
              <w:tc>
                <w:tcPr>
                  <w:tcW w:w="1465" w:type="dxa"/>
                  <w:vMerge w:val="restart"/>
                  <w:tcMar>
                    <w:top w:w="0" w:type="dxa"/>
                    <w:left w:w="0" w:type="dxa"/>
                    <w:bottom w:w="0" w:type="dxa"/>
                    <w:right w:w="0" w:type="dxa"/>
                  </w:tcMar>
                  <w:vAlign w:val="center"/>
                </w:tcPr>
                <w:p w14:paraId="03191448">
                  <w:pPr>
                    <w:jc w:val="center"/>
                    <w:rPr>
                      <w:b/>
                      <w:szCs w:val="21"/>
                    </w:rPr>
                  </w:pPr>
                  <w:r>
                    <w:rPr>
                      <w:b/>
                      <w:szCs w:val="21"/>
                    </w:rPr>
                    <w:t>采样点位</w:t>
                  </w:r>
                </w:p>
              </w:tc>
              <w:tc>
                <w:tcPr>
                  <w:tcW w:w="641" w:type="dxa"/>
                  <w:vMerge w:val="restart"/>
                  <w:tcMar>
                    <w:top w:w="0" w:type="dxa"/>
                    <w:left w:w="0" w:type="dxa"/>
                    <w:bottom w:w="0" w:type="dxa"/>
                    <w:right w:w="0" w:type="dxa"/>
                  </w:tcMar>
                  <w:vAlign w:val="center"/>
                </w:tcPr>
                <w:p w14:paraId="07142571">
                  <w:pPr>
                    <w:jc w:val="center"/>
                    <w:rPr>
                      <w:b/>
                      <w:szCs w:val="21"/>
                    </w:rPr>
                  </w:pPr>
                  <w:r>
                    <w:rPr>
                      <w:b/>
                      <w:szCs w:val="21"/>
                    </w:rPr>
                    <w:t>风量m</w:t>
                  </w:r>
                  <w:r>
                    <w:rPr>
                      <w:b/>
                      <w:szCs w:val="21"/>
                      <w:vertAlign w:val="superscript"/>
                    </w:rPr>
                    <w:t>3</w:t>
                  </w:r>
                  <w:r>
                    <w:rPr>
                      <w:b/>
                      <w:szCs w:val="21"/>
                    </w:rPr>
                    <w:t>/h</w:t>
                  </w:r>
                </w:p>
              </w:tc>
              <w:tc>
                <w:tcPr>
                  <w:tcW w:w="1744" w:type="dxa"/>
                  <w:vMerge w:val="restart"/>
                  <w:tcMar>
                    <w:top w:w="0" w:type="dxa"/>
                    <w:left w:w="0" w:type="dxa"/>
                    <w:bottom w:w="0" w:type="dxa"/>
                    <w:right w:w="0" w:type="dxa"/>
                  </w:tcMar>
                  <w:vAlign w:val="center"/>
                </w:tcPr>
                <w:p w14:paraId="4245D239">
                  <w:pPr>
                    <w:jc w:val="center"/>
                    <w:rPr>
                      <w:b/>
                      <w:szCs w:val="21"/>
                    </w:rPr>
                  </w:pPr>
                  <w:r>
                    <w:rPr>
                      <w:b/>
                      <w:szCs w:val="21"/>
                    </w:rPr>
                    <w:t>检测项目</w:t>
                  </w:r>
                </w:p>
              </w:tc>
              <w:tc>
                <w:tcPr>
                  <w:tcW w:w="1809" w:type="dxa"/>
                  <w:gridSpan w:val="2"/>
                  <w:tcMar>
                    <w:top w:w="0" w:type="dxa"/>
                    <w:left w:w="0" w:type="dxa"/>
                    <w:bottom w:w="0" w:type="dxa"/>
                    <w:right w:w="0" w:type="dxa"/>
                  </w:tcMar>
                  <w:vAlign w:val="center"/>
                </w:tcPr>
                <w:p w14:paraId="1946145E">
                  <w:pPr>
                    <w:jc w:val="center"/>
                    <w:rPr>
                      <w:b/>
                      <w:szCs w:val="21"/>
                    </w:rPr>
                  </w:pPr>
                  <w:r>
                    <w:rPr>
                      <w:b/>
                      <w:szCs w:val="21"/>
                    </w:rPr>
                    <w:t>检测结果</w:t>
                  </w:r>
                </w:p>
              </w:tc>
              <w:tc>
                <w:tcPr>
                  <w:tcW w:w="1164" w:type="dxa"/>
                  <w:gridSpan w:val="2"/>
                  <w:tcMar>
                    <w:top w:w="0" w:type="dxa"/>
                    <w:left w:w="0" w:type="dxa"/>
                    <w:bottom w:w="0" w:type="dxa"/>
                    <w:right w:w="0" w:type="dxa"/>
                  </w:tcMar>
                  <w:vAlign w:val="center"/>
                </w:tcPr>
                <w:p w14:paraId="6940FC98">
                  <w:pPr>
                    <w:jc w:val="center"/>
                    <w:rPr>
                      <w:b/>
                      <w:szCs w:val="21"/>
                    </w:rPr>
                  </w:pPr>
                  <w:r>
                    <w:rPr>
                      <w:b/>
                      <w:szCs w:val="21"/>
                    </w:rPr>
                    <w:t>执行标准</w:t>
                  </w:r>
                </w:p>
              </w:tc>
              <w:tc>
                <w:tcPr>
                  <w:tcW w:w="649" w:type="dxa"/>
                  <w:vMerge w:val="restart"/>
                  <w:tcMar>
                    <w:top w:w="0" w:type="dxa"/>
                    <w:left w:w="0" w:type="dxa"/>
                    <w:bottom w:w="0" w:type="dxa"/>
                    <w:right w:w="0" w:type="dxa"/>
                  </w:tcMar>
                  <w:vAlign w:val="center"/>
                </w:tcPr>
                <w:p w14:paraId="299DF743">
                  <w:pPr>
                    <w:jc w:val="center"/>
                    <w:rPr>
                      <w:b/>
                      <w:szCs w:val="21"/>
                    </w:rPr>
                  </w:pPr>
                  <w:r>
                    <w:rPr>
                      <w:b/>
                      <w:szCs w:val="21"/>
                    </w:rPr>
                    <w:t>达标情况</w:t>
                  </w:r>
                </w:p>
              </w:tc>
            </w:tr>
            <w:tr w14:paraId="7CDAF0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5C83794C">
                  <w:pPr>
                    <w:jc w:val="center"/>
                    <w:rPr>
                      <w:b/>
                      <w:bCs/>
                      <w:szCs w:val="21"/>
                    </w:rPr>
                  </w:pPr>
                </w:p>
              </w:tc>
              <w:tc>
                <w:tcPr>
                  <w:tcW w:w="1465" w:type="dxa"/>
                  <w:vMerge w:val="continue"/>
                  <w:tcMar>
                    <w:top w:w="0" w:type="dxa"/>
                    <w:left w:w="0" w:type="dxa"/>
                    <w:bottom w:w="0" w:type="dxa"/>
                    <w:right w:w="0" w:type="dxa"/>
                  </w:tcMar>
                  <w:vAlign w:val="center"/>
                </w:tcPr>
                <w:p w14:paraId="43F6EC2E">
                  <w:pPr>
                    <w:jc w:val="center"/>
                    <w:rPr>
                      <w:b/>
                      <w:szCs w:val="21"/>
                    </w:rPr>
                  </w:pPr>
                </w:p>
              </w:tc>
              <w:tc>
                <w:tcPr>
                  <w:tcW w:w="641" w:type="dxa"/>
                  <w:vMerge w:val="continue"/>
                  <w:tcMar>
                    <w:top w:w="0" w:type="dxa"/>
                    <w:left w:w="0" w:type="dxa"/>
                    <w:bottom w:w="0" w:type="dxa"/>
                    <w:right w:w="0" w:type="dxa"/>
                  </w:tcMar>
                  <w:vAlign w:val="center"/>
                </w:tcPr>
                <w:p w14:paraId="44537D86">
                  <w:pPr>
                    <w:jc w:val="center"/>
                    <w:rPr>
                      <w:b/>
                      <w:szCs w:val="21"/>
                    </w:rPr>
                  </w:pPr>
                </w:p>
              </w:tc>
              <w:tc>
                <w:tcPr>
                  <w:tcW w:w="1744" w:type="dxa"/>
                  <w:vMerge w:val="continue"/>
                  <w:tcMar>
                    <w:top w:w="0" w:type="dxa"/>
                    <w:left w:w="0" w:type="dxa"/>
                    <w:bottom w:w="0" w:type="dxa"/>
                    <w:right w:w="0" w:type="dxa"/>
                  </w:tcMar>
                  <w:vAlign w:val="center"/>
                </w:tcPr>
                <w:p w14:paraId="0A69ADC1">
                  <w:pPr>
                    <w:jc w:val="center"/>
                    <w:rPr>
                      <w:b/>
                      <w:szCs w:val="21"/>
                    </w:rPr>
                  </w:pPr>
                </w:p>
              </w:tc>
              <w:tc>
                <w:tcPr>
                  <w:tcW w:w="851" w:type="dxa"/>
                  <w:tcMar>
                    <w:top w:w="0" w:type="dxa"/>
                    <w:left w:w="0" w:type="dxa"/>
                    <w:bottom w:w="0" w:type="dxa"/>
                    <w:right w:w="0" w:type="dxa"/>
                  </w:tcMar>
                  <w:vAlign w:val="center"/>
                </w:tcPr>
                <w:p w14:paraId="4D2435E2">
                  <w:pPr>
                    <w:adjustRightInd w:val="0"/>
                    <w:snapToGrid w:val="0"/>
                    <w:jc w:val="center"/>
                    <w:rPr>
                      <w:b/>
                      <w:szCs w:val="21"/>
                    </w:rPr>
                  </w:pPr>
                  <w:r>
                    <w:rPr>
                      <w:b/>
                      <w:szCs w:val="21"/>
                    </w:rPr>
                    <w:t>排放浓度mg/m</w:t>
                  </w:r>
                  <w:r>
                    <w:rPr>
                      <w:b/>
                      <w:szCs w:val="21"/>
                      <w:vertAlign w:val="superscript"/>
                    </w:rPr>
                    <w:t>3</w:t>
                  </w:r>
                </w:p>
              </w:tc>
              <w:tc>
                <w:tcPr>
                  <w:tcW w:w="958" w:type="dxa"/>
                  <w:tcMar>
                    <w:top w:w="0" w:type="dxa"/>
                    <w:left w:w="0" w:type="dxa"/>
                    <w:bottom w:w="0" w:type="dxa"/>
                    <w:right w:w="0" w:type="dxa"/>
                  </w:tcMar>
                  <w:vAlign w:val="center"/>
                </w:tcPr>
                <w:p w14:paraId="18D639B6">
                  <w:pPr>
                    <w:adjustRightInd w:val="0"/>
                    <w:snapToGrid w:val="0"/>
                    <w:jc w:val="center"/>
                    <w:rPr>
                      <w:b/>
                      <w:szCs w:val="21"/>
                    </w:rPr>
                  </w:pPr>
                  <w:r>
                    <w:rPr>
                      <w:b/>
                      <w:szCs w:val="21"/>
                    </w:rPr>
                    <w:t>速率kg/h</w:t>
                  </w:r>
                </w:p>
              </w:tc>
              <w:tc>
                <w:tcPr>
                  <w:tcW w:w="624" w:type="dxa"/>
                  <w:tcMar>
                    <w:top w:w="0" w:type="dxa"/>
                    <w:left w:w="0" w:type="dxa"/>
                    <w:bottom w:w="0" w:type="dxa"/>
                    <w:right w:w="0" w:type="dxa"/>
                  </w:tcMar>
                  <w:vAlign w:val="center"/>
                </w:tcPr>
                <w:p w14:paraId="6FDB6073">
                  <w:pPr>
                    <w:jc w:val="center"/>
                    <w:rPr>
                      <w:b/>
                      <w:szCs w:val="21"/>
                    </w:rPr>
                  </w:pPr>
                  <w:r>
                    <w:rPr>
                      <w:b/>
                      <w:szCs w:val="21"/>
                    </w:rPr>
                    <w:t>浓度mg/m</w:t>
                  </w:r>
                  <w:r>
                    <w:rPr>
                      <w:b/>
                      <w:szCs w:val="21"/>
                      <w:vertAlign w:val="superscript"/>
                    </w:rPr>
                    <w:t>3</w:t>
                  </w:r>
                </w:p>
              </w:tc>
              <w:tc>
                <w:tcPr>
                  <w:tcW w:w="540" w:type="dxa"/>
                  <w:tcMar>
                    <w:top w:w="0" w:type="dxa"/>
                    <w:left w:w="0" w:type="dxa"/>
                    <w:bottom w:w="0" w:type="dxa"/>
                    <w:right w:w="0" w:type="dxa"/>
                  </w:tcMar>
                  <w:vAlign w:val="center"/>
                </w:tcPr>
                <w:p w14:paraId="6DA9A5FF">
                  <w:pPr>
                    <w:jc w:val="center"/>
                    <w:rPr>
                      <w:b/>
                      <w:szCs w:val="21"/>
                    </w:rPr>
                  </w:pPr>
                  <w:r>
                    <w:rPr>
                      <w:b/>
                      <w:szCs w:val="21"/>
                    </w:rPr>
                    <w:t>速率kg/h</w:t>
                  </w:r>
                </w:p>
              </w:tc>
              <w:tc>
                <w:tcPr>
                  <w:tcW w:w="649" w:type="dxa"/>
                  <w:vMerge w:val="continue"/>
                  <w:tcMar>
                    <w:top w:w="0" w:type="dxa"/>
                    <w:left w:w="0" w:type="dxa"/>
                    <w:bottom w:w="0" w:type="dxa"/>
                    <w:right w:w="0" w:type="dxa"/>
                  </w:tcMar>
                  <w:vAlign w:val="center"/>
                </w:tcPr>
                <w:p w14:paraId="44F7F444">
                  <w:pPr>
                    <w:jc w:val="center"/>
                    <w:rPr>
                      <w:b/>
                      <w:szCs w:val="21"/>
                    </w:rPr>
                  </w:pPr>
                </w:p>
              </w:tc>
            </w:tr>
            <w:tr w14:paraId="53F7B4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restart"/>
                  <w:tcMar>
                    <w:top w:w="0" w:type="dxa"/>
                    <w:left w:w="0" w:type="dxa"/>
                    <w:bottom w:w="0" w:type="dxa"/>
                    <w:right w:w="0" w:type="dxa"/>
                  </w:tcMar>
                  <w:vAlign w:val="center"/>
                </w:tcPr>
                <w:p w14:paraId="19D4ECC7">
                  <w:pPr>
                    <w:jc w:val="center"/>
                    <w:rPr>
                      <w:bCs/>
                      <w:szCs w:val="21"/>
                    </w:rPr>
                  </w:pPr>
                  <w:r>
                    <w:rPr>
                      <w:rFonts w:hint="eastAsia"/>
                      <w:bCs/>
                      <w:szCs w:val="21"/>
                    </w:rPr>
                    <w:t>2024.11.13</w:t>
                  </w:r>
                </w:p>
              </w:tc>
              <w:tc>
                <w:tcPr>
                  <w:tcW w:w="1465" w:type="dxa"/>
                  <w:vMerge w:val="restart"/>
                  <w:tcMar>
                    <w:top w:w="0" w:type="dxa"/>
                    <w:left w:w="0" w:type="dxa"/>
                    <w:bottom w:w="0" w:type="dxa"/>
                    <w:right w:w="0" w:type="dxa"/>
                  </w:tcMar>
                  <w:vAlign w:val="center"/>
                </w:tcPr>
                <w:p w14:paraId="78F25EF9">
                  <w:pPr>
                    <w:jc w:val="center"/>
                    <w:rPr>
                      <w:bCs/>
                      <w:szCs w:val="21"/>
                    </w:rPr>
                  </w:pPr>
                  <w:r>
                    <w:rPr>
                      <w:rFonts w:hint="eastAsia"/>
                      <w:bCs/>
                      <w:szCs w:val="21"/>
                    </w:rPr>
                    <w:t>1#排气筒（出口）</w:t>
                  </w:r>
                </w:p>
              </w:tc>
              <w:tc>
                <w:tcPr>
                  <w:tcW w:w="641" w:type="dxa"/>
                  <w:vMerge w:val="restart"/>
                  <w:tcMar>
                    <w:top w:w="0" w:type="dxa"/>
                    <w:left w:w="0" w:type="dxa"/>
                    <w:bottom w:w="0" w:type="dxa"/>
                    <w:right w:w="0" w:type="dxa"/>
                  </w:tcMar>
                  <w:vAlign w:val="center"/>
                </w:tcPr>
                <w:p w14:paraId="265FC4F0">
                  <w:pPr>
                    <w:widowControl/>
                    <w:jc w:val="center"/>
                    <w:rPr>
                      <w:kern w:val="0"/>
                      <w:szCs w:val="21"/>
                    </w:rPr>
                  </w:pPr>
                  <w:r>
                    <w:rPr>
                      <w:rFonts w:hint="eastAsia"/>
                      <w:kern w:val="0"/>
                      <w:szCs w:val="21"/>
                    </w:rPr>
                    <w:t>38100</w:t>
                  </w:r>
                </w:p>
              </w:tc>
              <w:tc>
                <w:tcPr>
                  <w:tcW w:w="1744" w:type="dxa"/>
                  <w:tcMar>
                    <w:top w:w="0" w:type="dxa"/>
                    <w:left w:w="0" w:type="dxa"/>
                    <w:bottom w:w="0" w:type="dxa"/>
                    <w:right w:w="0" w:type="dxa"/>
                  </w:tcMar>
                  <w:vAlign w:val="center"/>
                </w:tcPr>
                <w:p w14:paraId="0ADFE636">
                  <w:pPr>
                    <w:widowControl/>
                    <w:jc w:val="center"/>
                    <w:rPr>
                      <w:bCs/>
                      <w:szCs w:val="21"/>
                    </w:rPr>
                  </w:pPr>
                  <w:r>
                    <w:rPr>
                      <w:kern w:val="0"/>
                      <w:szCs w:val="21"/>
                    </w:rPr>
                    <w:t>非甲烷总烃</w:t>
                  </w:r>
                </w:p>
              </w:tc>
              <w:tc>
                <w:tcPr>
                  <w:tcW w:w="851" w:type="dxa"/>
                  <w:tcMar>
                    <w:top w:w="0" w:type="dxa"/>
                    <w:left w:w="0" w:type="dxa"/>
                    <w:bottom w:w="0" w:type="dxa"/>
                    <w:right w:w="0" w:type="dxa"/>
                  </w:tcMar>
                  <w:vAlign w:val="center"/>
                </w:tcPr>
                <w:p w14:paraId="5BED8204">
                  <w:pPr>
                    <w:jc w:val="center"/>
                    <w:rPr>
                      <w:bCs/>
                      <w:szCs w:val="21"/>
                    </w:rPr>
                  </w:pPr>
                  <w:r>
                    <w:rPr>
                      <w:rFonts w:hint="eastAsia"/>
                      <w:bCs/>
                      <w:szCs w:val="21"/>
                    </w:rPr>
                    <w:t>2.60</w:t>
                  </w:r>
                </w:p>
              </w:tc>
              <w:tc>
                <w:tcPr>
                  <w:tcW w:w="958" w:type="dxa"/>
                  <w:tcMar>
                    <w:top w:w="0" w:type="dxa"/>
                    <w:left w:w="0" w:type="dxa"/>
                    <w:bottom w:w="0" w:type="dxa"/>
                    <w:right w:w="0" w:type="dxa"/>
                  </w:tcMar>
                  <w:vAlign w:val="center"/>
                </w:tcPr>
                <w:p w14:paraId="0EBC23D2">
                  <w:pPr>
                    <w:jc w:val="center"/>
                    <w:rPr>
                      <w:bCs/>
                      <w:szCs w:val="21"/>
                    </w:rPr>
                  </w:pPr>
                  <w:r>
                    <w:rPr>
                      <w:rFonts w:hint="eastAsia"/>
                      <w:bCs/>
                      <w:szCs w:val="21"/>
                    </w:rPr>
                    <w:t>0.099</w:t>
                  </w:r>
                </w:p>
              </w:tc>
              <w:tc>
                <w:tcPr>
                  <w:tcW w:w="624" w:type="dxa"/>
                  <w:tcMar>
                    <w:top w:w="0" w:type="dxa"/>
                    <w:left w:w="0" w:type="dxa"/>
                    <w:bottom w:w="0" w:type="dxa"/>
                    <w:right w:w="0" w:type="dxa"/>
                  </w:tcMar>
                  <w:vAlign w:val="center"/>
                </w:tcPr>
                <w:p w14:paraId="712DBEB6">
                  <w:pPr>
                    <w:jc w:val="center"/>
                    <w:rPr>
                      <w:bCs/>
                      <w:szCs w:val="21"/>
                    </w:rPr>
                  </w:pPr>
                  <w:r>
                    <w:rPr>
                      <w:bCs/>
                      <w:szCs w:val="21"/>
                    </w:rPr>
                    <w:t>10</w:t>
                  </w:r>
                </w:p>
              </w:tc>
              <w:tc>
                <w:tcPr>
                  <w:tcW w:w="540" w:type="dxa"/>
                  <w:tcMar>
                    <w:top w:w="0" w:type="dxa"/>
                    <w:left w:w="0" w:type="dxa"/>
                    <w:bottom w:w="0" w:type="dxa"/>
                    <w:right w:w="0" w:type="dxa"/>
                  </w:tcMar>
                  <w:vAlign w:val="center"/>
                </w:tcPr>
                <w:p w14:paraId="2BCE4353">
                  <w:pPr>
                    <w:jc w:val="center"/>
                    <w:rPr>
                      <w:bCs/>
                      <w:szCs w:val="21"/>
                    </w:rPr>
                  </w:pPr>
                  <w:r>
                    <w:rPr>
                      <w:bCs/>
                      <w:szCs w:val="21"/>
                    </w:rPr>
                    <w:t>/</w:t>
                  </w:r>
                </w:p>
              </w:tc>
              <w:tc>
                <w:tcPr>
                  <w:tcW w:w="649" w:type="dxa"/>
                  <w:tcMar>
                    <w:top w:w="0" w:type="dxa"/>
                    <w:left w:w="0" w:type="dxa"/>
                    <w:bottom w:w="0" w:type="dxa"/>
                    <w:right w:w="0" w:type="dxa"/>
                  </w:tcMar>
                  <w:vAlign w:val="center"/>
                </w:tcPr>
                <w:p w14:paraId="64A161AF">
                  <w:pPr>
                    <w:jc w:val="center"/>
                    <w:rPr>
                      <w:bCs/>
                      <w:szCs w:val="21"/>
                    </w:rPr>
                  </w:pPr>
                  <w:r>
                    <w:rPr>
                      <w:bCs/>
                      <w:szCs w:val="21"/>
                    </w:rPr>
                    <w:t>达标</w:t>
                  </w:r>
                </w:p>
              </w:tc>
            </w:tr>
            <w:tr w14:paraId="002E0D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261DECE2">
                  <w:pPr>
                    <w:jc w:val="center"/>
                    <w:rPr>
                      <w:bCs/>
                      <w:szCs w:val="21"/>
                    </w:rPr>
                  </w:pPr>
                </w:p>
              </w:tc>
              <w:tc>
                <w:tcPr>
                  <w:tcW w:w="1465" w:type="dxa"/>
                  <w:vMerge w:val="continue"/>
                  <w:tcMar>
                    <w:top w:w="0" w:type="dxa"/>
                    <w:left w:w="0" w:type="dxa"/>
                    <w:bottom w:w="0" w:type="dxa"/>
                    <w:right w:w="0" w:type="dxa"/>
                  </w:tcMar>
                  <w:vAlign w:val="center"/>
                </w:tcPr>
                <w:p w14:paraId="174EFE4A">
                  <w:pPr>
                    <w:jc w:val="center"/>
                    <w:rPr>
                      <w:bCs/>
                      <w:szCs w:val="21"/>
                    </w:rPr>
                  </w:pPr>
                </w:p>
              </w:tc>
              <w:tc>
                <w:tcPr>
                  <w:tcW w:w="641" w:type="dxa"/>
                  <w:vMerge w:val="continue"/>
                  <w:tcMar>
                    <w:top w:w="0" w:type="dxa"/>
                    <w:left w:w="0" w:type="dxa"/>
                    <w:bottom w:w="0" w:type="dxa"/>
                    <w:right w:w="0" w:type="dxa"/>
                  </w:tcMar>
                  <w:vAlign w:val="center"/>
                </w:tcPr>
                <w:p w14:paraId="38746EC8">
                  <w:pPr>
                    <w:widowControl/>
                    <w:jc w:val="center"/>
                    <w:rPr>
                      <w:kern w:val="0"/>
                      <w:szCs w:val="21"/>
                    </w:rPr>
                  </w:pPr>
                </w:p>
              </w:tc>
              <w:tc>
                <w:tcPr>
                  <w:tcW w:w="1744" w:type="dxa"/>
                  <w:tcMar>
                    <w:top w:w="0" w:type="dxa"/>
                    <w:left w:w="0" w:type="dxa"/>
                    <w:bottom w:w="0" w:type="dxa"/>
                    <w:right w:w="0" w:type="dxa"/>
                  </w:tcMar>
                  <w:vAlign w:val="center"/>
                </w:tcPr>
                <w:p w14:paraId="039D67E3">
                  <w:pPr>
                    <w:widowControl/>
                    <w:jc w:val="center"/>
                    <w:rPr>
                      <w:kern w:val="0"/>
                      <w:szCs w:val="21"/>
                    </w:rPr>
                  </w:pPr>
                  <w:r>
                    <w:rPr>
                      <w:rFonts w:hint="eastAsia"/>
                      <w:kern w:val="0"/>
                      <w:szCs w:val="21"/>
                    </w:rPr>
                    <w:t>臭气浓度（无量纲）</w:t>
                  </w:r>
                </w:p>
              </w:tc>
              <w:tc>
                <w:tcPr>
                  <w:tcW w:w="851" w:type="dxa"/>
                  <w:tcMar>
                    <w:top w:w="0" w:type="dxa"/>
                    <w:left w:w="0" w:type="dxa"/>
                    <w:bottom w:w="0" w:type="dxa"/>
                    <w:right w:w="0" w:type="dxa"/>
                  </w:tcMar>
                  <w:vAlign w:val="center"/>
                </w:tcPr>
                <w:p w14:paraId="75335587">
                  <w:pPr>
                    <w:jc w:val="center"/>
                    <w:rPr>
                      <w:bCs/>
                      <w:szCs w:val="21"/>
                    </w:rPr>
                  </w:pPr>
                  <w:r>
                    <w:rPr>
                      <w:rFonts w:hint="eastAsia"/>
                      <w:bCs/>
                      <w:szCs w:val="21"/>
                    </w:rPr>
                    <w:t>309</w:t>
                  </w:r>
                </w:p>
              </w:tc>
              <w:tc>
                <w:tcPr>
                  <w:tcW w:w="958" w:type="dxa"/>
                  <w:tcMar>
                    <w:top w:w="0" w:type="dxa"/>
                    <w:left w:w="0" w:type="dxa"/>
                    <w:bottom w:w="0" w:type="dxa"/>
                    <w:right w:w="0" w:type="dxa"/>
                  </w:tcMar>
                  <w:vAlign w:val="center"/>
                </w:tcPr>
                <w:p w14:paraId="74B419F9">
                  <w:pPr>
                    <w:jc w:val="center"/>
                    <w:rPr>
                      <w:bCs/>
                      <w:szCs w:val="21"/>
                    </w:rPr>
                  </w:pPr>
                  <w:r>
                    <w:rPr>
                      <w:bCs/>
                      <w:szCs w:val="21"/>
                    </w:rPr>
                    <w:t>/</w:t>
                  </w:r>
                </w:p>
              </w:tc>
              <w:tc>
                <w:tcPr>
                  <w:tcW w:w="624" w:type="dxa"/>
                  <w:tcMar>
                    <w:top w:w="0" w:type="dxa"/>
                    <w:left w:w="0" w:type="dxa"/>
                    <w:bottom w:w="0" w:type="dxa"/>
                    <w:right w:w="0" w:type="dxa"/>
                  </w:tcMar>
                  <w:vAlign w:val="center"/>
                </w:tcPr>
                <w:p w14:paraId="28766D16">
                  <w:pPr>
                    <w:jc w:val="center"/>
                    <w:rPr>
                      <w:bCs/>
                      <w:szCs w:val="21"/>
                    </w:rPr>
                  </w:pPr>
                  <w:r>
                    <w:rPr>
                      <w:rFonts w:hint="eastAsia"/>
                      <w:bCs/>
                      <w:szCs w:val="21"/>
                    </w:rPr>
                    <w:t>2000</w:t>
                  </w:r>
                </w:p>
              </w:tc>
              <w:tc>
                <w:tcPr>
                  <w:tcW w:w="540" w:type="dxa"/>
                  <w:tcMar>
                    <w:top w:w="0" w:type="dxa"/>
                    <w:left w:w="0" w:type="dxa"/>
                    <w:bottom w:w="0" w:type="dxa"/>
                    <w:right w:w="0" w:type="dxa"/>
                  </w:tcMar>
                  <w:vAlign w:val="center"/>
                </w:tcPr>
                <w:p w14:paraId="50EDA212">
                  <w:pPr>
                    <w:jc w:val="center"/>
                    <w:rPr>
                      <w:bCs/>
                      <w:szCs w:val="21"/>
                    </w:rPr>
                  </w:pPr>
                  <w:r>
                    <w:rPr>
                      <w:bCs/>
                      <w:szCs w:val="21"/>
                    </w:rPr>
                    <w:t>/</w:t>
                  </w:r>
                </w:p>
              </w:tc>
              <w:tc>
                <w:tcPr>
                  <w:tcW w:w="649" w:type="dxa"/>
                  <w:tcMar>
                    <w:top w:w="0" w:type="dxa"/>
                    <w:left w:w="0" w:type="dxa"/>
                    <w:bottom w:w="0" w:type="dxa"/>
                    <w:right w:w="0" w:type="dxa"/>
                  </w:tcMar>
                  <w:vAlign w:val="center"/>
                </w:tcPr>
                <w:p w14:paraId="554B1A6C">
                  <w:pPr>
                    <w:jc w:val="center"/>
                    <w:rPr>
                      <w:bCs/>
                      <w:szCs w:val="21"/>
                    </w:rPr>
                  </w:pPr>
                  <w:r>
                    <w:rPr>
                      <w:bCs/>
                      <w:szCs w:val="21"/>
                    </w:rPr>
                    <w:t>达标</w:t>
                  </w:r>
                </w:p>
              </w:tc>
            </w:tr>
            <w:tr w14:paraId="607712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304C1280">
                  <w:pPr>
                    <w:jc w:val="center"/>
                    <w:rPr>
                      <w:bCs/>
                      <w:szCs w:val="21"/>
                    </w:rPr>
                  </w:pPr>
                </w:p>
              </w:tc>
              <w:tc>
                <w:tcPr>
                  <w:tcW w:w="1465" w:type="dxa"/>
                  <w:vMerge w:val="continue"/>
                  <w:tcMar>
                    <w:top w:w="0" w:type="dxa"/>
                    <w:left w:w="0" w:type="dxa"/>
                    <w:bottom w:w="0" w:type="dxa"/>
                    <w:right w:w="0" w:type="dxa"/>
                  </w:tcMar>
                  <w:vAlign w:val="center"/>
                </w:tcPr>
                <w:p w14:paraId="24C1C5FE">
                  <w:pPr>
                    <w:jc w:val="center"/>
                    <w:rPr>
                      <w:bCs/>
                      <w:szCs w:val="21"/>
                    </w:rPr>
                  </w:pPr>
                </w:p>
              </w:tc>
              <w:tc>
                <w:tcPr>
                  <w:tcW w:w="641" w:type="dxa"/>
                  <w:vMerge w:val="continue"/>
                  <w:tcMar>
                    <w:top w:w="0" w:type="dxa"/>
                    <w:left w:w="0" w:type="dxa"/>
                    <w:bottom w:w="0" w:type="dxa"/>
                    <w:right w:w="0" w:type="dxa"/>
                  </w:tcMar>
                  <w:vAlign w:val="center"/>
                </w:tcPr>
                <w:p w14:paraId="77EF4322">
                  <w:pPr>
                    <w:widowControl/>
                    <w:jc w:val="center"/>
                    <w:rPr>
                      <w:kern w:val="0"/>
                      <w:szCs w:val="21"/>
                    </w:rPr>
                  </w:pPr>
                </w:p>
              </w:tc>
              <w:tc>
                <w:tcPr>
                  <w:tcW w:w="1744" w:type="dxa"/>
                  <w:tcMar>
                    <w:top w:w="0" w:type="dxa"/>
                    <w:left w:w="0" w:type="dxa"/>
                    <w:bottom w:w="0" w:type="dxa"/>
                    <w:right w:w="0" w:type="dxa"/>
                  </w:tcMar>
                  <w:vAlign w:val="center"/>
                </w:tcPr>
                <w:p w14:paraId="2E636690">
                  <w:pPr>
                    <w:widowControl/>
                    <w:jc w:val="center"/>
                    <w:rPr>
                      <w:kern w:val="0"/>
                      <w:szCs w:val="21"/>
                    </w:rPr>
                  </w:pPr>
                  <w:r>
                    <w:rPr>
                      <w:rFonts w:hint="eastAsia"/>
                      <w:kern w:val="0"/>
                      <w:szCs w:val="21"/>
                    </w:rPr>
                    <w:t>氟化物</w:t>
                  </w:r>
                </w:p>
              </w:tc>
              <w:tc>
                <w:tcPr>
                  <w:tcW w:w="851" w:type="dxa"/>
                  <w:tcMar>
                    <w:top w:w="0" w:type="dxa"/>
                    <w:left w:w="0" w:type="dxa"/>
                    <w:bottom w:w="0" w:type="dxa"/>
                    <w:right w:w="0" w:type="dxa"/>
                  </w:tcMar>
                  <w:vAlign w:val="center"/>
                </w:tcPr>
                <w:p w14:paraId="0B90E491">
                  <w:pPr>
                    <w:jc w:val="center"/>
                    <w:rPr>
                      <w:bCs/>
                      <w:szCs w:val="21"/>
                    </w:rPr>
                  </w:pPr>
                  <w:r>
                    <w:rPr>
                      <w:rFonts w:hint="eastAsia"/>
                      <w:bCs/>
                      <w:szCs w:val="21"/>
                    </w:rPr>
                    <w:t>ND</w:t>
                  </w:r>
                </w:p>
              </w:tc>
              <w:tc>
                <w:tcPr>
                  <w:tcW w:w="958" w:type="dxa"/>
                  <w:tcMar>
                    <w:top w:w="0" w:type="dxa"/>
                    <w:left w:w="0" w:type="dxa"/>
                    <w:bottom w:w="0" w:type="dxa"/>
                    <w:right w:w="0" w:type="dxa"/>
                  </w:tcMar>
                  <w:vAlign w:val="center"/>
                </w:tcPr>
                <w:p w14:paraId="4891F251">
                  <w:pPr>
                    <w:jc w:val="center"/>
                    <w:rPr>
                      <w:bCs/>
                      <w:szCs w:val="21"/>
                    </w:rPr>
                  </w:pPr>
                  <w:r>
                    <w:rPr>
                      <w:bCs/>
                      <w:szCs w:val="21"/>
                    </w:rPr>
                    <w:t>/</w:t>
                  </w:r>
                </w:p>
              </w:tc>
              <w:tc>
                <w:tcPr>
                  <w:tcW w:w="624" w:type="dxa"/>
                  <w:tcMar>
                    <w:top w:w="0" w:type="dxa"/>
                    <w:left w:w="0" w:type="dxa"/>
                    <w:bottom w:w="0" w:type="dxa"/>
                    <w:right w:w="0" w:type="dxa"/>
                  </w:tcMar>
                  <w:vAlign w:val="center"/>
                </w:tcPr>
                <w:p w14:paraId="1C3AD34E">
                  <w:pPr>
                    <w:jc w:val="center"/>
                    <w:rPr>
                      <w:bCs/>
                      <w:szCs w:val="21"/>
                    </w:rPr>
                  </w:pPr>
                  <w:r>
                    <w:rPr>
                      <w:rFonts w:hint="eastAsia"/>
                      <w:bCs/>
                      <w:szCs w:val="21"/>
                    </w:rPr>
                    <w:t>3</w:t>
                  </w:r>
                </w:p>
              </w:tc>
              <w:tc>
                <w:tcPr>
                  <w:tcW w:w="540" w:type="dxa"/>
                  <w:tcMar>
                    <w:top w:w="0" w:type="dxa"/>
                    <w:left w:w="0" w:type="dxa"/>
                    <w:bottom w:w="0" w:type="dxa"/>
                    <w:right w:w="0" w:type="dxa"/>
                  </w:tcMar>
                  <w:vAlign w:val="center"/>
                </w:tcPr>
                <w:p w14:paraId="0298F147">
                  <w:pPr>
                    <w:jc w:val="center"/>
                    <w:rPr>
                      <w:bCs/>
                      <w:szCs w:val="21"/>
                    </w:rPr>
                  </w:pPr>
                  <w:r>
                    <w:rPr>
                      <w:rFonts w:hint="eastAsia"/>
                      <w:bCs/>
                      <w:szCs w:val="21"/>
                    </w:rPr>
                    <w:t>0.072</w:t>
                  </w:r>
                </w:p>
              </w:tc>
              <w:tc>
                <w:tcPr>
                  <w:tcW w:w="649" w:type="dxa"/>
                  <w:tcMar>
                    <w:top w:w="0" w:type="dxa"/>
                    <w:left w:w="0" w:type="dxa"/>
                    <w:bottom w:w="0" w:type="dxa"/>
                    <w:right w:w="0" w:type="dxa"/>
                  </w:tcMar>
                  <w:vAlign w:val="center"/>
                </w:tcPr>
                <w:p w14:paraId="53D8956D">
                  <w:pPr>
                    <w:jc w:val="center"/>
                    <w:rPr>
                      <w:bCs/>
                      <w:szCs w:val="21"/>
                    </w:rPr>
                  </w:pPr>
                  <w:r>
                    <w:rPr>
                      <w:bCs/>
                      <w:szCs w:val="21"/>
                    </w:rPr>
                    <w:t>达标</w:t>
                  </w:r>
                </w:p>
              </w:tc>
            </w:tr>
            <w:tr w14:paraId="4C1E8F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3AA368C3">
                  <w:pPr>
                    <w:jc w:val="center"/>
                    <w:rPr>
                      <w:bCs/>
                      <w:szCs w:val="21"/>
                    </w:rPr>
                  </w:pPr>
                </w:p>
              </w:tc>
              <w:tc>
                <w:tcPr>
                  <w:tcW w:w="1465" w:type="dxa"/>
                  <w:vMerge w:val="continue"/>
                  <w:tcMar>
                    <w:top w:w="0" w:type="dxa"/>
                    <w:left w:w="0" w:type="dxa"/>
                    <w:bottom w:w="0" w:type="dxa"/>
                    <w:right w:w="0" w:type="dxa"/>
                  </w:tcMar>
                  <w:vAlign w:val="center"/>
                </w:tcPr>
                <w:p w14:paraId="42A077AE">
                  <w:pPr>
                    <w:jc w:val="center"/>
                    <w:rPr>
                      <w:bCs/>
                      <w:szCs w:val="21"/>
                    </w:rPr>
                  </w:pPr>
                </w:p>
              </w:tc>
              <w:tc>
                <w:tcPr>
                  <w:tcW w:w="641" w:type="dxa"/>
                  <w:vMerge w:val="continue"/>
                  <w:tcMar>
                    <w:top w:w="0" w:type="dxa"/>
                    <w:left w:w="0" w:type="dxa"/>
                    <w:bottom w:w="0" w:type="dxa"/>
                    <w:right w:w="0" w:type="dxa"/>
                  </w:tcMar>
                  <w:vAlign w:val="center"/>
                </w:tcPr>
                <w:p w14:paraId="7E35DDB1">
                  <w:pPr>
                    <w:widowControl/>
                    <w:jc w:val="center"/>
                    <w:rPr>
                      <w:kern w:val="0"/>
                      <w:szCs w:val="21"/>
                    </w:rPr>
                  </w:pPr>
                </w:p>
              </w:tc>
              <w:tc>
                <w:tcPr>
                  <w:tcW w:w="1744" w:type="dxa"/>
                  <w:tcMar>
                    <w:top w:w="0" w:type="dxa"/>
                    <w:left w:w="0" w:type="dxa"/>
                    <w:bottom w:w="0" w:type="dxa"/>
                    <w:right w:w="0" w:type="dxa"/>
                  </w:tcMar>
                  <w:vAlign w:val="center"/>
                </w:tcPr>
                <w:p w14:paraId="746A5F34">
                  <w:pPr>
                    <w:widowControl/>
                    <w:jc w:val="center"/>
                    <w:rPr>
                      <w:kern w:val="0"/>
                      <w:szCs w:val="21"/>
                    </w:rPr>
                  </w:pPr>
                  <w:r>
                    <w:rPr>
                      <w:kern w:val="0"/>
                      <w:szCs w:val="21"/>
                    </w:rPr>
                    <w:t>VOCs</w:t>
                  </w:r>
                </w:p>
              </w:tc>
              <w:tc>
                <w:tcPr>
                  <w:tcW w:w="851" w:type="dxa"/>
                  <w:tcMar>
                    <w:top w:w="0" w:type="dxa"/>
                    <w:left w:w="0" w:type="dxa"/>
                    <w:bottom w:w="0" w:type="dxa"/>
                    <w:right w:w="0" w:type="dxa"/>
                  </w:tcMar>
                  <w:vAlign w:val="center"/>
                </w:tcPr>
                <w:p w14:paraId="5C1A889E">
                  <w:pPr>
                    <w:jc w:val="center"/>
                    <w:rPr>
                      <w:bCs/>
                      <w:szCs w:val="21"/>
                    </w:rPr>
                  </w:pPr>
                  <w:r>
                    <w:rPr>
                      <w:rFonts w:hint="eastAsia"/>
                      <w:bCs/>
                      <w:szCs w:val="21"/>
                    </w:rPr>
                    <w:t>0.231</w:t>
                  </w:r>
                </w:p>
              </w:tc>
              <w:tc>
                <w:tcPr>
                  <w:tcW w:w="958" w:type="dxa"/>
                  <w:tcMar>
                    <w:top w:w="0" w:type="dxa"/>
                    <w:left w:w="0" w:type="dxa"/>
                    <w:bottom w:w="0" w:type="dxa"/>
                    <w:right w:w="0" w:type="dxa"/>
                  </w:tcMar>
                  <w:vAlign w:val="center"/>
                </w:tcPr>
                <w:p w14:paraId="11C68657">
                  <w:pPr>
                    <w:jc w:val="center"/>
                    <w:rPr>
                      <w:bCs/>
                      <w:szCs w:val="21"/>
                    </w:rPr>
                  </w:pPr>
                  <w:r>
                    <w:rPr>
                      <w:rFonts w:hint="eastAsia"/>
                      <w:bCs/>
                      <w:szCs w:val="21"/>
                    </w:rPr>
                    <w:t>0.0088</w:t>
                  </w:r>
                </w:p>
              </w:tc>
              <w:tc>
                <w:tcPr>
                  <w:tcW w:w="624" w:type="dxa"/>
                  <w:tcMar>
                    <w:top w:w="0" w:type="dxa"/>
                    <w:left w:w="0" w:type="dxa"/>
                    <w:bottom w:w="0" w:type="dxa"/>
                    <w:right w:w="0" w:type="dxa"/>
                  </w:tcMar>
                  <w:vAlign w:val="center"/>
                </w:tcPr>
                <w:p w14:paraId="181074BE">
                  <w:pPr>
                    <w:jc w:val="center"/>
                    <w:rPr>
                      <w:bCs/>
                      <w:szCs w:val="21"/>
                    </w:rPr>
                  </w:pPr>
                  <w:r>
                    <w:rPr>
                      <w:bCs/>
                      <w:szCs w:val="21"/>
                    </w:rPr>
                    <w:t>10</w:t>
                  </w:r>
                </w:p>
              </w:tc>
              <w:tc>
                <w:tcPr>
                  <w:tcW w:w="540" w:type="dxa"/>
                  <w:tcMar>
                    <w:top w:w="0" w:type="dxa"/>
                    <w:left w:w="0" w:type="dxa"/>
                    <w:bottom w:w="0" w:type="dxa"/>
                    <w:right w:w="0" w:type="dxa"/>
                  </w:tcMar>
                  <w:vAlign w:val="center"/>
                </w:tcPr>
                <w:p w14:paraId="6DA2768C">
                  <w:pPr>
                    <w:jc w:val="center"/>
                    <w:rPr>
                      <w:bCs/>
                      <w:szCs w:val="21"/>
                    </w:rPr>
                  </w:pPr>
                  <w:r>
                    <w:rPr>
                      <w:bCs/>
                      <w:szCs w:val="21"/>
                    </w:rPr>
                    <w:t>1.0</w:t>
                  </w:r>
                </w:p>
              </w:tc>
              <w:tc>
                <w:tcPr>
                  <w:tcW w:w="649" w:type="dxa"/>
                  <w:tcMar>
                    <w:top w:w="0" w:type="dxa"/>
                    <w:left w:w="0" w:type="dxa"/>
                    <w:bottom w:w="0" w:type="dxa"/>
                    <w:right w:w="0" w:type="dxa"/>
                  </w:tcMar>
                  <w:vAlign w:val="center"/>
                </w:tcPr>
                <w:p w14:paraId="7816AF9C">
                  <w:pPr>
                    <w:jc w:val="center"/>
                    <w:rPr>
                      <w:bCs/>
                      <w:szCs w:val="21"/>
                    </w:rPr>
                  </w:pPr>
                  <w:r>
                    <w:rPr>
                      <w:bCs/>
                      <w:szCs w:val="21"/>
                    </w:rPr>
                    <w:t>达标</w:t>
                  </w:r>
                </w:p>
              </w:tc>
            </w:tr>
            <w:tr w14:paraId="0B373E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28BEDA31">
                  <w:pPr>
                    <w:jc w:val="center"/>
                    <w:rPr>
                      <w:bCs/>
                      <w:szCs w:val="21"/>
                    </w:rPr>
                  </w:pPr>
                </w:p>
              </w:tc>
              <w:tc>
                <w:tcPr>
                  <w:tcW w:w="1465" w:type="dxa"/>
                  <w:vMerge w:val="continue"/>
                  <w:tcMar>
                    <w:top w:w="0" w:type="dxa"/>
                    <w:left w:w="0" w:type="dxa"/>
                    <w:bottom w:w="0" w:type="dxa"/>
                    <w:right w:w="0" w:type="dxa"/>
                  </w:tcMar>
                  <w:vAlign w:val="center"/>
                </w:tcPr>
                <w:p w14:paraId="1F7E53D0">
                  <w:pPr>
                    <w:jc w:val="center"/>
                    <w:rPr>
                      <w:bCs/>
                      <w:szCs w:val="21"/>
                    </w:rPr>
                  </w:pPr>
                </w:p>
              </w:tc>
              <w:tc>
                <w:tcPr>
                  <w:tcW w:w="641" w:type="dxa"/>
                  <w:vMerge w:val="continue"/>
                  <w:tcMar>
                    <w:top w:w="0" w:type="dxa"/>
                    <w:left w:w="0" w:type="dxa"/>
                    <w:bottom w:w="0" w:type="dxa"/>
                    <w:right w:w="0" w:type="dxa"/>
                  </w:tcMar>
                  <w:vAlign w:val="center"/>
                </w:tcPr>
                <w:p w14:paraId="08AF1163">
                  <w:pPr>
                    <w:widowControl/>
                    <w:jc w:val="center"/>
                    <w:rPr>
                      <w:kern w:val="0"/>
                      <w:szCs w:val="21"/>
                    </w:rPr>
                  </w:pPr>
                </w:p>
              </w:tc>
              <w:tc>
                <w:tcPr>
                  <w:tcW w:w="1744" w:type="dxa"/>
                  <w:tcMar>
                    <w:top w:w="0" w:type="dxa"/>
                    <w:left w:w="0" w:type="dxa"/>
                    <w:bottom w:w="0" w:type="dxa"/>
                    <w:right w:w="0" w:type="dxa"/>
                  </w:tcMar>
                  <w:vAlign w:val="center"/>
                </w:tcPr>
                <w:p w14:paraId="29DFB7C9">
                  <w:pPr>
                    <w:widowControl/>
                    <w:jc w:val="center"/>
                    <w:rPr>
                      <w:kern w:val="0"/>
                      <w:szCs w:val="21"/>
                    </w:rPr>
                  </w:pPr>
                  <w:r>
                    <w:rPr>
                      <w:kern w:val="0"/>
                      <w:szCs w:val="21"/>
                    </w:rPr>
                    <w:t>H</w:t>
                  </w:r>
                  <w:r>
                    <w:rPr>
                      <w:kern w:val="0"/>
                      <w:szCs w:val="21"/>
                      <w:vertAlign w:val="subscript"/>
                    </w:rPr>
                    <w:t>2</w:t>
                  </w:r>
                  <w:r>
                    <w:rPr>
                      <w:kern w:val="0"/>
                      <w:szCs w:val="21"/>
                    </w:rPr>
                    <w:t>S</w:t>
                  </w:r>
                </w:p>
              </w:tc>
              <w:tc>
                <w:tcPr>
                  <w:tcW w:w="851" w:type="dxa"/>
                  <w:tcMar>
                    <w:top w:w="0" w:type="dxa"/>
                    <w:left w:w="0" w:type="dxa"/>
                    <w:bottom w:w="0" w:type="dxa"/>
                    <w:right w:w="0" w:type="dxa"/>
                  </w:tcMar>
                  <w:vAlign w:val="center"/>
                </w:tcPr>
                <w:p w14:paraId="7BD51538">
                  <w:pPr>
                    <w:jc w:val="center"/>
                    <w:rPr>
                      <w:bCs/>
                      <w:szCs w:val="21"/>
                    </w:rPr>
                  </w:pPr>
                  <w:r>
                    <w:rPr>
                      <w:rFonts w:hint="eastAsia"/>
                      <w:bCs/>
                      <w:szCs w:val="21"/>
                    </w:rPr>
                    <w:t>0.002</w:t>
                  </w:r>
                </w:p>
              </w:tc>
              <w:tc>
                <w:tcPr>
                  <w:tcW w:w="958" w:type="dxa"/>
                  <w:tcMar>
                    <w:top w:w="0" w:type="dxa"/>
                    <w:left w:w="0" w:type="dxa"/>
                    <w:bottom w:w="0" w:type="dxa"/>
                    <w:right w:w="0" w:type="dxa"/>
                  </w:tcMar>
                  <w:vAlign w:val="center"/>
                </w:tcPr>
                <w:p w14:paraId="4F37BD65">
                  <w:pPr>
                    <w:jc w:val="center"/>
                    <w:rPr>
                      <w:bCs/>
                      <w:szCs w:val="21"/>
                    </w:rPr>
                  </w:pPr>
                  <w:r>
                    <w:rPr>
                      <w:rFonts w:hint="eastAsia"/>
                      <w:bCs/>
                      <w:szCs w:val="21"/>
                    </w:rPr>
                    <w:t>0.0000762</w:t>
                  </w:r>
                </w:p>
              </w:tc>
              <w:tc>
                <w:tcPr>
                  <w:tcW w:w="624" w:type="dxa"/>
                  <w:tcMar>
                    <w:top w:w="0" w:type="dxa"/>
                    <w:left w:w="0" w:type="dxa"/>
                    <w:bottom w:w="0" w:type="dxa"/>
                    <w:right w:w="0" w:type="dxa"/>
                  </w:tcMar>
                  <w:vAlign w:val="center"/>
                </w:tcPr>
                <w:p w14:paraId="1B668530">
                  <w:pPr>
                    <w:jc w:val="center"/>
                    <w:rPr>
                      <w:bCs/>
                      <w:szCs w:val="21"/>
                    </w:rPr>
                  </w:pPr>
                  <w:r>
                    <w:rPr>
                      <w:bCs/>
                      <w:szCs w:val="21"/>
                    </w:rPr>
                    <w:t>/</w:t>
                  </w:r>
                </w:p>
              </w:tc>
              <w:tc>
                <w:tcPr>
                  <w:tcW w:w="540" w:type="dxa"/>
                  <w:tcMar>
                    <w:top w:w="0" w:type="dxa"/>
                    <w:left w:w="0" w:type="dxa"/>
                    <w:bottom w:w="0" w:type="dxa"/>
                    <w:right w:w="0" w:type="dxa"/>
                  </w:tcMar>
                  <w:vAlign w:val="center"/>
                </w:tcPr>
                <w:p w14:paraId="00317AE6">
                  <w:pPr>
                    <w:jc w:val="center"/>
                    <w:rPr>
                      <w:bCs/>
                      <w:szCs w:val="21"/>
                    </w:rPr>
                  </w:pPr>
                  <w:r>
                    <w:rPr>
                      <w:bCs/>
                      <w:szCs w:val="21"/>
                    </w:rPr>
                    <w:t>0.33</w:t>
                  </w:r>
                </w:p>
              </w:tc>
              <w:tc>
                <w:tcPr>
                  <w:tcW w:w="649" w:type="dxa"/>
                  <w:tcMar>
                    <w:top w:w="0" w:type="dxa"/>
                    <w:left w:w="0" w:type="dxa"/>
                    <w:bottom w:w="0" w:type="dxa"/>
                    <w:right w:w="0" w:type="dxa"/>
                  </w:tcMar>
                  <w:vAlign w:val="center"/>
                </w:tcPr>
                <w:p w14:paraId="329B26A4">
                  <w:pPr>
                    <w:jc w:val="center"/>
                    <w:rPr>
                      <w:bCs/>
                      <w:szCs w:val="21"/>
                    </w:rPr>
                  </w:pPr>
                  <w:r>
                    <w:rPr>
                      <w:bCs/>
                      <w:szCs w:val="21"/>
                    </w:rPr>
                    <w:t>达标</w:t>
                  </w:r>
                </w:p>
              </w:tc>
            </w:tr>
            <w:tr w14:paraId="2D0763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2BB163E7">
                  <w:pPr>
                    <w:jc w:val="center"/>
                    <w:rPr>
                      <w:bCs/>
                      <w:szCs w:val="21"/>
                    </w:rPr>
                  </w:pPr>
                </w:p>
              </w:tc>
              <w:tc>
                <w:tcPr>
                  <w:tcW w:w="1465" w:type="dxa"/>
                  <w:vMerge w:val="restart"/>
                  <w:tcMar>
                    <w:top w:w="0" w:type="dxa"/>
                    <w:left w:w="0" w:type="dxa"/>
                    <w:bottom w:w="0" w:type="dxa"/>
                    <w:right w:w="0" w:type="dxa"/>
                  </w:tcMar>
                  <w:vAlign w:val="center"/>
                </w:tcPr>
                <w:p w14:paraId="03CED1DC">
                  <w:pPr>
                    <w:jc w:val="center"/>
                    <w:rPr>
                      <w:bCs/>
                      <w:szCs w:val="21"/>
                    </w:rPr>
                  </w:pPr>
                  <w:r>
                    <w:rPr>
                      <w:rFonts w:hint="eastAsia"/>
                      <w:bCs/>
                      <w:szCs w:val="21"/>
                    </w:rPr>
                    <w:t>2#排气筒出口</w:t>
                  </w:r>
                </w:p>
              </w:tc>
              <w:tc>
                <w:tcPr>
                  <w:tcW w:w="641" w:type="dxa"/>
                  <w:vMerge w:val="restart"/>
                  <w:tcMar>
                    <w:top w:w="0" w:type="dxa"/>
                    <w:left w:w="0" w:type="dxa"/>
                    <w:bottom w:w="0" w:type="dxa"/>
                    <w:right w:w="0" w:type="dxa"/>
                  </w:tcMar>
                  <w:vAlign w:val="center"/>
                </w:tcPr>
                <w:p w14:paraId="03483D75">
                  <w:pPr>
                    <w:widowControl/>
                    <w:jc w:val="center"/>
                    <w:rPr>
                      <w:kern w:val="0"/>
                      <w:szCs w:val="21"/>
                    </w:rPr>
                  </w:pPr>
                  <w:r>
                    <w:rPr>
                      <w:rFonts w:hint="eastAsia"/>
                      <w:kern w:val="0"/>
                      <w:szCs w:val="21"/>
                    </w:rPr>
                    <w:t>18600</w:t>
                  </w:r>
                </w:p>
              </w:tc>
              <w:tc>
                <w:tcPr>
                  <w:tcW w:w="1744" w:type="dxa"/>
                  <w:tcMar>
                    <w:top w:w="0" w:type="dxa"/>
                    <w:left w:w="0" w:type="dxa"/>
                    <w:bottom w:w="0" w:type="dxa"/>
                    <w:right w:w="0" w:type="dxa"/>
                  </w:tcMar>
                  <w:vAlign w:val="center"/>
                </w:tcPr>
                <w:p w14:paraId="7C118C28">
                  <w:pPr>
                    <w:widowControl/>
                    <w:jc w:val="center"/>
                    <w:rPr>
                      <w:kern w:val="0"/>
                      <w:szCs w:val="21"/>
                    </w:rPr>
                  </w:pPr>
                  <w:r>
                    <w:rPr>
                      <w:kern w:val="0"/>
                      <w:szCs w:val="21"/>
                    </w:rPr>
                    <w:t>非甲烷总烃</w:t>
                  </w:r>
                </w:p>
              </w:tc>
              <w:tc>
                <w:tcPr>
                  <w:tcW w:w="851" w:type="dxa"/>
                  <w:tcMar>
                    <w:top w:w="0" w:type="dxa"/>
                    <w:left w:w="0" w:type="dxa"/>
                    <w:bottom w:w="0" w:type="dxa"/>
                    <w:right w:w="0" w:type="dxa"/>
                  </w:tcMar>
                  <w:vAlign w:val="center"/>
                </w:tcPr>
                <w:p w14:paraId="601E7DBE">
                  <w:pPr>
                    <w:jc w:val="center"/>
                    <w:rPr>
                      <w:bCs/>
                      <w:szCs w:val="21"/>
                    </w:rPr>
                  </w:pPr>
                  <w:r>
                    <w:rPr>
                      <w:rFonts w:hint="eastAsia"/>
                      <w:bCs/>
                      <w:szCs w:val="21"/>
                    </w:rPr>
                    <w:t>1.43</w:t>
                  </w:r>
                </w:p>
              </w:tc>
              <w:tc>
                <w:tcPr>
                  <w:tcW w:w="958" w:type="dxa"/>
                  <w:tcMar>
                    <w:top w:w="0" w:type="dxa"/>
                    <w:left w:w="0" w:type="dxa"/>
                    <w:bottom w:w="0" w:type="dxa"/>
                    <w:right w:w="0" w:type="dxa"/>
                  </w:tcMar>
                  <w:vAlign w:val="center"/>
                </w:tcPr>
                <w:p w14:paraId="072CCD56">
                  <w:pPr>
                    <w:jc w:val="center"/>
                    <w:rPr>
                      <w:bCs/>
                      <w:szCs w:val="21"/>
                    </w:rPr>
                  </w:pPr>
                  <w:r>
                    <w:rPr>
                      <w:rFonts w:hint="eastAsia"/>
                      <w:bCs/>
                      <w:szCs w:val="21"/>
                    </w:rPr>
                    <w:t>0.027</w:t>
                  </w:r>
                </w:p>
              </w:tc>
              <w:tc>
                <w:tcPr>
                  <w:tcW w:w="624" w:type="dxa"/>
                  <w:tcMar>
                    <w:top w:w="0" w:type="dxa"/>
                    <w:left w:w="0" w:type="dxa"/>
                    <w:bottom w:w="0" w:type="dxa"/>
                    <w:right w:w="0" w:type="dxa"/>
                  </w:tcMar>
                  <w:vAlign w:val="center"/>
                </w:tcPr>
                <w:p w14:paraId="6DDC93CD">
                  <w:pPr>
                    <w:jc w:val="center"/>
                    <w:rPr>
                      <w:bCs/>
                      <w:szCs w:val="21"/>
                    </w:rPr>
                  </w:pPr>
                  <w:r>
                    <w:rPr>
                      <w:bCs/>
                      <w:szCs w:val="21"/>
                    </w:rPr>
                    <w:t>10</w:t>
                  </w:r>
                </w:p>
              </w:tc>
              <w:tc>
                <w:tcPr>
                  <w:tcW w:w="540" w:type="dxa"/>
                  <w:tcMar>
                    <w:top w:w="0" w:type="dxa"/>
                    <w:left w:w="0" w:type="dxa"/>
                    <w:bottom w:w="0" w:type="dxa"/>
                    <w:right w:w="0" w:type="dxa"/>
                  </w:tcMar>
                  <w:vAlign w:val="center"/>
                </w:tcPr>
                <w:p w14:paraId="36DC1227">
                  <w:pPr>
                    <w:jc w:val="center"/>
                    <w:rPr>
                      <w:bCs/>
                      <w:szCs w:val="21"/>
                    </w:rPr>
                  </w:pPr>
                  <w:r>
                    <w:rPr>
                      <w:bCs/>
                      <w:szCs w:val="21"/>
                    </w:rPr>
                    <w:t>/</w:t>
                  </w:r>
                </w:p>
              </w:tc>
              <w:tc>
                <w:tcPr>
                  <w:tcW w:w="649" w:type="dxa"/>
                  <w:tcMar>
                    <w:top w:w="0" w:type="dxa"/>
                    <w:left w:w="0" w:type="dxa"/>
                    <w:bottom w:w="0" w:type="dxa"/>
                    <w:right w:w="0" w:type="dxa"/>
                  </w:tcMar>
                  <w:vAlign w:val="center"/>
                </w:tcPr>
                <w:p w14:paraId="24FEE696">
                  <w:pPr>
                    <w:jc w:val="center"/>
                    <w:rPr>
                      <w:bCs/>
                      <w:szCs w:val="21"/>
                    </w:rPr>
                  </w:pPr>
                  <w:r>
                    <w:rPr>
                      <w:bCs/>
                      <w:szCs w:val="21"/>
                    </w:rPr>
                    <w:t>达标</w:t>
                  </w:r>
                </w:p>
              </w:tc>
            </w:tr>
            <w:tr w14:paraId="3BD9E5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09C4D756">
                  <w:pPr>
                    <w:jc w:val="center"/>
                    <w:rPr>
                      <w:bCs/>
                      <w:szCs w:val="21"/>
                    </w:rPr>
                  </w:pPr>
                </w:p>
              </w:tc>
              <w:tc>
                <w:tcPr>
                  <w:tcW w:w="1465" w:type="dxa"/>
                  <w:vMerge w:val="continue"/>
                  <w:tcMar>
                    <w:top w:w="0" w:type="dxa"/>
                    <w:left w:w="0" w:type="dxa"/>
                    <w:bottom w:w="0" w:type="dxa"/>
                    <w:right w:w="0" w:type="dxa"/>
                  </w:tcMar>
                  <w:vAlign w:val="center"/>
                </w:tcPr>
                <w:p w14:paraId="575A6D3E">
                  <w:pPr>
                    <w:jc w:val="center"/>
                    <w:rPr>
                      <w:bCs/>
                      <w:szCs w:val="21"/>
                    </w:rPr>
                  </w:pPr>
                </w:p>
              </w:tc>
              <w:tc>
                <w:tcPr>
                  <w:tcW w:w="641" w:type="dxa"/>
                  <w:vMerge w:val="continue"/>
                  <w:tcMar>
                    <w:top w:w="0" w:type="dxa"/>
                    <w:left w:w="0" w:type="dxa"/>
                    <w:bottom w:w="0" w:type="dxa"/>
                    <w:right w:w="0" w:type="dxa"/>
                  </w:tcMar>
                  <w:vAlign w:val="center"/>
                </w:tcPr>
                <w:p w14:paraId="54B37C26">
                  <w:pPr>
                    <w:widowControl/>
                    <w:jc w:val="center"/>
                    <w:rPr>
                      <w:kern w:val="0"/>
                      <w:szCs w:val="21"/>
                    </w:rPr>
                  </w:pPr>
                </w:p>
              </w:tc>
              <w:tc>
                <w:tcPr>
                  <w:tcW w:w="1744" w:type="dxa"/>
                  <w:tcMar>
                    <w:top w:w="0" w:type="dxa"/>
                    <w:left w:w="0" w:type="dxa"/>
                    <w:bottom w:w="0" w:type="dxa"/>
                    <w:right w:w="0" w:type="dxa"/>
                  </w:tcMar>
                  <w:vAlign w:val="center"/>
                </w:tcPr>
                <w:p w14:paraId="77A85C9A">
                  <w:pPr>
                    <w:widowControl/>
                    <w:jc w:val="center"/>
                    <w:rPr>
                      <w:kern w:val="0"/>
                      <w:szCs w:val="21"/>
                    </w:rPr>
                  </w:pPr>
                  <w:r>
                    <w:rPr>
                      <w:rFonts w:hint="eastAsia"/>
                      <w:kern w:val="0"/>
                      <w:szCs w:val="21"/>
                    </w:rPr>
                    <w:t>臭气浓度（无量纲）</w:t>
                  </w:r>
                </w:p>
              </w:tc>
              <w:tc>
                <w:tcPr>
                  <w:tcW w:w="851" w:type="dxa"/>
                  <w:tcMar>
                    <w:top w:w="0" w:type="dxa"/>
                    <w:left w:w="0" w:type="dxa"/>
                    <w:bottom w:w="0" w:type="dxa"/>
                    <w:right w:w="0" w:type="dxa"/>
                  </w:tcMar>
                  <w:vAlign w:val="center"/>
                </w:tcPr>
                <w:p w14:paraId="08D6256B">
                  <w:pPr>
                    <w:jc w:val="center"/>
                    <w:rPr>
                      <w:bCs/>
                      <w:szCs w:val="21"/>
                    </w:rPr>
                  </w:pPr>
                  <w:r>
                    <w:rPr>
                      <w:rFonts w:hint="eastAsia"/>
                      <w:bCs/>
                      <w:szCs w:val="21"/>
                    </w:rPr>
                    <w:t>269</w:t>
                  </w:r>
                </w:p>
              </w:tc>
              <w:tc>
                <w:tcPr>
                  <w:tcW w:w="958" w:type="dxa"/>
                  <w:tcMar>
                    <w:top w:w="0" w:type="dxa"/>
                    <w:left w:w="0" w:type="dxa"/>
                    <w:bottom w:w="0" w:type="dxa"/>
                    <w:right w:w="0" w:type="dxa"/>
                  </w:tcMar>
                  <w:vAlign w:val="center"/>
                </w:tcPr>
                <w:p w14:paraId="51D6E3C3">
                  <w:pPr>
                    <w:jc w:val="center"/>
                    <w:rPr>
                      <w:bCs/>
                      <w:szCs w:val="21"/>
                    </w:rPr>
                  </w:pPr>
                  <w:r>
                    <w:rPr>
                      <w:rFonts w:hint="eastAsia"/>
                      <w:bCs/>
                      <w:szCs w:val="21"/>
                    </w:rPr>
                    <w:t>/</w:t>
                  </w:r>
                </w:p>
              </w:tc>
              <w:tc>
                <w:tcPr>
                  <w:tcW w:w="624" w:type="dxa"/>
                  <w:tcMar>
                    <w:top w:w="0" w:type="dxa"/>
                    <w:left w:w="0" w:type="dxa"/>
                    <w:bottom w:w="0" w:type="dxa"/>
                    <w:right w:w="0" w:type="dxa"/>
                  </w:tcMar>
                  <w:vAlign w:val="center"/>
                </w:tcPr>
                <w:p w14:paraId="2D3ADF62">
                  <w:pPr>
                    <w:jc w:val="center"/>
                    <w:rPr>
                      <w:bCs/>
                      <w:szCs w:val="21"/>
                    </w:rPr>
                  </w:pPr>
                  <w:r>
                    <w:rPr>
                      <w:rFonts w:hint="eastAsia"/>
                      <w:bCs/>
                      <w:szCs w:val="21"/>
                    </w:rPr>
                    <w:t>2000</w:t>
                  </w:r>
                </w:p>
              </w:tc>
              <w:tc>
                <w:tcPr>
                  <w:tcW w:w="540" w:type="dxa"/>
                  <w:tcMar>
                    <w:top w:w="0" w:type="dxa"/>
                    <w:left w:w="0" w:type="dxa"/>
                    <w:bottom w:w="0" w:type="dxa"/>
                    <w:right w:w="0" w:type="dxa"/>
                  </w:tcMar>
                  <w:vAlign w:val="center"/>
                </w:tcPr>
                <w:p w14:paraId="793415C2">
                  <w:pPr>
                    <w:jc w:val="center"/>
                    <w:rPr>
                      <w:bCs/>
                      <w:szCs w:val="21"/>
                    </w:rPr>
                  </w:pPr>
                  <w:r>
                    <w:rPr>
                      <w:bCs/>
                      <w:szCs w:val="21"/>
                    </w:rPr>
                    <w:t>/</w:t>
                  </w:r>
                </w:p>
              </w:tc>
              <w:tc>
                <w:tcPr>
                  <w:tcW w:w="649" w:type="dxa"/>
                  <w:tcMar>
                    <w:top w:w="0" w:type="dxa"/>
                    <w:left w:w="0" w:type="dxa"/>
                    <w:bottom w:w="0" w:type="dxa"/>
                    <w:right w:w="0" w:type="dxa"/>
                  </w:tcMar>
                  <w:vAlign w:val="center"/>
                </w:tcPr>
                <w:p w14:paraId="4EFF4087">
                  <w:pPr>
                    <w:jc w:val="center"/>
                    <w:rPr>
                      <w:bCs/>
                      <w:szCs w:val="21"/>
                    </w:rPr>
                  </w:pPr>
                  <w:r>
                    <w:rPr>
                      <w:bCs/>
                      <w:szCs w:val="21"/>
                    </w:rPr>
                    <w:t>达标</w:t>
                  </w:r>
                </w:p>
              </w:tc>
            </w:tr>
            <w:tr w14:paraId="4217DF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248F2180">
                  <w:pPr>
                    <w:jc w:val="center"/>
                    <w:rPr>
                      <w:bCs/>
                      <w:szCs w:val="21"/>
                    </w:rPr>
                  </w:pPr>
                </w:p>
              </w:tc>
              <w:tc>
                <w:tcPr>
                  <w:tcW w:w="1465" w:type="dxa"/>
                  <w:vMerge w:val="continue"/>
                  <w:tcMar>
                    <w:top w:w="0" w:type="dxa"/>
                    <w:left w:w="0" w:type="dxa"/>
                    <w:bottom w:w="0" w:type="dxa"/>
                    <w:right w:w="0" w:type="dxa"/>
                  </w:tcMar>
                  <w:vAlign w:val="center"/>
                </w:tcPr>
                <w:p w14:paraId="322FC9EC">
                  <w:pPr>
                    <w:jc w:val="center"/>
                    <w:rPr>
                      <w:bCs/>
                      <w:szCs w:val="21"/>
                    </w:rPr>
                  </w:pPr>
                </w:p>
              </w:tc>
              <w:tc>
                <w:tcPr>
                  <w:tcW w:w="641" w:type="dxa"/>
                  <w:vMerge w:val="continue"/>
                  <w:tcMar>
                    <w:top w:w="0" w:type="dxa"/>
                    <w:left w:w="0" w:type="dxa"/>
                    <w:bottom w:w="0" w:type="dxa"/>
                    <w:right w:w="0" w:type="dxa"/>
                  </w:tcMar>
                  <w:vAlign w:val="center"/>
                </w:tcPr>
                <w:p w14:paraId="671BBD30">
                  <w:pPr>
                    <w:widowControl/>
                    <w:jc w:val="center"/>
                    <w:rPr>
                      <w:kern w:val="0"/>
                      <w:szCs w:val="21"/>
                    </w:rPr>
                  </w:pPr>
                </w:p>
              </w:tc>
              <w:tc>
                <w:tcPr>
                  <w:tcW w:w="1744" w:type="dxa"/>
                  <w:tcMar>
                    <w:top w:w="0" w:type="dxa"/>
                    <w:left w:w="0" w:type="dxa"/>
                    <w:bottom w:w="0" w:type="dxa"/>
                    <w:right w:w="0" w:type="dxa"/>
                  </w:tcMar>
                  <w:vAlign w:val="center"/>
                </w:tcPr>
                <w:p w14:paraId="66488CBA">
                  <w:pPr>
                    <w:widowControl/>
                    <w:jc w:val="center"/>
                    <w:rPr>
                      <w:kern w:val="0"/>
                      <w:szCs w:val="21"/>
                    </w:rPr>
                  </w:pPr>
                  <w:r>
                    <w:rPr>
                      <w:rFonts w:hint="eastAsia"/>
                      <w:kern w:val="0"/>
                      <w:szCs w:val="21"/>
                    </w:rPr>
                    <w:t>颗粒物</w:t>
                  </w:r>
                </w:p>
              </w:tc>
              <w:tc>
                <w:tcPr>
                  <w:tcW w:w="851" w:type="dxa"/>
                  <w:tcMar>
                    <w:top w:w="0" w:type="dxa"/>
                    <w:left w:w="0" w:type="dxa"/>
                    <w:bottom w:w="0" w:type="dxa"/>
                    <w:right w:w="0" w:type="dxa"/>
                  </w:tcMar>
                  <w:vAlign w:val="center"/>
                </w:tcPr>
                <w:p w14:paraId="317E001E">
                  <w:pPr>
                    <w:jc w:val="center"/>
                    <w:rPr>
                      <w:bCs/>
                      <w:szCs w:val="21"/>
                    </w:rPr>
                  </w:pPr>
                  <w:r>
                    <w:rPr>
                      <w:rFonts w:hint="eastAsia"/>
                      <w:bCs/>
                      <w:szCs w:val="21"/>
                    </w:rPr>
                    <w:t>ND</w:t>
                  </w:r>
                </w:p>
              </w:tc>
              <w:tc>
                <w:tcPr>
                  <w:tcW w:w="958" w:type="dxa"/>
                  <w:tcMar>
                    <w:top w:w="0" w:type="dxa"/>
                    <w:left w:w="0" w:type="dxa"/>
                    <w:bottom w:w="0" w:type="dxa"/>
                    <w:right w:w="0" w:type="dxa"/>
                  </w:tcMar>
                  <w:vAlign w:val="center"/>
                </w:tcPr>
                <w:p w14:paraId="07DC93F0">
                  <w:pPr>
                    <w:jc w:val="center"/>
                    <w:rPr>
                      <w:bCs/>
                      <w:szCs w:val="21"/>
                    </w:rPr>
                  </w:pPr>
                  <w:r>
                    <w:rPr>
                      <w:rFonts w:hint="eastAsia"/>
                      <w:bCs/>
                      <w:szCs w:val="21"/>
                    </w:rPr>
                    <w:t>/</w:t>
                  </w:r>
                </w:p>
              </w:tc>
              <w:tc>
                <w:tcPr>
                  <w:tcW w:w="624" w:type="dxa"/>
                  <w:tcMar>
                    <w:top w:w="0" w:type="dxa"/>
                    <w:left w:w="0" w:type="dxa"/>
                    <w:bottom w:w="0" w:type="dxa"/>
                    <w:right w:w="0" w:type="dxa"/>
                  </w:tcMar>
                  <w:vAlign w:val="center"/>
                </w:tcPr>
                <w:p w14:paraId="2AD72481">
                  <w:pPr>
                    <w:jc w:val="center"/>
                    <w:rPr>
                      <w:bCs/>
                      <w:szCs w:val="21"/>
                    </w:rPr>
                  </w:pPr>
                  <w:r>
                    <w:rPr>
                      <w:rFonts w:hint="eastAsia"/>
                      <w:bCs/>
                      <w:szCs w:val="21"/>
                    </w:rPr>
                    <w:t>12</w:t>
                  </w:r>
                </w:p>
              </w:tc>
              <w:tc>
                <w:tcPr>
                  <w:tcW w:w="540" w:type="dxa"/>
                  <w:tcMar>
                    <w:top w:w="0" w:type="dxa"/>
                    <w:left w:w="0" w:type="dxa"/>
                    <w:bottom w:w="0" w:type="dxa"/>
                    <w:right w:w="0" w:type="dxa"/>
                  </w:tcMar>
                  <w:vAlign w:val="center"/>
                </w:tcPr>
                <w:p w14:paraId="758ED853">
                  <w:pPr>
                    <w:jc w:val="center"/>
                    <w:rPr>
                      <w:bCs/>
                      <w:szCs w:val="21"/>
                    </w:rPr>
                  </w:pPr>
                  <w:r>
                    <w:rPr>
                      <w:rFonts w:hint="eastAsia"/>
                      <w:bCs/>
                      <w:szCs w:val="21"/>
                    </w:rPr>
                    <w:t>/</w:t>
                  </w:r>
                </w:p>
              </w:tc>
              <w:tc>
                <w:tcPr>
                  <w:tcW w:w="649" w:type="dxa"/>
                  <w:tcMar>
                    <w:top w:w="0" w:type="dxa"/>
                    <w:left w:w="0" w:type="dxa"/>
                    <w:bottom w:w="0" w:type="dxa"/>
                    <w:right w:w="0" w:type="dxa"/>
                  </w:tcMar>
                  <w:vAlign w:val="center"/>
                </w:tcPr>
                <w:p w14:paraId="2519C0E0">
                  <w:pPr>
                    <w:jc w:val="center"/>
                    <w:rPr>
                      <w:bCs/>
                      <w:szCs w:val="21"/>
                    </w:rPr>
                  </w:pPr>
                  <w:r>
                    <w:rPr>
                      <w:bCs/>
                      <w:szCs w:val="21"/>
                    </w:rPr>
                    <w:t>达标</w:t>
                  </w:r>
                </w:p>
              </w:tc>
            </w:tr>
            <w:tr w14:paraId="6223F7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2BF479F0">
                  <w:pPr>
                    <w:jc w:val="center"/>
                    <w:rPr>
                      <w:bCs/>
                      <w:szCs w:val="21"/>
                    </w:rPr>
                  </w:pPr>
                </w:p>
              </w:tc>
              <w:tc>
                <w:tcPr>
                  <w:tcW w:w="1465" w:type="dxa"/>
                  <w:vMerge w:val="continue"/>
                  <w:tcMar>
                    <w:top w:w="0" w:type="dxa"/>
                    <w:left w:w="0" w:type="dxa"/>
                    <w:bottom w:w="0" w:type="dxa"/>
                    <w:right w:w="0" w:type="dxa"/>
                  </w:tcMar>
                  <w:vAlign w:val="center"/>
                </w:tcPr>
                <w:p w14:paraId="43CC0890">
                  <w:pPr>
                    <w:jc w:val="center"/>
                    <w:rPr>
                      <w:bCs/>
                      <w:szCs w:val="21"/>
                    </w:rPr>
                  </w:pPr>
                </w:p>
              </w:tc>
              <w:tc>
                <w:tcPr>
                  <w:tcW w:w="641" w:type="dxa"/>
                  <w:vMerge w:val="continue"/>
                  <w:tcMar>
                    <w:top w:w="0" w:type="dxa"/>
                    <w:left w:w="0" w:type="dxa"/>
                    <w:bottom w:w="0" w:type="dxa"/>
                    <w:right w:w="0" w:type="dxa"/>
                  </w:tcMar>
                  <w:vAlign w:val="center"/>
                </w:tcPr>
                <w:p w14:paraId="5FBA5D0F">
                  <w:pPr>
                    <w:widowControl/>
                    <w:jc w:val="center"/>
                    <w:rPr>
                      <w:kern w:val="0"/>
                      <w:szCs w:val="21"/>
                    </w:rPr>
                  </w:pPr>
                </w:p>
              </w:tc>
              <w:tc>
                <w:tcPr>
                  <w:tcW w:w="1744" w:type="dxa"/>
                  <w:tcMar>
                    <w:top w:w="0" w:type="dxa"/>
                    <w:left w:w="0" w:type="dxa"/>
                    <w:bottom w:w="0" w:type="dxa"/>
                    <w:right w:w="0" w:type="dxa"/>
                  </w:tcMar>
                  <w:vAlign w:val="center"/>
                </w:tcPr>
                <w:p w14:paraId="32187484">
                  <w:pPr>
                    <w:widowControl/>
                    <w:jc w:val="center"/>
                    <w:rPr>
                      <w:kern w:val="0"/>
                      <w:szCs w:val="21"/>
                    </w:rPr>
                  </w:pPr>
                  <w:r>
                    <w:rPr>
                      <w:kern w:val="0"/>
                      <w:szCs w:val="21"/>
                    </w:rPr>
                    <w:t>VOCs</w:t>
                  </w:r>
                </w:p>
              </w:tc>
              <w:tc>
                <w:tcPr>
                  <w:tcW w:w="851" w:type="dxa"/>
                  <w:tcMar>
                    <w:top w:w="0" w:type="dxa"/>
                    <w:left w:w="0" w:type="dxa"/>
                    <w:bottom w:w="0" w:type="dxa"/>
                    <w:right w:w="0" w:type="dxa"/>
                  </w:tcMar>
                  <w:vAlign w:val="center"/>
                </w:tcPr>
                <w:p w14:paraId="4E41BBA8">
                  <w:pPr>
                    <w:jc w:val="center"/>
                    <w:rPr>
                      <w:bCs/>
                      <w:szCs w:val="21"/>
                    </w:rPr>
                  </w:pPr>
                  <w:r>
                    <w:rPr>
                      <w:rFonts w:hint="eastAsia"/>
                      <w:bCs/>
                      <w:szCs w:val="21"/>
                    </w:rPr>
                    <w:t>0.346</w:t>
                  </w:r>
                </w:p>
              </w:tc>
              <w:tc>
                <w:tcPr>
                  <w:tcW w:w="958" w:type="dxa"/>
                  <w:tcMar>
                    <w:top w:w="0" w:type="dxa"/>
                    <w:left w:w="0" w:type="dxa"/>
                    <w:bottom w:w="0" w:type="dxa"/>
                    <w:right w:w="0" w:type="dxa"/>
                  </w:tcMar>
                  <w:vAlign w:val="center"/>
                </w:tcPr>
                <w:p w14:paraId="7CC130D0">
                  <w:pPr>
                    <w:jc w:val="center"/>
                    <w:rPr>
                      <w:bCs/>
                      <w:szCs w:val="21"/>
                    </w:rPr>
                  </w:pPr>
                  <w:r>
                    <w:rPr>
                      <w:rFonts w:hint="eastAsia"/>
                      <w:bCs/>
                      <w:szCs w:val="21"/>
                    </w:rPr>
                    <w:t>0.00644</w:t>
                  </w:r>
                </w:p>
              </w:tc>
              <w:tc>
                <w:tcPr>
                  <w:tcW w:w="624" w:type="dxa"/>
                  <w:tcMar>
                    <w:top w:w="0" w:type="dxa"/>
                    <w:left w:w="0" w:type="dxa"/>
                    <w:bottom w:w="0" w:type="dxa"/>
                    <w:right w:w="0" w:type="dxa"/>
                  </w:tcMar>
                  <w:vAlign w:val="center"/>
                </w:tcPr>
                <w:p w14:paraId="5DF718B6">
                  <w:pPr>
                    <w:jc w:val="center"/>
                    <w:rPr>
                      <w:bCs/>
                      <w:szCs w:val="21"/>
                    </w:rPr>
                  </w:pPr>
                  <w:r>
                    <w:rPr>
                      <w:bCs/>
                      <w:szCs w:val="21"/>
                    </w:rPr>
                    <w:t>10</w:t>
                  </w:r>
                </w:p>
              </w:tc>
              <w:tc>
                <w:tcPr>
                  <w:tcW w:w="540" w:type="dxa"/>
                  <w:tcMar>
                    <w:top w:w="0" w:type="dxa"/>
                    <w:left w:w="0" w:type="dxa"/>
                    <w:bottom w:w="0" w:type="dxa"/>
                    <w:right w:w="0" w:type="dxa"/>
                  </w:tcMar>
                  <w:vAlign w:val="center"/>
                </w:tcPr>
                <w:p w14:paraId="63CA0CDB">
                  <w:pPr>
                    <w:jc w:val="center"/>
                    <w:rPr>
                      <w:bCs/>
                      <w:szCs w:val="21"/>
                    </w:rPr>
                  </w:pPr>
                  <w:r>
                    <w:rPr>
                      <w:bCs/>
                      <w:szCs w:val="21"/>
                    </w:rPr>
                    <w:t>1.0</w:t>
                  </w:r>
                </w:p>
              </w:tc>
              <w:tc>
                <w:tcPr>
                  <w:tcW w:w="649" w:type="dxa"/>
                  <w:tcMar>
                    <w:top w:w="0" w:type="dxa"/>
                    <w:left w:w="0" w:type="dxa"/>
                    <w:bottom w:w="0" w:type="dxa"/>
                    <w:right w:w="0" w:type="dxa"/>
                  </w:tcMar>
                  <w:vAlign w:val="center"/>
                </w:tcPr>
                <w:p w14:paraId="43A411E1">
                  <w:pPr>
                    <w:jc w:val="center"/>
                    <w:rPr>
                      <w:bCs/>
                      <w:szCs w:val="21"/>
                    </w:rPr>
                  </w:pPr>
                  <w:r>
                    <w:rPr>
                      <w:bCs/>
                      <w:szCs w:val="21"/>
                    </w:rPr>
                    <w:t>达标</w:t>
                  </w:r>
                </w:p>
              </w:tc>
            </w:tr>
            <w:tr w14:paraId="60C4FE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6DB03C8C">
                  <w:pPr>
                    <w:jc w:val="center"/>
                    <w:rPr>
                      <w:bCs/>
                      <w:szCs w:val="21"/>
                    </w:rPr>
                  </w:pPr>
                </w:p>
              </w:tc>
              <w:tc>
                <w:tcPr>
                  <w:tcW w:w="1465" w:type="dxa"/>
                  <w:vMerge w:val="continue"/>
                  <w:tcMar>
                    <w:top w:w="0" w:type="dxa"/>
                    <w:left w:w="0" w:type="dxa"/>
                    <w:bottom w:w="0" w:type="dxa"/>
                    <w:right w:w="0" w:type="dxa"/>
                  </w:tcMar>
                  <w:vAlign w:val="center"/>
                </w:tcPr>
                <w:p w14:paraId="7A556D6A">
                  <w:pPr>
                    <w:jc w:val="center"/>
                    <w:rPr>
                      <w:bCs/>
                      <w:szCs w:val="21"/>
                    </w:rPr>
                  </w:pPr>
                </w:p>
              </w:tc>
              <w:tc>
                <w:tcPr>
                  <w:tcW w:w="641" w:type="dxa"/>
                  <w:vMerge w:val="continue"/>
                  <w:tcMar>
                    <w:top w:w="0" w:type="dxa"/>
                    <w:left w:w="0" w:type="dxa"/>
                    <w:bottom w:w="0" w:type="dxa"/>
                    <w:right w:w="0" w:type="dxa"/>
                  </w:tcMar>
                  <w:vAlign w:val="center"/>
                </w:tcPr>
                <w:p w14:paraId="36CD9D45">
                  <w:pPr>
                    <w:widowControl/>
                    <w:jc w:val="center"/>
                    <w:rPr>
                      <w:kern w:val="0"/>
                      <w:szCs w:val="21"/>
                    </w:rPr>
                  </w:pPr>
                </w:p>
              </w:tc>
              <w:tc>
                <w:tcPr>
                  <w:tcW w:w="1744" w:type="dxa"/>
                  <w:tcMar>
                    <w:top w:w="0" w:type="dxa"/>
                    <w:left w:w="0" w:type="dxa"/>
                    <w:bottom w:w="0" w:type="dxa"/>
                    <w:right w:w="0" w:type="dxa"/>
                  </w:tcMar>
                  <w:vAlign w:val="center"/>
                </w:tcPr>
                <w:p w14:paraId="034BCC6C">
                  <w:pPr>
                    <w:widowControl/>
                    <w:jc w:val="center"/>
                    <w:rPr>
                      <w:kern w:val="0"/>
                      <w:szCs w:val="21"/>
                    </w:rPr>
                  </w:pPr>
                  <w:r>
                    <w:rPr>
                      <w:kern w:val="0"/>
                      <w:szCs w:val="21"/>
                    </w:rPr>
                    <w:t>H</w:t>
                  </w:r>
                  <w:r>
                    <w:rPr>
                      <w:kern w:val="0"/>
                      <w:szCs w:val="21"/>
                      <w:vertAlign w:val="subscript"/>
                    </w:rPr>
                    <w:t>2</w:t>
                  </w:r>
                  <w:r>
                    <w:rPr>
                      <w:kern w:val="0"/>
                      <w:szCs w:val="21"/>
                    </w:rPr>
                    <w:t>S</w:t>
                  </w:r>
                </w:p>
              </w:tc>
              <w:tc>
                <w:tcPr>
                  <w:tcW w:w="851" w:type="dxa"/>
                  <w:tcMar>
                    <w:top w:w="0" w:type="dxa"/>
                    <w:left w:w="0" w:type="dxa"/>
                    <w:bottom w:w="0" w:type="dxa"/>
                    <w:right w:w="0" w:type="dxa"/>
                  </w:tcMar>
                  <w:vAlign w:val="center"/>
                </w:tcPr>
                <w:p w14:paraId="0D0937F5">
                  <w:pPr>
                    <w:jc w:val="center"/>
                    <w:rPr>
                      <w:bCs/>
                      <w:szCs w:val="21"/>
                    </w:rPr>
                  </w:pPr>
                  <w:r>
                    <w:rPr>
                      <w:rFonts w:hint="eastAsia"/>
                      <w:bCs/>
                      <w:szCs w:val="21"/>
                    </w:rPr>
                    <w:t>0.002</w:t>
                  </w:r>
                </w:p>
              </w:tc>
              <w:tc>
                <w:tcPr>
                  <w:tcW w:w="958" w:type="dxa"/>
                  <w:tcMar>
                    <w:top w:w="0" w:type="dxa"/>
                    <w:left w:w="0" w:type="dxa"/>
                    <w:bottom w:w="0" w:type="dxa"/>
                    <w:right w:w="0" w:type="dxa"/>
                  </w:tcMar>
                  <w:vAlign w:val="center"/>
                </w:tcPr>
                <w:p w14:paraId="09C45452">
                  <w:pPr>
                    <w:jc w:val="center"/>
                    <w:rPr>
                      <w:bCs/>
                      <w:szCs w:val="21"/>
                    </w:rPr>
                  </w:pPr>
                  <w:r>
                    <w:rPr>
                      <w:rFonts w:hint="eastAsia"/>
                      <w:bCs/>
                      <w:szCs w:val="21"/>
                    </w:rPr>
                    <w:t>0.0000372</w:t>
                  </w:r>
                </w:p>
              </w:tc>
              <w:tc>
                <w:tcPr>
                  <w:tcW w:w="624" w:type="dxa"/>
                  <w:tcMar>
                    <w:top w:w="0" w:type="dxa"/>
                    <w:left w:w="0" w:type="dxa"/>
                    <w:bottom w:w="0" w:type="dxa"/>
                    <w:right w:w="0" w:type="dxa"/>
                  </w:tcMar>
                  <w:vAlign w:val="center"/>
                </w:tcPr>
                <w:p w14:paraId="6A716716">
                  <w:pPr>
                    <w:jc w:val="center"/>
                    <w:rPr>
                      <w:bCs/>
                      <w:szCs w:val="21"/>
                    </w:rPr>
                  </w:pPr>
                  <w:r>
                    <w:rPr>
                      <w:bCs/>
                      <w:szCs w:val="21"/>
                    </w:rPr>
                    <w:t>/</w:t>
                  </w:r>
                </w:p>
              </w:tc>
              <w:tc>
                <w:tcPr>
                  <w:tcW w:w="540" w:type="dxa"/>
                  <w:tcMar>
                    <w:top w:w="0" w:type="dxa"/>
                    <w:left w:w="0" w:type="dxa"/>
                    <w:bottom w:w="0" w:type="dxa"/>
                    <w:right w:w="0" w:type="dxa"/>
                  </w:tcMar>
                  <w:vAlign w:val="center"/>
                </w:tcPr>
                <w:p w14:paraId="02206145">
                  <w:pPr>
                    <w:jc w:val="center"/>
                    <w:rPr>
                      <w:bCs/>
                      <w:szCs w:val="21"/>
                    </w:rPr>
                  </w:pPr>
                  <w:r>
                    <w:rPr>
                      <w:bCs/>
                      <w:szCs w:val="21"/>
                    </w:rPr>
                    <w:t>0.33</w:t>
                  </w:r>
                </w:p>
              </w:tc>
              <w:tc>
                <w:tcPr>
                  <w:tcW w:w="649" w:type="dxa"/>
                  <w:tcMar>
                    <w:top w:w="0" w:type="dxa"/>
                    <w:left w:w="0" w:type="dxa"/>
                    <w:bottom w:w="0" w:type="dxa"/>
                    <w:right w:w="0" w:type="dxa"/>
                  </w:tcMar>
                  <w:vAlign w:val="center"/>
                </w:tcPr>
                <w:p w14:paraId="664C94D7">
                  <w:pPr>
                    <w:jc w:val="center"/>
                    <w:rPr>
                      <w:bCs/>
                      <w:szCs w:val="21"/>
                    </w:rPr>
                  </w:pPr>
                  <w:r>
                    <w:rPr>
                      <w:bCs/>
                      <w:szCs w:val="21"/>
                    </w:rPr>
                    <w:t>达标</w:t>
                  </w:r>
                </w:p>
              </w:tc>
            </w:tr>
            <w:tr w14:paraId="7AA15C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7883AED3">
                  <w:pPr>
                    <w:jc w:val="center"/>
                    <w:rPr>
                      <w:bCs/>
                      <w:szCs w:val="21"/>
                    </w:rPr>
                  </w:pPr>
                </w:p>
              </w:tc>
              <w:tc>
                <w:tcPr>
                  <w:tcW w:w="1465" w:type="dxa"/>
                  <w:vMerge w:val="restart"/>
                  <w:tcMar>
                    <w:top w:w="0" w:type="dxa"/>
                    <w:left w:w="0" w:type="dxa"/>
                    <w:bottom w:w="0" w:type="dxa"/>
                    <w:right w:w="0" w:type="dxa"/>
                  </w:tcMar>
                  <w:vAlign w:val="center"/>
                </w:tcPr>
                <w:p w14:paraId="4BA82089">
                  <w:pPr>
                    <w:jc w:val="center"/>
                    <w:rPr>
                      <w:bCs/>
                      <w:szCs w:val="21"/>
                    </w:rPr>
                  </w:pPr>
                  <w:r>
                    <w:rPr>
                      <w:rFonts w:hint="eastAsia"/>
                      <w:bCs/>
                      <w:szCs w:val="21"/>
                    </w:rPr>
                    <w:t>3#排气筒出口</w:t>
                  </w:r>
                </w:p>
              </w:tc>
              <w:tc>
                <w:tcPr>
                  <w:tcW w:w="641" w:type="dxa"/>
                  <w:vMerge w:val="restart"/>
                  <w:tcMar>
                    <w:top w:w="0" w:type="dxa"/>
                    <w:left w:w="0" w:type="dxa"/>
                    <w:bottom w:w="0" w:type="dxa"/>
                    <w:right w:w="0" w:type="dxa"/>
                  </w:tcMar>
                  <w:vAlign w:val="center"/>
                </w:tcPr>
                <w:p w14:paraId="139074C7">
                  <w:pPr>
                    <w:widowControl/>
                    <w:jc w:val="center"/>
                    <w:rPr>
                      <w:kern w:val="0"/>
                      <w:szCs w:val="21"/>
                    </w:rPr>
                  </w:pPr>
                  <w:r>
                    <w:rPr>
                      <w:kern w:val="0"/>
                      <w:szCs w:val="21"/>
                    </w:rPr>
                    <w:t>2</w:t>
                  </w:r>
                  <w:r>
                    <w:rPr>
                      <w:rFonts w:hint="eastAsia"/>
                      <w:kern w:val="0"/>
                      <w:szCs w:val="21"/>
                    </w:rPr>
                    <w:t>6600</w:t>
                  </w:r>
                </w:p>
              </w:tc>
              <w:tc>
                <w:tcPr>
                  <w:tcW w:w="1744" w:type="dxa"/>
                  <w:tcMar>
                    <w:top w:w="0" w:type="dxa"/>
                    <w:left w:w="0" w:type="dxa"/>
                    <w:bottom w:w="0" w:type="dxa"/>
                    <w:right w:w="0" w:type="dxa"/>
                  </w:tcMar>
                  <w:vAlign w:val="center"/>
                </w:tcPr>
                <w:p w14:paraId="0ACD94BF">
                  <w:pPr>
                    <w:widowControl/>
                    <w:jc w:val="center"/>
                    <w:rPr>
                      <w:kern w:val="0"/>
                      <w:szCs w:val="21"/>
                    </w:rPr>
                  </w:pPr>
                  <w:r>
                    <w:rPr>
                      <w:kern w:val="0"/>
                      <w:szCs w:val="21"/>
                    </w:rPr>
                    <w:t>非甲烷总烃</w:t>
                  </w:r>
                </w:p>
              </w:tc>
              <w:tc>
                <w:tcPr>
                  <w:tcW w:w="851" w:type="dxa"/>
                  <w:tcMar>
                    <w:top w:w="0" w:type="dxa"/>
                    <w:left w:w="0" w:type="dxa"/>
                    <w:bottom w:w="0" w:type="dxa"/>
                    <w:right w:w="0" w:type="dxa"/>
                  </w:tcMar>
                  <w:vAlign w:val="center"/>
                </w:tcPr>
                <w:p w14:paraId="360C0C9B">
                  <w:pPr>
                    <w:jc w:val="center"/>
                    <w:rPr>
                      <w:bCs/>
                      <w:szCs w:val="21"/>
                    </w:rPr>
                  </w:pPr>
                  <w:r>
                    <w:rPr>
                      <w:rFonts w:hint="eastAsia"/>
                      <w:bCs/>
                      <w:szCs w:val="21"/>
                    </w:rPr>
                    <w:t>1.31</w:t>
                  </w:r>
                </w:p>
              </w:tc>
              <w:tc>
                <w:tcPr>
                  <w:tcW w:w="958" w:type="dxa"/>
                  <w:tcMar>
                    <w:top w:w="0" w:type="dxa"/>
                    <w:left w:w="0" w:type="dxa"/>
                    <w:bottom w:w="0" w:type="dxa"/>
                    <w:right w:w="0" w:type="dxa"/>
                  </w:tcMar>
                  <w:vAlign w:val="center"/>
                </w:tcPr>
                <w:p w14:paraId="0185B4B5">
                  <w:pPr>
                    <w:jc w:val="center"/>
                    <w:rPr>
                      <w:bCs/>
                      <w:szCs w:val="21"/>
                    </w:rPr>
                  </w:pPr>
                  <w:r>
                    <w:rPr>
                      <w:rFonts w:hint="eastAsia"/>
                      <w:bCs/>
                      <w:szCs w:val="21"/>
                    </w:rPr>
                    <w:t>0.035</w:t>
                  </w:r>
                </w:p>
              </w:tc>
              <w:tc>
                <w:tcPr>
                  <w:tcW w:w="624" w:type="dxa"/>
                  <w:tcMar>
                    <w:top w:w="0" w:type="dxa"/>
                    <w:left w:w="0" w:type="dxa"/>
                    <w:bottom w:w="0" w:type="dxa"/>
                    <w:right w:w="0" w:type="dxa"/>
                  </w:tcMar>
                  <w:vAlign w:val="center"/>
                </w:tcPr>
                <w:p w14:paraId="41E9A55E">
                  <w:pPr>
                    <w:jc w:val="center"/>
                    <w:rPr>
                      <w:bCs/>
                      <w:szCs w:val="21"/>
                    </w:rPr>
                  </w:pPr>
                  <w:r>
                    <w:rPr>
                      <w:bCs/>
                      <w:szCs w:val="21"/>
                    </w:rPr>
                    <w:t>10</w:t>
                  </w:r>
                </w:p>
              </w:tc>
              <w:tc>
                <w:tcPr>
                  <w:tcW w:w="540" w:type="dxa"/>
                  <w:tcMar>
                    <w:top w:w="0" w:type="dxa"/>
                    <w:left w:w="0" w:type="dxa"/>
                    <w:bottom w:w="0" w:type="dxa"/>
                    <w:right w:w="0" w:type="dxa"/>
                  </w:tcMar>
                  <w:vAlign w:val="center"/>
                </w:tcPr>
                <w:p w14:paraId="0C918F6E">
                  <w:pPr>
                    <w:jc w:val="center"/>
                    <w:rPr>
                      <w:bCs/>
                      <w:szCs w:val="21"/>
                    </w:rPr>
                  </w:pPr>
                  <w:r>
                    <w:rPr>
                      <w:bCs/>
                      <w:szCs w:val="21"/>
                    </w:rPr>
                    <w:t>/</w:t>
                  </w:r>
                </w:p>
              </w:tc>
              <w:tc>
                <w:tcPr>
                  <w:tcW w:w="649" w:type="dxa"/>
                  <w:tcMar>
                    <w:top w:w="0" w:type="dxa"/>
                    <w:left w:w="0" w:type="dxa"/>
                    <w:bottom w:w="0" w:type="dxa"/>
                    <w:right w:w="0" w:type="dxa"/>
                  </w:tcMar>
                  <w:vAlign w:val="center"/>
                </w:tcPr>
                <w:p w14:paraId="2F7DDB66">
                  <w:pPr>
                    <w:jc w:val="center"/>
                    <w:rPr>
                      <w:bCs/>
                      <w:szCs w:val="21"/>
                    </w:rPr>
                  </w:pPr>
                  <w:r>
                    <w:rPr>
                      <w:bCs/>
                      <w:szCs w:val="21"/>
                    </w:rPr>
                    <w:t>达标</w:t>
                  </w:r>
                </w:p>
              </w:tc>
            </w:tr>
            <w:tr w14:paraId="1D296E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38F79286">
                  <w:pPr>
                    <w:jc w:val="center"/>
                    <w:rPr>
                      <w:bCs/>
                      <w:szCs w:val="21"/>
                    </w:rPr>
                  </w:pPr>
                </w:p>
              </w:tc>
              <w:tc>
                <w:tcPr>
                  <w:tcW w:w="1465" w:type="dxa"/>
                  <w:vMerge w:val="continue"/>
                  <w:tcMar>
                    <w:top w:w="0" w:type="dxa"/>
                    <w:left w:w="0" w:type="dxa"/>
                    <w:bottom w:w="0" w:type="dxa"/>
                    <w:right w:w="0" w:type="dxa"/>
                  </w:tcMar>
                  <w:vAlign w:val="center"/>
                </w:tcPr>
                <w:p w14:paraId="5500A7F1">
                  <w:pPr>
                    <w:jc w:val="center"/>
                    <w:rPr>
                      <w:bCs/>
                      <w:szCs w:val="21"/>
                    </w:rPr>
                  </w:pPr>
                </w:p>
              </w:tc>
              <w:tc>
                <w:tcPr>
                  <w:tcW w:w="641" w:type="dxa"/>
                  <w:vMerge w:val="continue"/>
                  <w:tcMar>
                    <w:top w:w="0" w:type="dxa"/>
                    <w:left w:w="0" w:type="dxa"/>
                    <w:bottom w:w="0" w:type="dxa"/>
                    <w:right w:w="0" w:type="dxa"/>
                  </w:tcMar>
                  <w:vAlign w:val="center"/>
                </w:tcPr>
                <w:p w14:paraId="05CA4C66">
                  <w:pPr>
                    <w:widowControl/>
                    <w:jc w:val="center"/>
                    <w:rPr>
                      <w:kern w:val="0"/>
                      <w:szCs w:val="21"/>
                    </w:rPr>
                  </w:pPr>
                </w:p>
              </w:tc>
              <w:tc>
                <w:tcPr>
                  <w:tcW w:w="1744" w:type="dxa"/>
                  <w:tcMar>
                    <w:top w:w="0" w:type="dxa"/>
                    <w:left w:w="0" w:type="dxa"/>
                    <w:bottom w:w="0" w:type="dxa"/>
                    <w:right w:w="0" w:type="dxa"/>
                  </w:tcMar>
                  <w:vAlign w:val="center"/>
                </w:tcPr>
                <w:p w14:paraId="05482712">
                  <w:pPr>
                    <w:widowControl/>
                    <w:jc w:val="center"/>
                    <w:rPr>
                      <w:kern w:val="0"/>
                      <w:szCs w:val="21"/>
                    </w:rPr>
                  </w:pPr>
                  <w:r>
                    <w:rPr>
                      <w:rFonts w:hint="eastAsia"/>
                      <w:kern w:val="0"/>
                      <w:szCs w:val="21"/>
                    </w:rPr>
                    <w:t>臭气浓度（无量纲）</w:t>
                  </w:r>
                </w:p>
              </w:tc>
              <w:tc>
                <w:tcPr>
                  <w:tcW w:w="851" w:type="dxa"/>
                  <w:tcMar>
                    <w:top w:w="0" w:type="dxa"/>
                    <w:left w:w="0" w:type="dxa"/>
                    <w:bottom w:w="0" w:type="dxa"/>
                    <w:right w:w="0" w:type="dxa"/>
                  </w:tcMar>
                  <w:vAlign w:val="center"/>
                </w:tcPr>
                <w:p w14:paraId="617909D0">
                  <w:pPr>
                    <w:jc w:val="center"/>
                    <w:rPr>
                      <w:bCs/>
                      <w:szCs w:val="21"/>
                    </w:rPr>
                  </w:pPr>
                  <w:r>
                    <w:rPr>
                      <w:rFonts w:hint="eastAsia"/>
                      <w:bCs/>
                      <w:szCs w:val="21"/>
                    </w:rPr>
                    <w:t>269</w:t>
                  </w:r>
                </w:p>
              </w:tc>
              <w:tc>
                <w:tcPr>
                  <w:tcW w:w="958" w:type="dxa"/>
                  <w:tcMar>
                    <w:top w:w="0" w:type="dxa"/>
                    <w:left w:w="0" w:type="dxa"/>
                    <w:bottom w:w="0" w:type="dxa"/>
                    <w:right w:w="0" w:type="dxa"/>
                  </w:tcMar>
                  <w:vAlign w:val="center"/>
                </w:tcPr>
                <w:p w14:paraId="1FDF5979">
                  <w:pPr>
                    <w:jc w:val="center"/>
                    <w:rPr>
                      <w:bCs/>
                      <w:szCs w:val="21"/>
                    </w:rPr>
                  </w:pPr>
                  <w:r>
                    <w:rPr>
                      <w:bCs/>
                      <w:szCs w:val="21"/>
                    </w:rPr>
                    <w:t>/</w:t>
                  </w:r>
                </w:p>
              </w:tc>
              <w:tc>
                <w:tcPr>
                  <w:tcW w:w="624" w:type="dxa"/>
                  <w:tcMar>
                    <w:top w:w="0" w:type="dxa"/>
                    <w:left w:w="0" w:type="dxa"/>
                    <w:bottom w:w="0" w:type="dxa"/>
                    <w:right w:w="0" w:type="dxa"/>
                  </w:tcMar>
                  <w:vAlign w:val="center"/>
                </w:tcPr>
                <w:p w14:paraId="0740B643">
                  <w:pPr>
                    <w:jc w:val="center"/>
                    <w:rPr>
                      <w:bCs/>
                      <w:szCs w:val="21"/>
                    </w:rPr>
                  </w:pPr>
                  <w:r>
                    <w:rPr>
                      <w:rFonts w:hint="eastAsia"/>
                      <w:bCs/>
                      <w:szCs w:val="21"/>
                    </w:rPr>
                    <w:t>2000</w:t>
                  </w:r>
                </w:p>
              </w:tc>
              <w:tc>
                <w:tcPr>
                  <w:tcW w:w="540" w:type="dxa"/>
                  <w:tcMar>
                    <w:top w:w="0" w:type="dxa"/>
                    <w:left w:w="0" w:type="dxa"/>
                    <w:bottom w:w="0" w:type="dxa"/>
                    <w:right w:w="0" w:type="dxa"/>
                  </w:tcMar>
                  <w:vAlign w:val="center"/>
                </w:tcPr>
                <w:p w14:paraId="44EEE00A">
                  <w:pPr>
                    <w:jc w:val="center"/>
                    <w:rPr>
                      <w:bCs/>
                      <w:szCs w:val="21"/>
                    </w:rPr>
                  </w:pPr>
                  <w:r>
                    <w:rPr>
                      <w:bCs/>
                      <w:szCs w:val="21"/>
                    </w:rPr>
                    <w:t>/</w:t>
                  </w:r>
                </w:p>
              </w:tc>
              <w:tc>
                <w:tcPr>
                  <w:tcW w:w="649" w:type="dxa"/>
                  <w:tcMar>
                    <w:top w:w="0" w:type="dxa"/>
                    <w:left w:w="0" w:type="dxa"/>
                    <w:bottom w:w="0" w:type="dxa"/>
                    <w:right w:w="0" w:type="dxa"/>
                  </w:tcMar>
                  <w:vAlign w:val="center"/>
                </w:tcPr>
                <w:p w14:paraId="3EFDF82E">
                  <w:pPr>
                    <w:jc w:val="center"/>
                    <w:rPr>
                      <w:bCs/>
                      <w:szCs w:val="21"/>
                    </w:rPr>
                  </w:pPr>
                  <w:r>
                    <w:rPr>
                      <w:bCs/>
                      <w:szCs w:val="21"/>
                    </w:rPr>
                    <w:t>达标</w:t>
                  </w:r>
                </w:p>
              </w:tc>
            </w:tr>
            <w:tr w14:paraId="49D599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7C39BE04">
                  <w:pPr>
                    <w:jc w:val="center"/>
                    <w:rPr>
                      <w:bCs/>
                      <w:szCs w:val="21"/>
                    </w:rPr>
                  </w:pPr>
                </w:p>
              </w:tc>
              <w:tc>
                <w:tcPr>
                  <w:tcW w:w="1465" w:type="dxa"/>
                  <w:vMerge w:val="continue"/>
                  <w:tcMar>
                    <w:top w:w="0" w:type="dxa"/>
                    <w:left w:w="0" w:type="dxa"/>
                    <w:bottom w:w="0" w:type="dxa"/>
                    <w:right w:w="0" w:type="dxa"/>
                  </w:tcMar>
                  <w:vAlign w:val="center"/>
                </w:tcPr>
                <w:p w14:paraId="2E9D5BD7">
                  <w:pPr>
                    <w:jc w:val="center"/>
                    <w:rPr>
                      <w:bCs/>
                      <w:szCs w:val="21"/>
                    </w:rPr>
                  </w:pPr>
                </w:p>
              </w:tc>
              <w:tc>
                <w:tcPr>
                  <w:tcW w:w="641" w:type="dxa"/>
                  <w:vMerge w:val="continue"/>
                  <w:tcMar>
                    <w:top w:w="0" w:type="dxa"/>
                    <w:left w:w="0" w:type="dxa"/>
                    <w:bottom w:w="0" w:type="dxa"/>
                    <w:right w:w="0" w:type="dxa"/>
                  </w:tcMar>
                  <w:vAlign w:val="center"/>
                </w:tcPr>
                <w:p w14:paraId="6B39483C">
                  <w:pPr>
                    <w:widowControl/>
                    <w:jc w:val="center"/>
                    <w:rPr>
                      <w:kern w:val="0"/>
                      <w:szCs w:val="21"/>
                    </w:rPr>
                  </w:pPr>
                </w:p>
              </w:tc>
              <w:tc>
                <w:tcPr>
                  <w:tcW w:w="1744" w:type="dxa"/>
                  <w:tcMar>
                    <w:top w:w="0" w:type="dxa"/>
                    <w:left w:w="0" w:type="dxa"/>
                    <w:bottom w:w="0" w:type="dxa"/>
                    <w:right w:w="0" w:type="dxa"/>
                  </w:tcMar>
                  <w:vAlign w:val="center"/>
                </w:tcPr>
                <w:p w14:paraId="04527017">
                  <w:pPr>
                    <w:widowControl/>
                    <w:jc w:val="center"/>
                    <w:rPr>
                      <w:kern w:val="0"/>
                      <w:szCs w:val="21"/>
                    </w:rPr>
                  </w:pPr>
                  <w:r>
                    <w:rPr>
                      <w:rFonts w:hint="eastAsia"/>
                      <w:kern w:val="0"/>
                      <w:szCs w:val="21"/>
                    </w:rPr>
                    <w:t>氟化物</w:t>
                  </w:r>
                </w:p>
              </w:tc>
              <w:tc>
                <w:tcPr>
                  <w:tcW w:w="851" w:type="dxa"/>
                  <w:tcMar>
                    <w:top w:w="0" w:type="dxa"/>
                    <w:left w:w="0" w:type="dxa"/>
                    <w:bottom w:w="0" w:type="dxa"/>
                    <w:right w:w="0" w:type="dxa"/>
                  </w:tcMar>
                  <w:vAlign w:val="center"/>
                </w:tcPr>
                <w:p w14:paraId="676D1D30">
                  <w:pPr>
                    <w:jc w:val="center"/>
                    <w:rPr>
                      <w:bCs/>
                      <w:szCs w:val="21"/>
                    </w:rPr>
                  </w:pPr>
                  <w:r>
                    <w:rPr>
                      <w:rFonts w:hint="eastAsia"/>
                      <w:bCs/>
                      <w:szCs w:val="21"/>
                    </w:rPr>
                    <w:t>ND</w:t>
                  </w:r>
                </w:p>
              </w:tc>
              <w:tc>
                <w:tcPr>
                  <w:tcW w:w="958" w:type="dxa"/>
                  <w:tcMar>
                    <w:top w:w="0" w:type="dxa"/>
                    <w:left w:w="0" w:type="dxa"/>
                    <w:bottom w:w="0" w:type="dxa"/>
                    <w:right w:w="0" w:type="dxa"/>
                  </w:tcMar>
                  <w:vAlign w:val="center"/>
                </w:tcPr>
                <w:p w14:paraId="2418AA20">
                  <w:pPr>
                    <w:jc w:val="center"/>
                    <w:rPr>
                      <w:bCs/>
                      <w:szCs w:val="21"/>
                    </w:rPr>
                  </w:pPr>
                  <w:r>
                    <w:rPr>
                      <w:bCs/>
                      <w:szCs w:val="21"/>
                    </w:rPr>
                    <w:t>/</w:t>
                  </w:r>
                </w:p>
              </w:tc>
              <w:tc>
                <w:tcPr>
                  <w:tcW w:w="624" w:type="dxa"/>
                  <w:tcMar>
                    <w:top w:w="0" w:type="dxa"/>
                    <w:left w:w="0" w:type="dxa"/>
                    <w:bottom w:w="0" w:type="dxa"/>
                    <w:right w:w="0" w:type="dxa"/>
                  </w:tcMar>
                  <w:vAlign w:val="center"/>
                </w:tcPr>
                <w:p w14:paraId="3D5A3E6C">
                  <w:pPr>
                    <w:jc w:val="center"/>
                    <w:rPr>
                      <w:bCs/>
                      <w:szCs w:val="21"/>
                    </w:rPr>
                  </w:pPr>
                  <w:r>
                    <w:rPr>
                      <w:rFonts w:hint="eastAsia"/>
                      <w:bCs/>
                      <w:szCs w:val="21"/>
                    </w:rPr>
                    <w:t>3</w:t>
                  </w:r>
                </w:p>
              </w:tc>
              <w:tc>
                <w:tcPr>
                  <w:tcW w:w="540" w:type="dxa"/>
                  <w:tcMar>
                    <w:top w:w="0" w:type="dxa"/>
                    <w:left w:w="0" w:type="dxa"/>
                    <w:bottom w:w="0" w:type="dxa"/>
                    <w:right w:w="0" w:type="dxa"/>
                  </w:tcMar>
                  <w:vAlign w:val="center"/>
                </w:tcPr>
                <w:p w14:paraId="28865D7C">
                  <w:pPr>
                    <w:jc w:val="center"/>
                    <w:rPr>
                      <w:bCs/>
                      <w:szCs w:val="21"/>
                    </w:rPr>
                  </w:pPr>
                  <w:r>
                    <w:rPr>
                      <w:rFonts w:hint="eastAsia"/>
                      <w:bCs/>
                      <w:szCs w:val="21"/>
                    </w:rPr>
                    <w:t>0.072</w:t>
                  </w:r>
                </w:p>
              </w:tc>
              <w:tc>
                <w:tcPr>
                  <w:tcW w:w="649" w:type="dxa"/>
                  <w:tcMar>
                    <w:top w:w="0" w:type="dxa"/>
                    <w:left w:w="0" w:type="dxa"/>
                    <w:bottom w:w="0" w:type="dxa"/>
                    <w:right w:w="0" w:type="dxa"/>
                  </w:tcMar>
                  <w:vAlign w:val="center"/>
                </w:tcPr>
                <w:p w14:paraId="1EFEB546">
                  <w:pPr>
                    <w:jc w:val="center"/>
                    <w:rPr>
                      <w:bCs/>
                      <w:szCs w:val="21"/>
                    </w:rPr>
                  </w:pPr>
                  <w:r>
                    <w:rPr>
                      <w:bCs/>
                      <w:szCs w:val="21"/>
                    </w:rPr>
                    <w:t>达标</w:t>
                  </w:r>
                </w:p>
              </w:tc>
            </w:tr>
            <w:tr w14:paraId="6BD3B9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590631FF">
                  <w:pPr>
                    <w:jc w:val="center"/>
                    <w:rPr>
                      <w:bCs/>
                      <w:szCs w:val="21"/>
                    </w:rPr>
                  </w:pPr>
                </w:p>
              </w:tc>
              <w:tc>
                <w:tcPr>
                  <w:tcW w:w="1465" w:type="dxa"/>
                  <w:vMerge w:val="continue"/>
                  <w:tcMar>
                    <w:top w:w="0" w:type="dxa"/>
                    <w:left w:w="0" w:type="dxa"/>
                    <w:bottom w:w="0" w:type="dxa"/>
                    <w:right w:w="0" w:type="dxa"/>
                  </w:tcMar>
                  <w:vAlign w:val="center"/>
                </w:tcPr>
                <w:p w14:paraId="28576682">
                  <w:pPr>
                    <w:jc w:val="center"/>
                    <w:rPr>
                      <w:bCs/>
                      <w:szCs w:val="21"/>
                    </w:rPr>
                  </w:pPr>
                </w:p>
              </w:tc>
              <w:tc>
                <w:tcPr>
                  <w:tcW w:w="641" w:type="dxa"/>
                  <w:vMerge w:val="continue"/>
                  <w:tcMar>
                    <w:top w:w="0" w:type="dxa"/>
                    <w:left w:w="0" w:type="dxa"/>
                    <w:bottom w:w="0" w:type="dxa"/>
                    <w:right w:w="0" w:type="dxa"/>
                  </w:tcMar>
                  <w:vAlign w:val="center"/>
                </w:tcPr>
                <w:p w14:paraId="52B91F65">
                  <w:pPr>
                    <w:widowControl/>
                    <w:jc w:val="center"/>
                    <w:rPr>
                      <w:kern w:val="0"/>
                      <w:szCs w:val="21"/>
                    </w:rPr>
                  </w:pPr>
                </w:p>
              </w:tc>
              <w:tc>
                <w:tcPr>
                  <w:tcW w:w="1744" w:type="dxa"/>
                  <w:tcMar>
                    <w:top w:w="0" w:type="dxa"/>
                    <w:left w:w="0" w:type="dxa"/>
                    <w:bottom w:w="0" w:type="dxa"/>
                    <w:right w:w="0" w:type="dxa"/>
                  </w:tcMar>
                  <w:vAlign w:val="center"/>
                </w:tcPr>
                <w:p w14:paraId="6528EDDC">
                  <w:pPr>
                    <w:widowControl/>
                    <w:jc w:val="center"/>
                    <w:rPr>
                      <w:kern w:val="0"/>
                      <w:szCs w:val="21"/>
                    </w:rPr>
                  </w:pPr>
                  <w:r>
                    <w:rPr>
                      <w:kern w:val="0"/>
                      <w:szCs w:val="21"/>
                    </w:rPr>
                    <w:t>VOCs</w:t>
                  </w:r>
                </w:p>
              </w:tc>
              <w:tc>
                <w:tcPr>
                  <w:tcW w:w="851" w:type="dxa"/>
                  <w:tcMar>
                    <w:top w:w="0" w:type="dxa"/>
                    <w:left w:w="0" w:type="dxa"/>
                    <w:bottom w:w="0" w:type="dxa"/>
                    <w:right w:w="0" w:type="dxa"/>
                  </w:tcMar>
                  <w:vAlign w:val="center"/>
                </w:tcPr>
                <w:p w14:paraId="4829908F">
                  <w:pPr>
                    <w:jc w:val="center"/>
                    <w:rPr>
                      <w:bCs/>
                      <w:szCs w:val="21"/>
                    </w:rPr>
                  </w:pPr>
                  <w:r>
                    <w:rPr>
                      <w:rFonts w:hint="eastAsia"/>
                      <w:bCs/>
                      <w:szCs w:val="21"/>
                    </w:rPr>
                    <w:t>4.06</w:t>
                  </w:r>
                </w:p>
              </w:tc>
              <w:tc>
                <w:tcPr>
                  <w:tcW w:w="958" w:type="dxa"/>
                  <w:tcMar>
                    <w:top w:w="0" w:type="dxa"/>
                    <w:left w:w="0" w:type="dxa"/>
                    <w:bottom w:w="0" w:type="dxa"/>
                    <w:right w:w="0" w:type="dxa"/>
                  </w:tcMar>
                  <w:vAlign w:val="center"/>
                </w:tcPr>
                <w:p w14:paraId="22E60B6C">
                  <w:pPr>
                    <w:jc w:val="center"/>
                    <w:rPr>
                      <w:bCs/>
                      <w:szCs w:val="21"/>
                    </w:rPr>
                  </w:pPr>
                  <w:r>
                    <w:rPr>
                      <w:rFonts w:hint="eastAsia"/>
                      <w:bCs/>
                      <w:szCs w:val="21"/>
                    </w:rPr>
                    <w:t>0.108</w:t>
                  </w:r>
                </w:p>
              </w:tc>
              <w:tc>
                <w:tcPr>
                  <w:tcW w:w="624" w:type="dxa"/>
                  <w:tcMar>
                    <w:top w:w="0" w:type="dxa"/>
                    <w:left w:w="0" w:type="dxa"/>
                    <w:bottom w:w="0" w:type="dxa"/>
                    <w:right w:w="0" w:type="dxa"/>
                  </w:tcMar>
                  <w:vAlign w:val="center"/>
                </w:tcPr>
                <w:p w14:paraId="588FD61D">
                  <w:pPr>
                    <w:jc w:val="center"/>
                    <w:rPr>
                      <w:bCs/>
                      <w:szCs w:val="21"/>
                    </w:rPr>
                  </w:pPr>
                  <w:r>
                    <w:rPr>
                      <w:bCs/>
                      <w:szCs w:val="21"/>
                    </w:rPr>
                    <w:t>10</w:t>
                  </w:r>
                </w:p>
              </w:tc>
              <w:tc>
                <w:tcPr>
                  <w:tcW w:w="540" w:type="dxa"/>
                  <w:tcMar>
                    <w:top w:w="0" w:type="dxa"/>
                    <w:left w:w="0" w:type="dxa"/>
                    <w:bottom w:w="0" w:type="dxa"/>
                    <w:right w:w="0" w:type="dxa"/>
                  </w:tcMar>
                  <w:vAlign w:val="center"/>
                </w:tcPr>
                <w:p w14:paraId="483693BB">
                  <w:pPr>
                    <w:jc w:val="center"/>
                    <w:rPr>
                      <w:bCs/>
                      <w:szCs w:val="21"/>
                    </w:rPr>
                  </w:pPr>
                  <w:r>
                    <w:rPr>
                      <w:bCs/>
                      <w:szCs w:val="21"/>
                    </w:rPr>
                    <w:t>1.0</w:t>
                  </w:r>
                </w:p>
              </w:tc>
              <w:tc>
                <w:tcPr>
                  <w:tcW w:w="649" w:type="dxa"/>
                  <w:tcMar>
                    <w:top w:w="0" w:type="dxa"/>
                    <w:left w:w="0" w:type="dxa"/>
                    <w:bottom w:w="0" w:type="dxa"/>
                    <w:right w:w="0" w:type="dxa"/>
                  </w:tcMar>
                  <w:vAlign w:val="center"/>
                </w:tcPr>
                <w:p w14:paraId="4C16FBC1">
                  <w:pPr>
                    <w:jc w:val="center"/>
                    <w:rPr>
                      <w:bCs/>
                      <w:szCs w:val="21"/>
                    </w:rPr>
                  </w:pPr>
                  <w:r>
                    <w:rPr>
                      <w:bCs/>
                      <w:szCs w:val="21"/>
                    </w:rPr>
                    <w:t>达标</w:t>
                  </w:r>
                </w:p>
              </w:tc>
            </w:tr>
            <w:tr w14:paraId="552813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2E6E7ECE">
                  <w:pPr>
                    <w:jc w:val="center"/>
                    <w:rPr>
                      <w:bCs/>
                      <w:szCs w:val="21"/>
                    </w:rPr>
                  </w:pPr>
                </w:p>
              </w:tc>
              <w:tc>
                <w:tcPr>
                  <w:tcW w:w="1465" w:type="dxa"/>
                  <w:vMerge w:val="continue"/>
                  <w:tcMar>
                    <w:top w:w="0" w:type="dxa"/>
                    <w:left w:w="0" w:type="dxa"/>
                    <w:bottom w:w="0" w:type="dxa"/>
                    <w:right w:w="0" w:type="dxa"/>
                  </w:tcMar>
                  <w:vAlign w:val="center"/>
                </w:tcPr>
                <w:p w14:paraId="2AA5634A">
                  <w:pPr>
                    <w:jc w:val="center"/>
                    <w:rPr>
                      <w:bCs/>
                      <w:szCs w:val="21"/>
                    </w:rPr>
                  </w:pPr>
                </w:p>
              </w:tc>
              <w:tc>
                <w:tcPr>
                  <w:tcW w:w="641" w:type="dxa"/>
                  <w:vMerge w:val="continue"/>
                  <w:tcMar>
                    <w:top w:w="0" w:type="dxa"/>
                    <w:left w:w="0" w:type="dxa"/>
                    <w:bottom w:w="0" w:type="dxa"/>
                    <w:right w:w="0" w:type="dxa"/>
                  </w:tcMar>
                  <w:vAlign w:val="center"/>
                </w:tcPr>
                <w:p w14:paraId="3B505999">
                  <w:pPr>
                    <w:widowControl/>
                    <w:jc w:val="center"/>
                    <w:rPr>
                      <w:kern w:val="0"/>
                      <w:szCs w:val="21"/>
                    </w:rPr>
                  </w:pPr>
                </w:p>
              </w:tc>
              <w:tc>
                <w:tcPr>
                  <w:tcW w:w="1744" w:type="dxa"/>
                  <w:tcMar>
                    <w:top w:w="0" w:type="dxa"/>
                    <w:left w:w="0" w:type="dxa"/>
                    <w:bottom w:w="0" w:type="dxa"/>
                    <w:right w:w="0" w:type="dxa"/>
                  </w:tcMar>
                  <w:vAlign w:val="center"/>
                </w:tcPr>
                <w:p w14:paraId="42EB1623">
                  <w:pPr>
                    <w:widowControl/>
                    <w:jc w:val="center"/>
                    <w:rPr>
                      <w:kern w:val="0"/>
                      <w:szCs w:val="21"/>
                    </w:rPr>
                  </w:pPr>
                  <w:r>
                    <w:rPr>
                      <w:kern w:val="0"/>
                      <w:szCs w:val="21"/>
                    </w:rPr>
                    <w:t>H</w:t>
                  </w:r>
                  <w:r>
                    <w:rPr>
                      <w:kern w:val="0"/>
                      <w:szCs w:val="21"/>
                      <w:vertAlign w:val="subscript"/>
                    </w:rPr>
                    <w:t>2</w:t>
                  </w:r>
                  <w:r>
                    <w:rPr>
                      <w:kern w:val="0"/>
                      <w:szCs w:val="21"/>
                    </w:rPr>
                    <w:t>S</w:t>
                  </w:r>
                </w:p>
              </w:tc>
              <w:tc>
                <w:tcPr>
                  <w:tcW w:w="851" w:type="dxa"/>
                  <w:tcMar>
                    <w:top w:w="0" w:type="dxa"/>
                    <w:left w:w="0" w:type="dxa"/>
                    <w:bottom w:w="0" w:type="dxa"/>
                    <w:right w:w="0" w:type="dxa"/>
                  </w:tcMar>
                  <w:vAlign w:val="center"/>
                </w:tcPr>
                <w:p w14:paraId="0E1720BE">
                  <w:pPr>
                    <w:jc w:val="center"/>
                    <w:rPr>
                      <w:bCs/>
                      <w:szCs w:val="21"/>
                    </w:rPr>
                  </w:pPr>
                  <w:r>
                    <w:rPr>
                      <w:rFonts w:hint="eastAsia"/>
                      <w:bCs/>
                      <w:szCs w:val="21"/>
                    </w:rPr>
                    <w:t>0.001</w:t>
                  </w:r>
                </w:p>
              </w:tc>
              <w:tc>
                <w:tcPr>
                  <w:tcW w:w="958" w:type="dxa"/>
                  <w:tcMar>
                    <w:top w:w="0" w:type="dxa"/>
                    <w:left w:w="0" w:type="dxa"/>
                    <w:bottom w:w="0" w:type="dxa"/>
                    <w:right w:w="0" w:type="dxa"/>
                  </w:tcMar>
                  <w:vAlign w:val="center"/>
                </w:tcPr>
                <w:p w14:paraId="6BEF3311">
                  <w:pPr>
                    <w:jc w:val="center"/>
                    <w:rPr>
                      <w:bCs/>
                      <w:szCs w:val="21"/>
                    </w:rPr>
                  </w:pPr>
                  <w:r>
                    <w:rPr>
                      <w:rFonts w:hint="eastAsia"/>
                      <w:bCs/>
                      <w:szCs w:val="21"/>
                    </w:rPr>
                    <w:t>0.0000266</w:t>
                  </w:r>
                </w:p>
              </w:tc>
              <w:tc>
                <w:tcPr>
                  <w:tcW w:w="624" w:type="dxa"/>
                  <w:tcMar>
                    <w:top w:w="0" w:type="dxa"/>
                    <w:left w:w="0" w:type="dxa"/>
                    <w:bottom w:w="0" w:type="dxa"/>
                    <w:right w:w="0" w:type="dxa"/>
                  </w:tcMar>
                  <w:vAlign w:val="center"/>
                </w:tcPr>
                <w:p w14:paraId="214046E0">
                  <w:pPr>
                    <w:jc w:val="center"/>
                    <w:rPr>
                      <w:bCs/>
                      <w:szCs w:val="21"/>
                    </w:rPr>
                  </w:pPr>
                  <w:r>
                    <w:rPr>
                      <w:bCs/>
                      <w:szCs w:val="21"/>
                    </w:rPr>
                    <w:t>/</w:t>
                  </w:r>
                </w:p>
              </w:tc>
              <w:tc>
                <w:tcPr>
                  <w:tcW w:w="540" w:type="dxa"/>
                  <w:tcMar>
                    <w:top w:w="0" w:type="dxa"/>
                    <w:left w:w="0" w:type="dxa"/>
                    <w:bottom w:w="0" w:type="dxa"/>
                    <w:right w:w="0" w:type="dxa"/>
                  </w:tcMar>
                  <w:vAlign w:val="center"/>
                </w:tcPr>
                <w:p w14:paraId="70CA1074">
                  <w:pPr>
                    <w:jc w:val="center"/>
                    <w:rPr>
                      <w:bCs/>
                      <w:szCs w:val="21"/>
                    </w:rPr>
                  </w:pPr>
                  <w:r>
                    <w:rPr>
                      <w:bCs/>
                      <w:szCs w:val="21"/>
                    </w:rPr>
                    <w:t>0.33</w:t>
                  </w:r>
                </w:p>
              </w:tc>
              <w:tc>
                <w:tcPr>
                  <w:tcW w:w="649" w:type="dxa"/>
                  <w:tcMar>
                    <w:top w:w="0" w:type="dxa"/>
                    <w:left w:w="0" w:type="dxa"/>
                    <w:bottom w:w="0" w:type="dxa"/>
                    <w:right w:w="0" w:type="dxa"/>
                  </w:tcMar>
                  <w:vAlign w:val="center"/>
                </w:tcPr>
                <w:p w14:paraId="086998F4">
                  <w:pPr>
                    <w:jc w:val="center"/>
                    <w:rPr>
                      <w:bCs/>
                      <w:szCs w:val="21"/>
                    </w:rPr>
                  </w:pPr>
                  <w:r>
                    <w:rPr>
                      <w:bCs/>
                      <w:szCs w:val="21"/>
                    </w:rPr>
                    <w:t>达标</w:t>
                  </w:r>
                </w:p>
              </w:tc>
            </w:tr>
            <w:tr w14:paraId="3398F0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498CF073">
                  <w:pPr>
                    <w:jc w:val="center"/>
                    <w:rPr>
                      <w:bCs/>
                      <w:szCs w:val="21"/>
                    </w:rPr>
                  </w:pPr>
                </w:p>
              </w:tc>
              <w:tc>
                <w:tcPr>
                  <w:tcW w:w="1465" w:type="dxa"/>
                  <w:tcMar>
                    <w:top w:w="0" w:type="dxa"/>
                    <w:left w:w="0" w:type="dxa"/>
                    <w:bottom w:w="0" w:type="dxa"/>
                    <w:right w:w="0" w:type="dxa"/>
                  </w:tcMar>
                  <w:vAlign w:val="center"/>
                </w:tcPr>
                <w:p w14:paraId="49405A65">
                  <w:pPr>
                    <w:jc w:val="center"/>
                    <w:rPr>
                      <w:bCs/>
                      <w:szCs w:val="21"/>
                    </w:rPr>
                  </w:pPr>
                  <w:r>
                    <w:rPr>
                      <w:rFonts w:hint="eastAsia"/>
                      <w:bCs/>
                      <w:szCs w:val="21"/>
                    </w:rPr>
                    <w:t>5#排气筒出口</w:t>
                  </w:r>
                </w:p>
              </w:tc>
              <w:tc>
                <w:tcPr>
                  <w:tcW w:w="641" w:type="dxa"/>
                  <w:tcMar>
                    <w:top w:w="0" w:type="dxa"/>
                    <w:left w:w="0" w:type="dxa"/>
                    <w:bottom w:w="0" w:type="dxa"/>
                    <w:right w:w="0" w:type="dxa"/>
                  </w:tcMar>
                  <w:vAlign w:val="center"/>
                </w:tcPr>
                <w:p w14:paraId="67064C57">
                  <w:pPr>
                    <w:widowControl/>
                    <w:jc w:val="center"/>
                    <w:rPr>
                      <w:kern w:val="0"/>
                      <w:szCs w:val="21"/>
                    </w:rPr>
                  </w:pPr>
                  <w:r>
                    <w:rPr>
                      <w:rFonts w:hint="eastAsia"/>
                      <w:kern w:val="0"/>
                      <w:szCs w:val="21"/>
                    </w:rPr>
                    <w:t>4590</w:t>
                  </w:r>
                </w:p>
              </w:tc>
              <w:tc>
                <w:tcPr>
                  <w:tcW w:w="1744" w:type="dxa"/>
                  <w:tcMar>
                    <w:top w:w="0" w:type="dxa"/>
                    <w:left w:w="0" w:type="dxa"/>
                    <w:bottom w:w="0" w:type="dxa"/>
                    <w:right w:w="0" w:type="dxa"/>
                  </w:tcMar>
                  <w:vAlign w:val="center"/>
                </w:tcPr>
                <w:p w14:paraId="305CCE67">
                  <w:pPr>
                    <w:widowControl/>
                    <w:jc w:val="center"/>
                    <w:rPr>
                      <w:kern w:val="0"/>
                      <w:szCs w:val="21"/>
                    </w:rPr>
                  </w:pPr>
                  <w:r>
                    <w:rPr>
                      <w:rFonts w:hint="eastAsia"/>
                      <w:kern w:val="0"/>
                      <w:szCs w:val="21"/>
                    </w:rPr>
                    <w:t>颗粒物</w:t>
                  </w:r>
                </w:p>
              </w:tc>
              <w:tc>
                <w:tcPr>
                  <w:tcW w:w="851" w:type="dxa"/>
                  <w:tcMar>
                    <w:top w:w="0" w:type="dxa"/>
                    <w:left w:w="0" w:type="dxa"/>
                    <w:bottom w:w="0" w:type="dxa"/>
                    <w:right w:w="0" w:type="dxa"/>
                  </w:tcMar>
                  <w:vAlign w:val="center"/>
                </w:tcPr>
                <w:p w14:paraId="6561F577">
                  <w:pPr>
                    <w:jc w:val="center"/>
                    <w:rPr>
                      <w:bCs/>
                      <w:szCs w:val="21"/>
                    </w:rPr>
                  </w:pPr>
                  <w:r>
                    <w:rPr>
                      <w:rFonts w:hint="eastAsia"/>
                      <w:bCs/>
                      <w:szCs w:val="21"/>
                    </w:rPr>
                    <w:t>ND</w:t>
                  </w:r>
                </w:p>
              </w:tc>
              <w:tc>
                <w:tcPr>
                  <w:tcW w:w="958" w:type="dxa"/>
                  <w:tcMar>
                    <w:top w:w="0" w:type="dxa"/>
                    <w:left w:w="0" w:type="dxa"/>
                    <w:bottom w:w="0" w:type="dxa"/>
                    <w:right w:w="0" w:type="dxa"/>
                  </w:tcMar>
                  <w:vAlign w:val="center"/>
                </w:tcPr>
                <w:p w14:paraId="4423E28A">
                  <w:pPr>
                    <w:jc w:val="center"/>
                    <w:rPr>
                      <w:bCs/>
                      <w:szCs w:val="21"/>
                    </w:rPr>
                  </w:pPr>
                  <w:r>
                    <w:rPr>
                      <w:bCs/>
                      <w:szCs w:val="21"/>
                    </w:rPr>
                    <w:t>/</w:t>
                  </w:r>
                </w:p>
              </w:tc>
              <w:tc>
                <w:tcPr>
                  <w:tcW w:w="624" w:type="dxa"/>
                  <w:tcMar>
                    <w:top w:w="0" w:type="dxa"/>
                    <w:left w:w="0" w:type="dxa"/>
                    <w:bottom w:w="0" w:type="dxa"/>
                    <w:right w:w="0" w:type="dxa"/>
                  </w:tcMar>
                  <w:vAlign w:val="center"/>
                </w:tcPr>
                <w:p w14:paraId="60B1DFDC">
                  <w:pPr>
                    <w:jc w:val="center"/>
                    <w:rPr>
                      <w:bCs/>
                      <w:szCs w:val="21"/>
                    </w:rPr>
                  </w:pPr>
                  <w:r>
                    <w:rPr>
                      <w:rFonts w:hint="eastAsia"/>
                      <w:bCs/>
                      <w:szCs w:val="21"/>
                    </w:rPr>
                    <w:t>20</w:t>
                  </w:r>
                </w:p>
              </w:tc>
              <w:tc>
                <w:tcPr>
                  <w:tcW w:w="540" w:type="dxa"/>
                  <w:tcMar>
                    <w:top w:w="0" w:type="dxa"/>
                    <w:left w:w="0" w:type="dxa"/>
                    <w:bottom w:w="0" w:type="dxa"/>
                    <w:right w:w="0" w:type="dxa"/>
                  </w:tcMar>
                  <w:vAlign w:val="center"/>
                </w:tcPr>
                <w:p w14:paraId="2FE26AE0">
                  <w:pPr>
                    <w:jc w:val="center"/>
                    <w:rPr>
                      <w:bCs/>
                      <w:szCs w:val="21"/>
                    </w:rPr>
                  </w:pPr>
                  <w:r>
                    <w:rPr>
                      <w:rFonts w:hint="eastAsia"/>
                      <w:bCs/>
                      <w:szCs w:val="21"/>
                    </w:rPr>
                    <w:t>1</w:t>
                  </w:r>
                </w:p>
              </w:tc>
              <w:tc>
                <w:tcPr>
                  <w:tcW w:w="649" w:type="dxa"/>
                  <w:tcMar>
                    <w:top w:w="0" w:type="dxa"/>
                    <w:left w:w="0" w:type="dxa"/>
                    <w:bottom w:w="0" w:type="dxa"/>
                    <w:right w:w="0" w:type="dxa"/>
                  </w:tcMar>
                  <w:vAlign w:val="center"/>
                </w:tcPr>
                <w:p w14:paraId="0DA3B365">
                  <w:pPr>
                    <w:jc w:val="center"/>
                    <w:rPr>
                      <w:bCs/>
                      <w:szCs w:val="21"/>
                    </w:rPr>
                  </w:pPr>
                  <w:r>
                    <w:rPr>
                      <w:bCs/>
                      <w:szCs w:val="21"/>
                    </w:rPr>
                    <w:t>达标</w:t>
                  </w:r>
                </w:p>
              </w:tc>
            </w:tr>
            <w:tr w14:paraId="775A03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32117151">
                  <w:pPr>
                    <w:jc w:val="center"/>
                    <w:rPr>
                      <w:bCs/>
                      <w:szCs w:val="21"/>
                    </w:rPr>
                  </w:pPr>
                </w:p>
              </w:tc>
              <w:tc>
                <w:tcPr>
                  <w:tcW w:w="1465" w:type="dxa"/>
                  <w:vMerge w:val="restart"/>
                  <w:tcMar>
                    <w:top w:w="0" w:type="dxa"/>
                    <w:left w:w="0" w:type="dxa"/>
                    <w:bottom w:w="0" w:type="dxa"/>
                    <w:right w:w="0" w:type="dxa"/>
                  </w:tcMar>
                  <w:vAlign w:val="center"/>
                </w:tcPr>
                <w:p w14:paraId="77556289">
                  <w:pPr>
                    <w:jc w:val="center"/>
                    <w:rPr>
                      <w:bCs/>
                      <w:szCs w:val="21"/>
                    </w:rPr>
                  </w:pPr>
                  <w:r>
                    <w:rPr>
                      <w:rFonts w:hint="eastAsia"/>
                      <w:bCs/>
                      <w:szCs w:val="21"/>
                    </w:rPr>
                    <w:t>6#排气筒出口</w:t>
                  </w:r>
                </w:p>
              </w:tc>
              <w:tc>
                <w:tcPr>
                  <w:tcW w:w="641" w:type="dxa"/>
                  <w:vMerge w:val="restart"/>
                  <w:tcMar>
                    <w:top w:w="0" w:type="dxa"/>
                    <w:left w:w="0" w:type="dxa"/>
                    <w:bottom w:w="0" w:type="dxa"/>
                    <w:right w:w="0" w:type="dxa"/>
                  </w:tcMar>
                  <w:vAlign w:val="center"/>
                </w:tcPr>
                <w:p w14:paraId="4D547A3A">
                  <w:pPr>
                    <w:widowControl/>
                    <w:jc w:val="center"/>
                    <w:rPr>
                      <w:kern w:val="0"/>
                      <w:szCs w:val="21"/>
                    </w:rPr>
                  </w:pPr>
                  <w:r>
                    <w:rPr>
                      <w:rFonts w:hint="eastAsia"/>
                      <w:kern w:val="0"/>
                      <w:szCs w:val="21"/>
                    </w:rPr>
                    <w:t>46200</w:t>
                  </w:r>
                </w:p>
              </w:tc>
              <w:tc>
                <w:tcPr>
                  <w:tcW w:w="1744" w:type="dxa"/>
                  <w:tcMar>
                    <w:top w:w="0" w:type="dxa"/>
                    <w:left w:w="0" w:type="dxa"/>
                    <w:bottom w:w="0" w:type="dxa"/>
                    <w:right w:w="0" w:type="dxa"/>
                  </w:tcMar>
                  <w:vAlign w:val="center"/>
                </w:tcPr>
                <w:p w14:paraId="126A2842">
                  <w:pPr>
                    <w:widowControl/>
                    <w:jc w:val="center"/>
                    <w:rPr>
                      <w:kern w:val="0"/>
                      <w:szCs w:val="21"/>
                    </w:rPr>
                  </w:pPr>
                  <w:r>
                    <w:rPr>
                      <w:kern w:val="0"/>
                      <w:szCs w:val="21"/>
                    </w:rPr>
                    <w:t>非甲烷总烃</w:t>
                  </w:r>
                </w:p>
              </w:tc>
              <w:tc>
                <w:tcPr>
                  <w:tcW w:w="851" w:type="dxa"/>
                  <w:tcMar>
                    <w:top w:w="0" w:type="dxa"/>
                    <w:left w:w="0" w:type="dxa"/>
                    <w:bottom w:w="0" w:type="dxa"/>
                    <w:right w:w="0" w:type="dxa"/>
                  </w:tcMar>
                  <w:vAlign w:val="center"/>
                </w:tcPr>
                <w:p w14:paraId="4CA65E34">
                  <w:pPr>
                    <w:jc w:val="center"/>
                    <w:rPr>
                      <w:bCs/>
                      <w:szCs w:val="21"/>
                    </w:rPr>
                  </w:pPr>
                  <w:r>
                    <w:rPr>
                      <w:rFonts w:hint="eastAsia"/>
                      <w:bCs/>
                      <w:szCs w:val="21"/>
                    </w:rPr>
                    <w:t>1.35</w:t>
                  </w:r>
                </w:p>
              </w:tc>
              <w:tc>
                <w:tcPr>
                  <w:tcW w:w="958" w:type="dxa"/>
                  <w:tcMar>
                    <w:top w:w="0" w:type="dxa"/>
                    <w:left w:w="0" w:type="dxa"/>
                    <w:bottom w:w="0" w:type="dxa"/>
                    <w:right w:w="0" w:type="dxa"/>
                  </w:tcMar>
                  <w:vAlign w:val="center"/>
                </w:tcPr>
                <w:p w14:paraId="137D5BE5">
                  <w:pPr>
                    <w:jc w:val="center"/>
                    <w:rPr>
                      <w:bCs/>
                      <w:szCs w:val="21"/>
                    </w:rPr>
                  </w:pPr>
                  <w:r>
                    <w:rPr>
                      <w:rFonts w:hint="eastAsia"/>
                      <w:bCs/>
                      <w:szCs w:val="21"/>
                    </w:rPr>
                    <w:t>0.062</w:t>
                  </w:r>
                </w:p>
              </w:tc>
              <w:tc>
                <w:tcPr>
                  <w:tcW w:w="624" w:type="dxa"/>
                  <w:tcMar>
                    <w:top w:w="0" w:type="dxa"/>
                    <w:left w:w="0" w:type="dxa"/>
                    <w:bottom w:w="0" w:type="dxa"/>
                    <w:right w:w="0" w:type="dxa"/>
                  </w:tcMar>
                  <w:vAlign w:val="center"/>
                </w:tcPr>
                <w:p w14:paraId="11127123">
                  <w:pPr>
                    <w:jc w:val="center"/>
                    <w:rPr>
                      <w:bCs/>
                      <w:szCs w:val="21"/>
                    </w:rPr>
                  </w:pPr>
                  <w:r>
                    <w:rPr>
                      <w:bCs/>
                      <w:szCs w:val="21"/>
                    </w:rPr>
                    <w:t>10</w:t>
                  </w:r>
                </w:p>
              </w:tc>
              <w:tc>
                <w:tcPr>
                  <w:tcW w:w="540" w:type="dxa"/>
                  <w:tcMar>
                    <w:top w:w="0" w:type="dxa"/>
                    <w:left w:w="0" w:type="dxa"/>
                    <w:bottom w:w="0" w:type="dxa"/>
                    <w:right w:w="0" w:type="dxa"/>
                  </w:tcMar>
                  <w:vAlign w:val="center"/>
                </w:tcPr>
                <w:p w14:paraId="4345BBD8">
                  <w:pPr>
                    <w:jc w:val="center"/>
                    <w:rPr>
                      <w:bCs/>
                      <w:szCs w:val="21"/>
                    </w:rPr>
                  </w:pPr>
                  <w:r>
                    <w:rPr>
                      <w:bCs/>
                      <w:szCs w:val="21"/>
                    </w:rPr>
                    <w:t>/</w:t>
                  </w:r>
                </w:p>
              </w:tc>
              <w:tc>
                <w:tcPr>
                  <w:tcW w:w="649" w:type="dxa"/>
                  <w:tcMar>
                    <w:top w:w="0" w:type="dxa"/>
                    <w:left w:w="0" w:type="dxa"/>
                    <w:bottom w:w="0" w:type="dxa"/>
                    <w:right w:w="0" w:type="dxa"/>
                  </w:tcMar>
                  <w:vAlign w:val="center"/>
                </w:tcPr>
                <w:p w14:paraId="2FF8D45C">
                  <w:pPr>
                    <w:jc w:val="center"/>
                    <w:rPr>
                      <w:bCs/>
                      <w:szCs w:val="21"/>
                    </w:rPr>
                  </w:pPr>
                  <w:r>
                    <w:rPr>
                      <w:bCs/>
                      <w:szCs w:val="21"/>
                    </w:rPr>
                    <w:t>达标</w:t>
                  </w:r>
                </w:p>
              </w:tc>
            </w:tr>
            <w:tr w14:paraId="5596FC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14ACBB05">
                  <w:pPr>
                    <w:jc w:val="center"/>
                    <w:rPr>
                      <w:bCs/>
                      <w:szCs w:val="21"/>
                    </w:rPr>
                  </w:pPr>
                </w:p>
              </w:tc>
              <w:tc>
                <w:tcPr>
                  <w:tcW w:w="1465" w:type="dxa"/>
                  <w:vMerge w:val="continue"/>
                  <w:tcMar>
                    <w:top w:w="0" w:type="dxa"/>
                    <w:left w:w="0" w:type="dxa"/>
                    <w:bottom w:w="0" w:type="dxa"/>
                    <w:right w:w="0" w:type="dxa"/>
                  </w:tcMar>
                  <w:vAlign w:val="center"/>
                </w:tcPr>
                <w:p w14:paraId="38BC7AA1">
                  <w:pPr>
                    <w:jc w:val="center"/>
                    <w:rPr>
                      <w:bCs/>
                      <w:szCs w:val="21"/>
                    </w:rPr>
                  </w:pPr>
                </w:p>
              </w:tc>
              <w:tc>
                <w:tcPr>
                  <w:tcW w:w="641" w:type="dxa"/>
                  <w:vMerge w:val="continue"/>
                  <w:tcMar>
                    <w:top w:w="0" w:type="dxa"/>
                    <w:left w:w="0" w:type="dxa"/>
                    <w:bottom w:w="0" w:type="dxa"/>
                    <w:right w:w="0" w:type="dxa"/>
                  </w:tcMar>
                  <w:vAlign w:val="center"/>
                </w:tcPr>
                <w:p w14:paraId="0F8B0212">
                  <w:pPr>
                    <w:widowControl/>
                    <w:jc w:val="center"/>
                    <w:rPr>
                      <w:kern w:val="0"/>
                      <w:szCs w:val="21"/>
                    </w:rPr>
                  </w:pPr>
                </w:p>
              </w:tc>
              <w:tc>
                <w:tcPr>
                  <w:tcW w:w="1744" w:type="dxa"/>
                  <w:tcMar>
                    <w:top w:w="0" w:type="dxa"/>
                    <w:left w:w="0" w:type="dxa"/>
                    <w:bottom w:w="0" w:type="dxa"/>
                    <w:right w:w="0" w:type="dxa"/>
                  </w:tcMar>
                  <w:vAlign w:val="center"/>
                </w:tcPr>
                <w:p w14:paraId="2FD51799">
                  <w:pPr>
                    <w:widowControl/>
                    <w:jc w:val="center"/>
                    <w:rPr>
                      <w:kern w:val="0"/>
                      <w:szCs w:val="21"/>
                    </w:rPr>
                  </w:pPr>
                  <w:r>
                    <w:rPr>
                      <w:rFonts w:hint="eastAsia"/>
                      <w:kern w:val="0"/>
                      <w:szCs w:val="21"/>
                    </w:rPr>
                    <w:t>臭气浓度（无量纲）</w:t>
                  </w:r>
                </w:p>
              </w:tc>
              <w:tc>
                <w:tcPr>
                  <w:tcW w:w="851" w:type="dxa"/>
                  <w:tcMar>
                    <w:top w:w="0" w:type="dxa"/>
                    <w:left w:w="0" w:type="dxa"/>
                    <w:bottom w:w="0" w:type="dxa"/>
                    <w:right w:w="0" w:type="dxa"/>
                  </w:tcMar>
                  <w:vAlign w:val="center"/>
                </w:tcPr>
                <w:p w14:paraId="05269694">
                  <w:pPr>
                    <w:jc w:val="center"/>
                    <w:rPr>
                      <w:bCs/>
                      <w:szCs w:val="21"/>
                    </w:rPr>
                  </w:pPr>
                  <w:r>
                    <w:rPr>
                      <w:rFonts w:hint="eastAsia"/>
                      <w:bCs/>
                      <w:szCs w:val="21"/>
                    </w:rPr>
                    <w:t>229</w:t>
                  </w:r>
                </w:p>
              </w:tc>
              <w:tc>
                <w:tcPr>
                  <w:tcW w:w="958" w:type="dxa"/>
                  <w:tcMar>
                    <w:top w:w="0" w:type="dxa"/>
                    <w:left w:w="0" w:type="dxa"/>
                    <w:bottom w:w="0" w:type="dxa"/>
                    <w:right w:w="0" w:type="dxa"/>
                  </w:tcMar>
                  <w:vAlign w:val="center"/>
                </w:tcPr>
                <w:p w14:paraId="1E2D7CF7">
                  <w:pPr>
                    <w:jc w:val="center"/>
                    <w:rPr>
                      <w:bCs/>
                      <w:szCs w:val="21"/>
                    </w:rPr>
                  </w:pPr>
                  <w:r>
                    <w:rPr>
                      <w:bCs/>
                      <w:szCs w:val="21"/>
                    </w:rPr>
                    <w:t>/</w:t>
                  </w:r>
                </w:p>
              </w:tc>
              <w:tc>
                <w:tcPr>
                  <w:tcW w:w="624" w:type="dxa"/>
                  <w:tcMar>
                    <w:top w:w="0" w:type="dxa"/>
                    <w:left w:w="0" w:type="dxa"/>
                    <w:bottom w:w="0" w:type="dxa"/>
                    <w:right w:w="0" w:type="dxa"/>
                  </w:tcMar>
                  <w:vAlign w:val="center"/>
                </w:tcPr>
                <w:p w14:paraId="198070B3">
                  <w:pPr>
                    <w:jc w:val="center"/>
                    <w:rPr>
                      <w:bCs/>
                      <w:szCs w:val="21"/>
                    </w:rPr>
                  </w:pPr>
                  <w:r>
                    <w:rPr>
                      <w:rFonts w:hint="eastAsia"/>
                      <w:bCs/>
                      <w:szCs w:val="21"/>
                    </w:rPr>
                    <w:t>2000</w:t>
                  </w:r>
                </w:p>
              </w:tc>
              <w:tc>
                <w:tcPr>
                  <w:tcW w:w="540" w:type="dxa"/>
                  <w:tcMar>
                    <w:top w:w="0" w:type="dxa"/>
                    <w:left w:w="0" w:type="dxa"/>
                    <w:bottom w:w="0" w:type="dxa"/>
                    <w:right w:w="0" w:type="dxa"/>
                  </w:tcMar>
                  <w:vAlign w:val="center"/>
                </w:tcPr>
                <w:p w14:paraId="485C2DA2">
                  <w:pPr>
                    <w:jc w:val="center"/>
                    <w:rPr>
                      <w:bCs/>
                      <w:szCs w:val="21"/>
                    </w:rPr>
                  </w:pPr>
                  <w:r>
                    <w:rPr>
                      <w:bCs/>
                      <w:szCs w:val="21"/>
                    </w:rPr>
                    <w:t>/</w:t>
                  </w:r>
                </w:p>
              </w:tc>
              <w:tc>
                <w:tcPr>
                  <w:tcW w:w="649" w:type="dxa"/>
                  <w:tcMar>
                    <w:top w:w="0" w:type="dxa"/>
                    <w:left w:w="0" w:type="dxa"/>
                    <w:bottom w:w="0" w:type="dxa"/>
                    <w:right w:w="0" w:type="dxa"/>
                  </w:tcMar>
                  <w:vAlign w:val="center"/>
                </w:tcPr>
                <w:p w14:paraId="3CB79C0D">
                  <w:pPr>
                    <w:jc w:val="center"/>
                    <w:rPr>
                      <w:bCs/>
                      <w:szCs w:val="21"/>
                    </w:rPr>
                  </w:pPr>
                  <w:r>
                    <w:rPr>
                      <w:bCs/>
                      <w:szCs w:val="21"/>
                    </w:rPr>
                    <w:t>达标</w:t>
                  </w:r>
                </w:p>
              </w:tc>
            </w:tr>
            <w:tr w14:paraId="348791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1B864055">
                  <w:pPr>
                    <w:jc w:val="center"/>
                    <w:rPr>
                      <w:bCs/>
                      <w:szCs w:val="21"/>
                    </w:rPr>
                  </w:pPr>
                </w:p>
              </w:tc>
              <w:tc>
                <w:tcPr>
                  <w:tcW w:w="1465" w:type="dxa"/>
                  <w:vMerge w:val="continue"/>
                  <w:tcMar>
                    <w:top w:w="0" w:type="dxa"/>
                    <w:left w:w="0" w:type="dxa"/>
                    <w:bottom w:w="0" w:type="dxa"/>
                    <w:right w:w="0" w:type="dxa"/>
                  </w:tcMar>
                  <w:vAlign w:val="center"/>
                </w:tcPr>
                <w:p w14:paraId="62F58522">
                  <w:pPr>
                    <w:jc w:val="center"/>
                    <w:rPr>
                      <w:bCs/>
                      <w:szCs w:val="21"/>
                    </w:rPr>
                  </w:pPr>
                </w:p>
              </w:tc>
              <w:tc>
                <w:tcPr>
                  <w:tcW w:w="641" w:type="dxa"/>
                  <w:vMerge w:val="continue"/>
                  <w:tcMar>
                    <w:top w:w="0" w:type="dxa"/>
                    <w:left w:w="0" w:type="dxa"/>
                    <w:bottom w:w="0" w:type="dxa"/>
                    <w:right w:w="0" w:type="dxa"/>
                  </w:tcMar>
                  <w:vAlign w:val="center"/>
                </w:tcPr>
                <w:p w14:paraId="55A1343F">
                  <w:pPr>
                    <w:widowControl/>
                    <w:jc w:val="center"/>
                    <w:rPr>
                      <w:kern w:val="0"/>
                      <w:szCs w:val="21"/>
                    </w:rPr>
                  </w:pPr>
                </w:p>
              </w:tc>
              <w:tc>
                <w:tcPr>
                  <w:tcW w:w="1744" w:type="dxa"/>
                  <w:tcMar>
                    <w:top w:w="0" w:type="dxa"/>
                    <w:left w:w="0" w:type="dxa"/>
                    <w:bottom w:w="0" w:type="dxa"/>
                    <w:right w:w="0" w:type="dxa"/>
                  </w:tcMar>
                  <w:vAlign w:val="center"/>
                </w:tcPr>
                <w:p w14:paraId="3244A29C">
                  <w:pPr>
                    <w:widowControl/>
                    <w:jc w:val="center"/>
                    <w:rPr>
                      <w:kern w:val="0"/>
                      <w:szCs w:val="21"/>
                    </w:rPr>
                  </w:pPr>
                  <w:r>
                    <w:rPr>
                      <w:rFonts w:hint="eastAsia"/>
                      <w:kern w:val="0"/>
                      <w:szCs w:val="21"/>
                    </w:rPr>
                    <w:t>颗粒物</w:t>
                  </w:r>
                </w:p>
              </w:tc>
              <w:tc>
                <w:tcPr>
                  <w:tcW w:w="851" w:type="dxa"/>
                  <w:tcMar>
                    <w:top w:w="0" w:type="dxa"/>
                    <w:left w:w="0" w:type="dxa"/>
                    <w:bottom w:w="0" w:type="dxa"/>
                    <w:right w:w="0" w:type="dxa"/>
                  </w:tcMar>
                  <w:vAlign w:val="center"/>
                </w:tcPr>
                <w:p w14:paraId="58047B2D">
                  <w:pPr>
                    <w:jc w:val="center"/>
                    <w:rPr>
                      <w:bCs/>
                      <w:szCs w:val="21"/>
                    </w:rPr>
                  </w:pPr>
                  <w:r>
                    <w:rPr>
                      <w:rFonts w:hint="eastAsia"/>
                      <w:bCs/>
                      <w:szCs w:val="21"/>
                    </w:rPr>
                    <w:t>ND</w:t>
                  </w:r>
                </w:p>
              </w:tc>
              <w:tc>
                <w:tcPr>
                  <w:tcW w:w="958" w:type="dxa"/>
                  <w:tcMar>
                    <w:top w:w="0" w:type="dxa"/>
                    <w:left w:w="0" w:type="dxa"/>
                    <w:bottom w:w="0" w:type="dxa"/>
                    <w:right w:w="0" w:type="dxa"/>
                  </w:tcMar>
                  <w:vAlign w:val="center"/>
                </w:tcPr>
                <w:p w14:paraId="78131E99">
                  <w:pPr>
                    <w:jc w:val="center"/>
                    <w:rPr>
                      <w:bCs/>
                      <w:szCs w:val="21"/>
                    </w:rPr>
                  </w:pPr>
                  <w:r>
                    <w:rPr>
                      <w:bCs/>
                      <w:szCs w:val="21"/>
                    </w:rPr>
                    <w:t>/</w:t>
                  </w:r>
                </w:p>
              </w:tc>
              <w:tc>
                <w:tcPr>
                  <w:tcW w:w="624" w:type="dxa"/>
                  <w:tcMar>
                    <w:top w:w="0" w:type="dxa"/>
                    <w:left w:w="0" w:type="dxa"/>
                    <w:bottom w:w="0" w:type="dxa"/>
                    <w:right w:w="0" w:type="dxa"/>
                  </w:tcMar>
                  <w:vAlign w:val="center"/>
                </w:tcPr>
                <w:p w14:paraId="11E65ED5">
                  <w:pPr>
                    <w:jc w:val="center"/>
                    <w:rPr>
                      <w:bCs/>
                      <w:szCs w:val="21"/>
                    </w:rPr>
                  </w:pPr>
                  <w:r>
                    <w:rPr>
                      <w:rFonts w:hint="eastAsia"/>
                      <w:bCs/>
                      <w:szCs w:val="21"/>
                    </w:rPr>
                    <w:t>15</w:t>
                  </w:r>
                </w:p>
              </w:tc>
              <w:tc>
                <w:tcPr>
                  <w:tcW w:w="540" w:type="dxa"/>
                  <w:tcMar>
                    <w:top w:w="0" w:type="dxa"/>
                    <w:left w:w="0" w:type="dxa"/>
                    <w:bottom w:w="0" w:type="dxa"/>
                    <w:right w:w="0" w:type="dxa"/>
                  </w:tcMar>
                  <w:vAlign w:val="center"/>
                </w:tcPr>
                <w:p w14:paraId="55C9D86F">
                  <w:pPr>
                    <w:jc w:val="center"/>
                    <w:rPr>
                      <w:bCs/>
                      <w:szCs w:val="21"/>
                    </w:rPr>
                  </w:pPr>
                  <w:r>
                    <w:rPr>
                      <w:rFonts w:hint="eastAsia"/>
                      <w:bCs/>
                      <w:szCs w:val="21"/>
                    </w:rPr>
                    <w:t>0.51</w:t>
                  </w:r>
                </w:p>
              </w:tc>
              <w:tc>
                <w:tcPr>
                  <w:tcW w:w="649" w:type="dxa"/>
                  <w:tcMar>
                    <w:top w:w="0" w:type="dxa"/>
                    <w:left w:w="0" w:type="dxa"/>
                    <w:bottom w:w="0" w:type="dxa"/>
                    <w:right w:w="0" w:type="dxa"/>
                  </w:tcMar>
                  <w:vAlign w:val="center"/>
                </w:tcPr>
                <w:p w14:paraId="19AF5599">
                  <w:pPr>
                    <w:jc w:val="center"/>
                    <w:rPr>
                      <w:bCs/>
                      <w:szCs w:val="21"/>
                    </w:rPr>
                  </w:pPr>
                  <w:r>
                    <w:rPr>
                      <w:bCs/>
                      <w:szCs w:val="21"/>
                    </w:rPr>
                    <w:t>达标</w:t>
                  </w:r>
                </w:p>
              </w:tc>
            </w:tr>
            <w:tr w14:paraId="4D1AA5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7E143A41">
                  <w:pPr>
                    <w:jc w:val="center"/>
                    <w:rPr>
                      <w:bCs/>
                      <w:szCs w:val="21"/>
                    </w:rPr>
                  </w:pPr>
                </w:p>
              </w:tc>
              <w:tc>
                <w:tcPr>
                  <w:tcW w:w="1465" w:type="dxa"/>
                  <w:vMerge w:val="continue"/>
                  <w:tcMar>
                    <w:top w:w="0" w:type="dxa"/>
                    <w:left w:w="0" w:type="dxa"/>
                    <w:bottom w:w="0" w:type="dxa"/>
                    <w:right w:w="0" w:type="dxa"/>
                  </w:tcMar>
                  <w:vAlign w:val="center"/>
                </w:tcPr>
                <w:p w14:paraId="75A861B5">
                  <w:pPr>
                    <w:jc w:val="center"/>
                    <w:rPr>
                      <w:bCs/>
                      <w:szCs w:val="21"/>
                    </w:rPr>
                  </w:pPr>
                </w:p>
              </w:tc>
              <w:tc>
                <w:tcPr>
                  <w:tcW w:w="641" w:type="dxa"/>
                  <w:vMerge w:val="continue"/>
                  <w:tcMar>
                    <w:top w:w="0" w:type="dxa"/>
                    <w:left w:w="0" w:type="dxa"/>
                    <w:bottom w:w="0" w:type="dxa"/>
                    <w:right w:w="0" w:type="dxa"/>
                  </w:tcMar>
                  <w:vAlign w:val="center"/>
                </w:tcPr>
                <w:p w14:paraId="7647D602">
                  <w:pPr>
                    <w:widowControl/>
                    <w:jc w:val="center"/>
                    <w:rPr>
                      <w:kern w:val="0"/>
                      <w:szCs w:val="21"/>
                    </w:rPr>
                  </w:pPr>
                </w:p>
              </w:tc>
              <w:tc>
                <w:tcPr>
                  <w:tcW w:w="1744" w:type="dxa"/>
                  <w:tcMar>
                    <w:top w:w="0" w:type="dxa"/>
                    <w:left w:w="0" w:type="dxa"/>
                    <w:bottom w:w="0" w:type="dxa"/>
                    <w:right w:w="0" w:type="dxa"/>
                  </w:tcMar>
                  <w:vAlign w:val="center"/>
                </w:tcPr>
                <w:p w14:paraId="50BBE903">
                  <w:pPr>
                    <w:widowControl/>
                    <w:jc w:val="center"/>
                    <w:rPr>
                      <w:kern w:val="0"/>
                      <w:szCs w:val="21"/>
                    </w:rPr>
                  </w:pPr>
                  <w:r>
                    <w:rPr>
                      <w:kern w:val="0"/>
                      <w:szCs w:val="21"/>
                    </w:rPr>
                    <w:t>VOCs</w:t>
                  </w:r>
                </w:p>
              </w:tc>
              <w:tc>
                <w:tcPr>
                  <w:tcW w:w="851" w:type="dxa"/>
                  <w:tcMar>
                    <w:top w:w="0" w:type="dxa"/>
                    <w:left w:w="0" w:type="dxa"/>
                    <w:bottom w:w="0" w:type="dxa"/>
                    <w:right w:w="0" w:type="dxa"/>
                  </w:tcMar>
                  <w:vAlign w:val="center"/>
                </w:tcPr>
                <w:p w14:paraId="49A5797D">
                  <w:pPr>
                    <w:jc w:val="center"/>
                    <w:rPr>
                      <w:bCs/>
                      <w:szCs w:val="21"/>
                    </w:rPr>
                  </w:pPr>
                  <w:r>
                    <w:rPr>
                      <w:rFonts w:hint="eastAsia"/>
                      <w:bCs/>
                      <w:szCs w:val="21"/>
                    </w:rPr>
                    <w:t>0.978</w:t>
                  </w:r>
                </w:p>
              </w:tc>
              <w:tc>
                <w:tcPr>
                  <w:tcW w:w="958" w:type="dxa"/>
                  <w:tcMar>
                    <w:top w:w="0" w:type="dxa"/>
                    <w:left w:w="0" w:type="dxa"/>
                    <w:bottom w:w="0" w:type="dxa"/>
                    <w:right w:w="0" w:type="dxa"/>
                  </w:tcMar>
                  <w:vAlign w:val="center"/>
                </w:tcPr>
                <w:p w14:paraId="15FE5B3D">
                  <w:pPr>
                    <w:jc w:val="center"/>
                    <w:rPr>
                      <w:bCs/>
                      <w:szCs w:val="21"/>
                    </w:rPr>
                  </w:pPr>
                  <w:r>
                    <w:rPr>
                      <w:rFonts w:hint="eastAsia"/>
                      <w:bCs/>
                      <w:szCs w:val="21"/>
                    </w:rPr>
                    <w:t>0.045</w:t>
                  </w:r>
                </w:p>
              </w:tc>
              <w:tc>
                <w:tcPr>
                  <w:tcW w:w="624" w:type="dxa"/>
                  <w:tcMar>
                    <w:top w:w="0" w:type="dxa"/>
                    <w:left w:w="0" w:type="dxa"/>
                    <w:bottom w:w="0" w:type="dxa"/>
                    <w:right w:w="0" w:type="dxa"/>
                  </w:tcMar>
                  <w:vAlign w:val="center"/>
                </w:tcPr>
                <w:p w14:paraId="3F32E5B3">
                  <w:pPr>
                    <w:jc w:val="center"/>
                    <w:rPr>
                      <w:bCs/>
                      <w:szCs w:val="21"/>
                    </w:rPr>
                  </w:pPr>
                  <w:r>
                    <w:rPr>
                      <w:bCs/>
                      <w:szCs w:val="21"/>
                    </w:rPr>
                    <w:t>10</w:t>
                  </w:r>
                </w:p>
              </w:tc>
              <w:tc>
                <w:tcPr>
                  <w:tcW w:w="540" w:type="dxa"/>
                  <w:tcMar>
                    <w:top w:w="0" w:type="dxa"/>
                    <w:left w:w="0" w:type="dxa"/>
                    <w:bottom w:w="0" w:type="dxa"/>
                    <w:right w:w="0" w:type="dxa"/>
                  </w:tcMar>
                  <w:vAlign w:val="center"/>
                </w:tcPr>
                <w:p w14:paraId="44BB1A37">
                  <w:pPr>
                    <w:jc w:val="center"/>
                    <w:rPr>
                      <w:bCs/>
                      <w:szCs w:val="21"/>
                    </w:rPr>
                  </w:pPr>
                  <w:r>
                    <w:rPr>
                      <w:bCs/>
                      <w:szCs w:val="21"/>
                    </w:rPr>
                    <w:t>1.0</w:t>
                  </w:r>
                </w:p>
              </w:tc>
              <w:tc>
                <w:tcPr>
                  <w:tcW w:w="649" w:type="dxa"/>
                  <w:tcMar>
                    <w:top w:w="0" w:type="dxa"/>
                    <w:left w:w="0" w:type="dxa"/>
                    <w:bottom w:w="0" w:type="dxa"/>
                    <w:right w:w="0" w:type="dxa"/>
                  </w:tcMar>
                  <w:vAlign w:val="center"/>
                </w:tcPr>
                <w:p w14:paraId="4A370738">
                  <w:pPr>
                    <w:jc w:val="center"/>
                    <w:rPr>
                      <w:bCs/>
                      <w:szCs w:val="21"/>
                    </w:rPr>
                  </w:pPr>
                  <w:r>
                    <w:rPr>
                      <w:bCs/>
                      <w:szCs w:val="21"/>
                    </w:rPr>
                    <w:t>达标</w:t>
                  </w:r>
                </w:p>
              </w:tc>
            </w:tr>
            <w:tr w14:paraId="5CC0A0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1FCA4C32">
                  <w:pPr>
                    <w:jc w:val="center"/>
                    <w:rPr>
                      <w:bCs/>
                      <w:szCs w:val="21"/>
                    </w:rPr>
                  </w:pPr>
                </w:p>
              </w:tc>
              <w:tc>
                <w:tcPr>
                  <w:tcW w:w="1465" w:type="dxa"/>
                  <w:vMerge w:val="continue"/>
                  <w:tcMar>
                    <w:top w:w="0" w:type="dxa"/>
                    <w:left w:w="0" w:type="dxa"/>
                    <w:bottom w:w="0" w:type="dxa"/>
                    <w:right w:w="0" w:type="dxa"/>
                  </w:tcMar>
                  <w:vAlign w:val="center"/>
                </w:tcPr>
                <w:p w14:paraId="73FFDD4D">
                  <w:pPr>
                    <w:jc w:val="center"/>
                    <w:rPr>
                      <w:bCs/>
                      <w:szCs w:val="21"/>
                    </w:rPr>
                  </w:pPr>
                </w:p>
              </w:tc>
              <w:tc>
                <w:tcPr>
                  <w:tcW w:w="641" w:type="dxa"/>
                  <w:vMerge w:val="continue"/>
                  <w:tcMar>
                    <w:top w:w="0" w:type="dxa"/>
                    <w:left w:w="0" w:type="dxa"/>
                    <w:bottom w:w="0" w:type="dxa"/>
                    <w:right w:w="0" w:type="dxa"/>
                  </w:tcMar>
                  <w:vAlign w:val="center"/>
                </w:tcPr>
                <w:p w14:paraId="5D621499">
                  <w:pPr>
                    <w:widowControl/>
                    <w:jc w:val="center"/>
                    <w:rPr>
                      <w:kern w:val="0"/>
                      <w:szCs w:val="21"/>
                    </w:rPr>
                  </w:pPr>
                </w:p>
              </w:tc>
              <w:tc>
                <w:tcPr>
                  <w:tcW w:w="1744" w:type="dxa"/>
                  <w:tcMar>
                    <w:top w:w="0" w:type="dxa"/>
                    <w:left w:w="0" w:type="dxa"/>
                    <w:bottom w:w="0" w:type="dxa"/>
                    <w:right w:w="0" w:type="dxa"/>
                  </w:tcMar>
                  <w:vAlign w:val="center"/>
                </w:tcPr>
                <w:p w14:paraId="02BB5496">
                  <w:pPr>
                    <w:widowControl/>
                    <w:jc w:val="center"/>
                    <w:rPr>
                      <w:kern w:val="0"/>
                      <w:szCs w:val="21"/>
                    </w:rPr>
                  </w:pPr>
                  <w:r>
                    <w:rPr>
                      <w:rFonts w:hint="eastAsia"/>
                      <w:kern w:val="0"/>
                      <w:szCs w:val="21"/>
                    </w:rPr>
                    <w:t>二甲苯</w:t>
                  </w:r>
                </w:p>
              </w:tc>
              <w:tc>
                <w:tcPr>
                  <w:tcW w:w="851" w:type="dxa"/>
                  <w:tcMar>
                    <w:top w:w="0" w:type="dxa"/>
                    <w:left w:w="0" w:type="dxa"/>
                    <w:bottom w:w="0" w:type="dxa"/>
                    <w:right w:w="0" w:type="dxa"/>
                  </w:tcMar>
                  <w:vAlign w:val="center"/>
                </w:tcPr>
                <w:p w14:paraId="60804E66">
                  <w:pPr>
                    <w:jc w:val="center"/>
                    <w:rPr>
                      <w:bCs/>
                      <w:szCs w:val="21"/>
                    </w:rPr>
                  </w:pPr>
                  <w:r>
                    <w:rPr>
                      <w:rFonts w:hint="eastAsia"/>
                      <w:bCs/>
                      <w:szCs w:val="21"/>
                    </w:rPr>
                    <w:t>0.195</w:t>
                  </w:r>
                </w:p>
              </w:tc>
              <w:tc>
                <w:tcPr>
                  <w:tcW w:w="958" w:type="dxa"/>
                  <w:tcMar>
                    <w:top w:w="0" w:type="dxa"/>
                    <w:left w:w="0" w:type="dxa"/>
                    <w:bottom w:w="0" w:type="dxa"/>
                    <w:right w:w="0" w:type="dxa"/>
                  </w:tcMar>
                  <w:vAlign w:val="center"/>
                </w:tcPr>
                <w:p w14:paraId="4119E4DB">
                  <w:pPr>
                    <w:jc w:val="center"/>
                    <w:rPr>
                      <w:bCs/>
                      <w:szCs w:val="21"/>
                    </w:rPr>
                  </w:pPr>
                  <w:r>
                    <w:rPr>
                      <w:rFonts w:hint="eastAsia"/>
                      <w:bCs/>
                      <w:szCs w:val="21"/>
                    </w:rPr>
                    <w:t>0.00901</w:t>
                  </w:r>
                </w:p>
              </w:tc>
              <w:tc>
                <w:tcPr>
                  <w:tcW w:w="624" w:type="dxa"/>
                  <w:tcMar>
                    <w:top w:w="0" w:type="dxa"/>
                    <w:left w:w="0" w:type="dxa"/>
                    <w:bottom w:w="0" w:type="dxa"/>
                    <w:right w:w="0" w:type="dxa"/>
                  </w:tcMar>
                  <w:vAlign w:val="center"/>
                </w:tcPr>
                <w:p w14:paraId="2D05DDE0">
                  <w:pPr>
                    <w:jc w:val="center"/>
                    <w:rPr>
                      <w:bCs/>
                      <w:szCs w:val="21"/>
                    </w:rPr>
                  </w:pPr>
                  <w:r>
                    <w:rPr>
                      <w:rFonts w:hint="eastAsia"/>
                      <w:bCs/>
                      <w:szCs w:val="21"/>
                    </w:rPr>
                    <w:t>15</w:t>
                  </w:r>
                </w:p>
              </w:tc>
              <w:tc>
                <w:tcPr>
                  <w:tcW w:w="540" w:type="dxa"/>
                  <w:tcMar>
                    <w:top w:w="0" w:type="dxa"/>
                    <w:left w:w="0" w:type="dxa"/>
                    <w:bottom w:w="0" w:type="dxa"/>
                    <w:right w:w="0" w:type="dxa"/>
                  </w:tcMar>
                  <w:vAlign w:val="center"/>
                </w:tcPr>
                <w:p w14:paraId="7547085B">
                  <w:pPr>
                    <w:jc w:val="center"/>
                    <w:rPr>
                      <w:bCs/>
                      <w:szCs w:val="21"/>
                    </w:rPr>
                  </w:pPr>
                  <w:r>
                    <w:rPr>
                      <w:bCs/>
                      <w:szCs w:val="21"/>
                    </w:rPr>
                    <w:t>/</w:t>
                  </w:r>
                </w:p>
              </w:tc>
              <w:tc>
                <w:tcPr>
                  <w:tcW w:w="649" w:type="dxa"/>
                  <w:tcMar>
                    <w:top w:w="0" w:type="dxa"/>
                    <w:left w:w="0" w:type="dxa"/>
                    <w:bottom w:w="0" w:type="dxa"/>
                    <w:right w:w="0" w:type="dxa"/>
                  </w:tcMar>
                  <w:vAlign w:val="center"/>
                </w:tcPr>
                <w:p w14:paraId="0F3ECE20">
                  <w:pPr>
                    <w:jc w:val="center"/>
                    <w:rPr>
                      <w:bCs/>
                      <w:szCs w:val="21"/>
                    </w:rPr>
                  </w:pPr>
                  <w:r>
                    <w:rPr>
                      <w:bCs/>
                      <w:szCs w:val="21"/>
                    </w:rPr>
                    <w:t>达标</w:t>
                  </w:r>
                </w:p>
              </w:tc>
            </w:tr>
            <w:tr w14:paraId="57260F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425BD79D">
                  <w:pPr>
                    <w:jc w:val="center"/>
                    <w:rPr>
                      <w:bCs/>
                      <w:szCs w:val="21"/>
                    </w:rPr>
                  </w:pPr>
                </w:p>
              </w:tc>
              <w:tc>
                <w:tcPr>
                  <w:tcW w:w="1465" w:type="dxa"/>
                  <w:vMerge w:val="continue"/>
                  <w:tcMar>
                    <w:top w:w="0" w:type="dxa"/>
                    <w:left w:w="0" w:type="dxa"/>
                    <w:bottom w:w="0" w:type="dxa"/>
                    <w:right w:w="0" w:type="dxa"/>
                  </w:tcMar>
                  <w:vAlign w:val="center"/>
                </w:tcPr>
                <w:p w14:paraId="6B85872E">
                  <w:pPr>
                    <w:jc w:val="center"/>
                    <w:rPr>
                      <w:bCs/>
                      <w:szCs w:val="21"/>
                    </w:rPr>
                  </w:pPr>
                </w:p>
              </w:tc>
              <w:tc>
                <w:tcPr>
                  <w:tcW w:w="641" w:type="dxa"/>
                  <w:vMerge w:val="continue"/>
                  <w:tcMar>
                    <w:top w:w="0" w:type="dxa"/>
                    <w:left w:w="0" w:type="dxa"/>
                    <w:bottom w:w="0" w:type="dxa"/>
                    <w:right w:w="0" w:type="dxa"/>
                  </w:tcMar>
                  <w:vAlign w:val="center"/>
                </w:tcPr>
                <w:p w14:paraId="5FC78AEE">
                  <w:pPr>
                    <w:widowControl/>
                    <w:jc w:val="center"/>
                    <w:rPr>
                      <w:kern w:val="0"/>
                      <w:szCs w:val="21"/>
                    </w:rPr>
                  </w:pPr>
                </w:p>
              </w:tc>
              <w:tc>
                <w:tcPr>
                  <w:tcW w:w="1744" w:type="dxa"/>
                  <w:tcMar>
                    <w:top w:w="0" w:type="dxa"/>
                    <w:left w:w="0" w:type="dxa"/>
                    <w:bottom w:w="0" w:type="dxa"/>
                    <w:right w:w="0" w:type="dxa"/>
                  </w:tcMar>
                  <w:vAlign w:val="center"/>
                </w:tcPr>
                <w:p w14:paraId="35EE7CEA">
                  <w:pPr>
                    <w:widowControl/>
                    <w:jc w:val="center"/>
                    <w:rPr>
                      <w:kern w:val="0"/>
                      <w:szCs w:val="21"/>
                    </w:rPr>
                  </w:pPr>
                  <w:r>
                    <w:rPr>
                      <w:rFonts w:hint="eastAsia"/>
                      <w:kern w:val="0"/>
                      <w:szCs w:val="21"/>
                    </w:rPr>
                    <w:t>乙苯</w:t>
                  </w:r>
                </w:p>
              </w:tc>
              <w:tc>
                <w:tcPr>
                  <w:tcW w:w="851" w:type="dxa"/>
                  <w:tcMar>
                    <w:top w:w="0" w:type="dxa"/>
                    <w:left w:w="0" w:type="dxa"/>
                    <w:bottom w:w="0" w:type="dxa"/>
                    <w:right w:w="0" w:type="dxa"/>
                  </w:tcMar>
                  <w:vAlign w:val="center"/>
                </w:tcPr>
                <w:p w14:paraId="4AE18BF6">
                  <w:pPr>
                    <w:jc w:val="center"/>
                    <w:rPr>
                      <w:bCs/>
                      <w:szCs w:val="21"/>
                    </w:rPr>
                  </w:pPr>
                  <w:r>
                    <w:rPr>
                      <w:rFonts w:hint="eastAsia"/>
                      <w:bCs/>
                      <w:szCs w:val="21"/>
                    </w:rPr>
                    <w:t>0.047</w:t>
                  </w:r>
                </w:p>
              </w:tc>
              <w:tc>
                <w:tcPr>
                  <w:tcW w:w="958" w:type="dxa"/>
                  <w:tcMar>
                    <w:top w:w="0" w:type="dxa"/>
                    <w:left w:w="0" w:type="dxa"/>
                    <w:bottom w:w="0" w:type="dxa"/>
                    <w:right w:w="0" w:type="dxa"/>
                  </w:tcMar>
                  <w:vAlign w:val="center"/>
                </w:tcPr>
                <w:p w14:paraId="0E8AF44B">
                  <w:pPr>
                    <w:jc w:val="center"/>
                    <w:rPr>
                      <w:bCs/>
                      <w:szCs w:val="21"/>
                    </w:rPr>
                  </w:pPr>
                  <w:r>
                    <w:rPr>
                      <w:rFonts w:hint="eastAsia"/>
                      <w:bCs/>
                      <w:szCs w:val="21"/>
                    </w:rPr>
                    <w:t>0.00217</w:t>
                  </w:r>
                </w:p>
              </w:tc>
              <w:tc>
                <w:tcPr>
                  <w:tcW w:w="624" w:type="dxa"/>
                  <w:tcMar>
                    <w:top w:w="0" w:type="dxa"/>
                    <w:left w:w="0" w:type="dxa"/>
                    <w:bottom w:w="0" w:type="dxa"/>
                    <w:right w:w="0" w:type="dxa"/>
                  </w:tcMar>
                  <w:vAlign w:val="center"/>
                </w:tcPr>
                <w:p w14:paraId="2C964AAA">
                  <w:pPr>
                    <w:jc w:val="center"/>
                    <w:rPr>
                      <w:bCs/>
                      <w:szCs w:val="21"/>
                    </w:rPr>
                  </w:pPr>
                  <w:r>
                    <w:rPr>
                      <w:rFonts w:hint="eastAsia"/>
                      <w:bCs/>
                      <w:szCs w:val="21"/>
                    </w:rPr>
                    <w:t>100</w:t>
                  </w:r>
                </w:p>
              </w:tc>
              <w:tc>
                <w:tcPr>
                  <w:tcW w:w="540" w:type="dxa"/>
                  <w:tcMar>
                    <w:top w:w="0" w:type="dxa"/>
                    <w:left w:w="0" w:type="dxa"/>
                    <w:bottom w:w="0" w:type="dxa"/>
                    <w:right w:w="0" w:type="dxa"/>
                  </w:tcMar>
                  <w:vAlign w:val="center"/>
                </w:tcPr>
                <w:p w14:paraId="7C02AED6">
                  <w:pPr>
                    <w:jc w:val="center"/>
                    <w:rPr>
                      <w:bCs/>
                      <w:szCs w:val="21"/>
                    </w:rPr>
                  </w:pPr>
                  <w:r>
                    <w:rPr>
                      <w:rFonts w:hint="eastAsia"/>
                      <w:bCs/>
                      <w:szCs w:val="21"/>
                    </w:rPr>
                    <w:t>0.12</w:t>
                  </w:r>
                </w:p>
              </w:tc>
              <w:tc>
                <w:tcPr>
                  <w:tcW w:w="649" w:type="dxa"/>
                  <w:tcMar>
                    <w:top w:w="0" w:type="dxa"/>
                    <w:left w:w="0" w:type="dxa"/>
                    <w:bottom w:w="0" w:type="dxa"/>
                    <w:right w:w="0" w:type="dxa"/>
                  </w:tcMar>
                  <w:vAlign w:val="center"/>
                </w:tcPr>
                <w:p w14:paraId="346436C1">
                  <w:pPr>
                    <w:jc w:val="center"/>
                    <w:rPr>
                      <w:bCs/>
                      <w:szCs w:val="21"/>
                    </w:rPr>
                  </w:pPr>
                  <w:r>
                    <w:rPr>
                      <w:bCs/>
                      <w:szCs w:val="21"/>
                    </w:rPr>
                    <w:t>达标</w:t>
                  </w:r>
                </w:p>
              </w:tc>
            </w:tr>
            <w:tr w14:paraId="71BE1A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3F4143D8">
                  <w:pPr>
                    <w:jc w:val="center"/>
                    <w:rPr>
                      <w:bCs/>
                      <w:szCs w:val="21"/>
                    </w:rPr>
                  </w:pPr>
                </w:p>
              </w:tc>
              <w:tc>
                <w:tcPr>
                  <w:tcW w:w="1465" w:type="dxa"/>
                  <w:vMerge w:val="restart"/>
                  <w:tcMar>
                    <w:top w:w="0" w:type="dxa"/>
                    <w:left w:w="0" w:type="dxa"/>
                    <w:bottom w:w="0" w:type="dxa"/>
                    <w:right w:w="0" w:type="dxa"/>
                  </w:tcMar>
                  <w:vAlign w:val="center"/>
                </w:tcPr>
                <w:p w14:paraId="219FC6F9">
                  <w:pPr>
                    <w:jc w:val="center"/>
                    <w:rPr>
                      <w:bCs/>
                      <w:szCs w:val="21"/>
                    </w:rPr>
                  </w:pPr>
                  <w:r>
                    <w:rPr>
                      <w:rFonts w:hint="eastAsia"/>
                      <w:bCs/>
                      <w:szCs w:val="21"/>
                    </w:rPr>
                    <w:t>7#排气筒出口</w:t>
                  </w:r>
                </w:p>
              </w:tc>
              <w:tc>
                <w:tcPr>
                  <w:tcW w:w="641" w:type="dxa"/>
                  <w:vMerge w:val="restart"/>
                  <w:tcMar>
                    <w:top w:w="0" w:type="dxa"/>
                    <w:left w:w="0" w:type="dxa"/>
                    <w:bottom w:w="0" w:type="dxa"/>
                    <w:right w:w="0" w:type="dxa"/>
                  </w:tcMar>
                  <w:vAlign w:val="center"/>
                </w:tcPr>
                <w:p w14:paraId="1B49BBB7">
                  <w:pPr>
                    <w:widowControl/>
                    <w:jc w:val="center"/>
                    <w:rPr>
                      <w:kern w:val="0"/>
                      <w:szCs w:val="21"/>
                    </w:rPr>
                  </w:pPr>
                  <w:r>
                    <w:rPr>
                      <w:rFonts w:hint="eastAsia"/>
                      <w:kern w:val="0"/>
                      <w:szCs w:val="21"/>
                    </w:rPr>
                    <w:t>28500</w:t>
                  </w:r>
                </w:p>
              </w:tc>
              <w:tc>
                <w:tcPr>
                  <w:tcW w:w="1744" w:type="dxa"/>
                  <w:tcMar>
                    <w:top w:w="0" w:type="dxa"/>
                    <w:left w:w="0" w:type="dxa"/>
                    <w:bottom w:w="0" w:type="dxa"/>
                    <w:right w:w="0" w:type="dxa"/>
                  </w:tcMar>
                  <w:vAlign w:val="center"/>
                </w:tcPr>
                <w:p w14:paraId="77297615">
                  <w:pPr>
                    <w:widowControl/>
                    <w:jc w:val="center"/>
                    <w:rPr>
                      <w:kern w:val="0"/>
                      <w:szCs w:val="21"/>
                    </w:rPr>
                  </w:pPr>
                  <w:r>
                    <w:rPr>
                      <w:rFonts w:hint="eastAsia"/>
                      <w:kern w:val="0"/>
                      <w:szCs w:val="21"/>
                    </w:rPr>
                    <w:t>非甲烷总烃</w:t>
                  </w:r>
                </w:p>
              </w:tc>
              <w:tc>
                <w:tcPr>
                  <w:tcW w:w="851" w:type="dxa"/>
                  <w:tcMar>
                    <w:top w:w="0" w:type="dxa"/>
                    <w:left w:w="0" w:type="dxa"/>
                    <w:bottom w:w="0" w:type="dxa"/>
                    <w:right w:w="0" w:type="dxa"/>
                  </w:tcMar>
                  <w:vAlign w:val="center"/>
                </w:tcPr>
                <w:p w14:paraId="32E542B8">
                  <w:pPr>
                    <w:jc w:val="center"/>
                    <w:rPr>
                      <w:bCs/>
                      <w:szCs w:val="21"/>
                    </w:rPr>
                  </w:pPr>
                  <w:r>
                    <w:rPr>
                      <w:rFonts w:hint="eastAsia"/>
                      <w:bCs/>
                      <w:szCs w:val="21"/>
                    </w:rPr>
                    <w:t>1.24</w:t>
                  </w:r>
                </w:p>
              </w:tc>
              <w:tc>
                <w:tcPr>
                  <w:tcW w:w="958" w:type="dxa"/>
                  <w:tcMar>
                    <w:top w:w="0" w:type="dxa"/>
                    <w:left w:w="0" w:type="dxa"/>
                    <w:bottom w:w="0" w:type="dxa"/>
                    <w:right w:w="0" w:type="dxa"/>
                  </w:tcMar>
                  <w:vAlign w:val="center"/>
                </w:tcPr>
                <w:p w14:paraId="352DA4A0">
                  <w:pPr>
                    <w:jc w:val="center"/>
                    <w:rPr>
                      <w:bCs/>
                      <w:szCs w:val="21"/>
                    </w:rPr>
                  </w:pPr>
                  <w:r>
                    <w:rPr>
                      <w:rFonts w:hint="eastAsia"/>
                      <w:bCs/>
                      <w:szCs w:val="21"/>
                    </w:rPr>
                    <w:t>0.035</w:t>
                  </w:r>
                </w:p>
              </w:tc>
              <w:tc>
                <w:tcPr>
                  <w:tcW w:w="624" w:type="dxa"/>
                  <w:tcMar>
                    <w:top w:w="0" w:type="dxa"/>
                    <w:left w:w="0" w:type="dxa"/>
                    <w:bottom w:w="0" w:type="dxa"/>
                    <w:right w:w="0" w:type="dxa"/>
                  </w:tcMar>
                  <w:vAlign w:val="center"/>
                </w:tcPr>
                <w:p w14:paraId="32B00913">
                  <w:pPr>
                    <w:jc w:val="center"/>
                    <w:rPr>
                      <w:bCs/>
                      <w:szCs w:val="21"/>
                    </w:rPr>
                  </w:pPr>
                  <w:r>
                    <w:rPr>
                      <w:bCs/>
                      <w:szCs w:val="21"/>
                    </w:rPr>
                    <w:t>10</w:t>
                  </w:r>
                </w:p>
              </w:tc>
              <w:tc>
                <w:tcPr>
                  <w:tcW w:w="540" w:type="dxa"/>
                  <w:tcMar>
                    <w:top w:w="0" w:type="dxa"/>
                    <w:left w:w="0" w:type="dxa"/>
                    <w:bottom w:w="0" w:type="dxa"/>
                    <w:right w:w="0" w:type="dxa"/>
                  </w:tcMar>
                  <w:vAlign w:val="center"/>
                </w:tcPr>
                <w:p w14:paraId="4B287344">
                  <w:pPr>
                    <w:jc w:val="center"/>
                    <w:rPr>
                      <w:bCs/>
                      <w:szCs w:val="21"/>
                    </w:rPr>
                  </w:pPr>
                  <w:r>
                    <w:rPr>
                      <w:bCs/>
                      <w:szCs w:val="21"/>
                    </w:rPr>
                    <w:t>/</w:t>
                  </w:r>
                </w:p>
              </w:tc>
              <w:tc>
                <w:tcPr>
                  <w:tcW w:w="649" w:type="dxa"/>
                  <w:tcMar>
                    <w:top w:w="0" w:type="dxa"/>
                    <w:left w:w="0" w:type="dxa"/>
                    <w:bottom w:w="0" w:type="dxa"/>
                    <w:right w:w="0" w:type="dxa"/>
                  </w:tcMar>
                  <w:vAlign w:val="center"/>
                </w:tcPr>
                <w:p w14:paraId="1C94B6C7">
                  <w:pPr>
                    <w:jc w:val="center"/>
                    <w:rPr>
                      <w:bCs/>
                      <w:szCs w:val="21"/>
                    </w:rPr>
                  </w:pPr>
                  <w:r>
                    <w:rPr>
                      <w:bCs/>
                      <w:szCs w:val="21"/>
                    </w:rPr>
                    <w:t>达标</w:t>
                  </w:r>
                </w:p>
              </w:tc>
            </w:tr>
            <w:tr w14:paraId="566C79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75879903">
                  <w:pPr>
                    <w:jc w:val="center"/>
                    <w:rPr>
                      <w:bCs/>
                      <w:szCs w:val="21"/>
                    </w:rPr>
                  </w:pPr>
                </w:p>
              </w:tc>
              <w:tc>
                <w:tcPr>
                  <w:tcW w:w="1465" w:type="dxa"/>
                  <w:vMerge w:val="continue"/>
                  <w:tcMar>
                    <w:top w:w="0" w:type="dxa"/>
                    <w:left w:w="0" w:type="dxa"/>
                    <w:bottom w:w="0" w:type="dxa"/>
                    <w:right w:w="0" w:type="dxa"/>
                  </w:tcMar>
                  <w:vAlign w:val="center"/>
                </w:tcPr>
                <w:p w14:paraId="7599DBF2">
                  <w:pPr>
                    <w:jc w:val="center"/>
                    <w:rPr>
                      <w:bCs/>
                      <w:szCs w:val="21"/>
                    </w:rPr>
                  </w:pPr>
                </w:p>
              </w:tc>
              <w:tc>
                <w:tcPr>
                  <w:tcW w:w="641" w:type="dxa"/>
                  <w:vMerge w:val="continue"/>
                  <w:tcMar>
                    <w:top w:w="0" w:type="dxa"/>
                    <w:left w:w="0" w:type="dxa"/>
                    <w:bottom w:w="0" w:type="dxa"/>
                    <w:right w:w="0" w:type="dxa"/>
                  </w:tcMar>
                  <w:vAlign w:val="center"/>
                </w:tcPr>
                <w:p w14:paraId="0D23698D">
                  <w:pPr>
                    <w:widowControl/>
                    <w:jc w:val="center"/>
                    <w:rPr>
                      <w:kern w:val="0"/>
                      <w:szCs w:val="21"/>
                    </w:rPr>
                  </w:pPr>
                </w:p>
              </w:tc>
              <w:tc>
                <w:tcPr>
                  <w:tcW w:w="1744" w:type="dxa"/>
                  <w:tcMar>
                    <w:top w:w="0" w:type="dxa"/>
                    <w:left w:w="0" w:type="dxa"/>
                    <w:bottom w:w="0" w:type="dxa"/>
                    <w:right w:w="0" w:type="dxa"/>
                  </w:tcMar>
                  <w:vAlign w:val="center"/>
                </w:tcPr>
                <w:p w14:paraId="1E4BB9C7">
                  <w:pPr>
                    <w:widowControl/>
                    <w:jc w:val="center"/>
                    <w:rPr>
                      <w:kern w:val="0"/>
                      <w:szCs w:val="21"/>
                    </w:rPr>
                  </w:pPr>
                  <w:r>
                    <w:rPr>
                      <w:rFonts w:hint="eastAsia"/>
                      <w:kern w:val="0"/>
                      <w:szCs w:val="21"/>
                    </w:rPr>
                    <w:t>臭气浓度（无量纲）</w:t>
                  </w:r>
                </w:p>
              </w:tc>
              <w:tc>
                <w:tcPr>
                  <w:tcW w:w="851" w:type="dxa"/>
                  <w:tcMar>
                    <w:top w:w="0" w:type="dxa"/>
                    <w:left w:w="0" w:type="dxa"/>
                    <w:bottom w:w="0" w:type="dxa"/>
                    <w:right w:w="0" w:type="dxa"/>
                  </w:tcMar>
                  <w:vAlign w:val="center"/>
                </w:tcPr>
                <w:p w14:paraId="7F85A686">
                  <w:pPr>
                    <w:jc w:val="center"/>
                    <w:rPr>
                      <w:bCs/>
                      <w:szCs w:val="21"/>
                    </w:rPr>
                  </w:pPr>
                  <w:r>
                    <w:rPr>
                      <w:rFonts w:hint="eastAsia"/>
                      <w:bCs/>
                      <w:szCs w:val="21"/>
                    </w:rPr>
                    <w:t>309</w:t>
                  </w:r>
                </w:p>
              </w:tc>
              <w:tc>
                <w:tcPr>
                  <w:tcW w:w="958" w:type="dxa"/>
                  <w:tcMar>
                    <w:top w:w="0" w:type="dxa"/>
                    <w:left w:w="0" w:type="dxa"/>
                    <w:bottom w:w="0" w:type="dxa"/>
                    <w:right w:w="0" w:type="dxa"/>
                  </w:tcMar>
                  <w:vAlign w:val="center"/>
                </w:tcPr>
                <w:p w14:paraId="5135761B">
                  <w:pPr>
                    <w:jc w:val="center"/>
                    <w:rPr>
                      <w:bCs/>
                      <w:szCs w:val="21"/>
                    </w:rPr>
                  </w:pPr>
                  <w:r>
                    <w:rPr>
                      <w:rFonts w:hint="eastAsia"/>
                      <w:bCs/>
                      <w:szCs w:val="21"/>
                    </w:rPr>
                    <w:t>/</w:t>
                  </w:r>
                </w:p>
              </w:tc>
              <w:tc>
                <w:tcPr>
                  <w:tcW w:w="624" w:type="dxa"/>
                  <w:tcMar>
                    <w:top w:w="0" w:type="dxa"/>
                    <w:left w:w="0" w:type="dxa"/>
                    <w:bottom w:w="0" w:type="dxa"/>
                    <w:right w:w="0" w:type="dxa"/>
                  </w:tcMar>
                  <w:vAlign w:val="center"/>
                </w:tcPr>
                <w:p w14:paraId="4222BEE2">
                  <w:pPr>
                    <w:jc w:val="center"/>
                    <w:rPr>
                      <w:bCs/>
                      <w:szCs w:val="21"/>
                    </w:rPr>
                  </w:pPr>
                  <w:r>
                    <w:rPr>
                      <w:rFonts w:hint="eastAsia"/>
                      <w:bCs/>
                      <w:szCs w:val="21"/>
                    </w:rPr>
                    <w:t>2000</w:t>
                  </w:r>
                </w:p>
              </w:tc>
              <w:tc>
                <w:tcPr>
                  <w:tcW w:w="540" w:type="dxa"/>
                  <w:tcMar>
                    <w:top w:w="0" w:type="dxa"/>
                    <w:left w:w="0" w:type="dxa"/>
                    <w:bottom w:w="0" w:type="dxa"/>
                    <w:right w:w="0" w:type="dxa"/>
                  </w:tcMar>
                  <w:vAlign w:val="center"/>
                </w:tcPr>
                <w:p w14:paraId="4576700C">
                  <w:pPr>
                    <w:jc w:val="center"/>
                    <w:rPr>
                      <w:bCs/>
                      <w:szCs w:val="21"/>
                    </w:rPr>
                  </w:pPr>
                  <w:r>
                    <w:rPr>
                      <w:bCs/>
                      <w:szCs w:val="21"/>
                    </w:rPr>
                    <w:t>/</w:t>
                  </w:r>
                </w:p>
              </w:tc>
              <w:tc>
                <w:tcPr>
                  <w:tcW w:w="649" w:type="dxa"/>
                  <w:tcMar>
                    <w:top w:w="0" w:type="dxa"/>
                    <w:left w:w="0" w:type="dxa"/>
                    <w:bottom w:w="0" w:type="dxa"/>
                    <w:right w:w="0" w:type="dxa"/>
                  </w:tcMar>
                  <w:vAlign w:val="center"/>
                </w:tcPr>
                <w:p w14:paraId="73F9E18F">
                  <w:pPr>
                    <w:jc w:val="center"/>
                    <w:rPr>
                      <w:bCs/>
                      <w:szCs w:val="21"/>
                    </w:rPr>
                  </w:pPr>
                  <w:r>
                    <w:rPr>
                      <w:bCs/>
                      <w:szCs w:val="21"/>
                    </w:rPr>
                    <w:t>达标</w:t>
                  </w:r>
                </w:p>
              </w:tc>
            </w:tr>
            <w:tr w14:paraId="6BDB3F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1172C9A8">
                  <w:pPr>
                    <w:jc w:val="center"/>
                    <w:rPr>
                      <w:bCs/>
                      <w:szCs w:val="21"/>
                    </w:rPr>
                  </w:pPr>
                </w:p>
              </w:tc>
              <w:tc>
                <w:tcPr>
                  <w:tcW w:w="1465" w:type="dxa"/>
                  <w:vMerge w:val="continue"/>
                  <w:tcMar>
                    <w:top w:w="0" w:type="dxa"/>
                    <w:left w:w="0" w:type="dxa"/>
                    <w:bottom w:w="0" w:type="dxa"/>
                    <w:right w:w="0" w:type="dxa"/>
                  </w:tcMar>
                  <w:vAlign w:val="center"/>
                </w:tcPr>
                <w:p w14:paraId="691D7CB8">
                  <w:pPr>
                    <w:jc w:val="center"/>
                    <w:rPr>
                      <w:bCs/>
                      <w:szCs w:val="21"/>
                    </w:rPr>
                  </w:pPr>
                </w:p>
              </w:tc>
              <w:tc>
                <w:tcPr>
                  <w:tcW w:w="641" w:type="dxa"/>
                  <w:vMerge w:val="continue"/>
                  <w:tcMar>
                    <w:top w:w="0" w:type="dxa"/>
                    <w:left w:w="0" w:type="dxa"/>
                    <w:bottom w:w="0" w:type="dxa"/>
                    <w:right w:w="0" w:type="dxa"/>
                  </w:tcMar>
                  <w:vAlign w:val="center"/>
                </w:tcPr>
                <w:p w14:paraId="216470FB">
                  <w:pPr>
                    <w:widowControl/>
                    <w:jc w:val="center"/>
                    <w:rPr>
                      <w:kern w:val="0"/>
                      <w:szCs w:val="21"/>
                    </w:rPr>
                  </w:pPr>
                </w:p>
              </w:tc>
              <w:tc>
                <w:tcPr>
                  <w:tcW w:w="1744" w:type="dxa"/>
                  <w:tcMar>
                    <w:top w:w="0" w:type="dxa"/>
                    <w:left w:w="0" w:type="dxa"/>
                    <w:bottom w:w="0" w:type="dxa"/>
                    <w:right w:w="0" w:type="dxa"/>
                  </w:tcMar>
                  <w:vAlign w:val="center"/>
                </w:tcPr>
                <w:p w14:paraId="55937976">
                  <w:pPr>
                    <w:widowControl/>
                    <w:jc w:val="center"/>
                    <w:rPr>
                      <w:kern w:val="0"/>
                      <w:szCs w:val="21"/>
                    </w:rPr>
                  </w:pPr>
                  <w:r>
                    <w:rPr>
                      <w:rFonts w:hint="eastAsia"/>
                      <w:kern w:val="0"/>
                      <w:szCs w:val="21"/>
                    </w:rPr>
                    <w:t>颗粒物</w:t>
                  </w:r>
                </w:p>
              </w:tc>
              <w:tc>
                <w:tcPr>
                  <w:tcW w:w="851" w:type="dxa"/>
                  <w:tcMar>
                    <w:top w:w="0" w:type="dxa"/>
                    <w:left w:w="0" w:type="dxa"/>
                    <w:bottom w:w="0" w:type="dxa"/>
                    <w:right w:w="0" w:type="dxa"/>
                  </w:tcMar>
                  <w:vAlign w:val="center"/>
                </w:tcPr>
                <w:p w14:paraId="00E19F07">
                  <w:pPr>
                    <w:jc w:val="center"/>
                    <w:rPr>
                      <w:bCs/>
                      <w:szCs w:val="21"/>
                    </w:rPr>
                  </w:pPr>
                  <w:r>
                    <w:rPr>
                      <w:rFonts w:hint="eastAsia"/>
                      <w:bCs/>
                      <w:szCs w:val="21"/>
                    </w:rPr>
                    <w:t>ND</w:t>
                  </w:r>
                </w:p>
              </w:tc>
              <w:tc>
                <w:tcPr>
                  <w:tcW w:w="958" w:type="dxa"/>
                  <w:tcMar>
                    <w:top w:w="0" w:type="dxa"/>
                    <w:left w:w="0" w:type="dxa"/>
                    <w:bottom w:w="0" w:type="dxa"/>
                    <w:right w:w="0" w:type="dxa"/>
                  </w:tcMar>
                  <w:vAlign w:val="center"/>
                </w:tcPr>
                <w:p w14:paraId="49ACE8D3">
                  <w:pPr>
                    <w:jc w:val="center"/>
                    <w:rPr>
                      <w:bCs/>
                      <w:szCs w:val="21"/>
                    </w:rPr>
                  </w:pPr>
                  <w:r>
                    <w:rPr>
                      <w:rFonts w:hint="eastAsia"/>
                      <w:bCs/>
                      <w:szCs w:val="21"/>
                    </w:rPr>
                    <w:t>/</w:t>
                  </w:r>
                </w:p>
              </w:tc>
              <w:tc>
                <w:tcPr>
                  <w:tcW w:w="624" w:type="dxa"/>
                  <w:tcMar>
                    <w:top w:w="0" w:type="dxa"/>
                    <w:left w:w="0" w:type="dxa"/>
                    <w:bottom w:w="0" w:type="dxa"/>
                    <w:right w:w="0" w:type="dxa"/>
                  </w:tcMar>
                  <w:vAlign w:val="center"/>
                </w:tcPr>
                <w:p w14:paraId="4A85C003">
                  <w:pPr>
                    <w:jc w:val="center"/>
                    <w:rPr>
                      <w:bCs/>
                      <w:szCs w:val="21"/>
                    </w:rPr>
                  </w:pPr>
                  <w:r>
                    <w:rPr>
                      <w:rFonts w:hint="eastAsia"/>
                      <w:bCs/>
                      <w:szCs w:val="21"/>
                    </w:rPr>
                    <w:t>12</w:t>
                  </w:r>
                </w:p>
              </w:tc>
              <w:tc>
                <w:tcPr>
                  <w:tcW w:w="540" w:type="dxa"/>
                  <w:tcMar>
                    <w:top w:w="0" w:type="dxa"/>
                    <w:left w:w="0" w:type="dxa"/>
                    <w:bottom w:w="0" w:type="dxa"/>
                    <w:right w:w="0" w:type="dxa"/>
                  </w:tcMar>
                  <w:vAlign w:val="center"/>
                </w:tcPr>
                <w:p w14:paraId="375F2913">
                  <w:pPr>
                    <w:jc w:val="center"/>
                    <w:rPr>
                      <w:bCs/>
                      <w:szCs w:val="21"/>
                    </w:rPr>
                  </w:pPr>
                  <w:r>
                    <w:rPr>
                      <w:rFonts w:hint="eastAsia"/>
                      <w:bCs/>
                      <w:szCs w:val="21"/>
                    </w:rPr>
                    <w:t>/</w:t>
                  </w:r>
                </w:p>
              </w:tc>
              <w:tc>
                <w:tcPr>
                  <w:tcW w:w="649" w:type="dxa"/>
                  <w:tcMar>
                    <w:top w:w="0" w:type="dxa"/>
                    <w:left w:w="0" w:type="dxa"/>
                    <w:bottom w:w="0" w:type="dxa"/>
                    <w:right w:w="0" w:type="dxa"/>
                  </w:tcMar>
                  <w:vAlign w:val="center"/>
                </w:tcPr>
                <w:p w14:paraId="0E963E2B">
                  <w:pPr>
                    <w:jc w:val="center"/>
                    <w:rPr>
                      <w:bCs/>
                      <w:szCs w:val="21"/>
                    </w:rPr>
                  </w:pPr>
                  <w:r>
                    <w:rPr>
                      <w:bCs/>
                      <w:szCs w:val="21"/>
                    </w:rPr>
                    <w:t>达标</w:t>
                  </w:r>
                </w:p>
              </w:tc>
            </w:tr>
            <w:tr w14:paraId="167FDE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33038405">
                  <w:pPr>
                    <w:jc w:val="center"/>
                    <w:rPr>
                      <w:bCs/>
                      <w:szCs w:val="21"/>
                    </w:rPr>
                  </w:pPr>
                </w:p>
              </w:tc>
              <w:tc>
                <w:tcPr>
                  <w:tcW w:w="1465" w:type="dxa"/>
                  <w:vMerge w:val="continue"/>
                  <w:tcMar>
                    <w:top w:w="0" w:type="dxa"/>
                    <w:left w:w="0" w:type="dxa"/>
                    <w:bottom w:w="0" w:type="dxa"/>
                    <w:right w:w="0" w:type="dxa"/>
                  </w:tcMar>
                  <w:vAlign w:val="center"/>
                </w:tcPr>
                <w:p w14:paraId="7DDFBD4F">
                  <w:pPr>
                    <w:jc w:val="center"/>
                    <w:rPr>
                      <w:bCs/>
                      <w:szCs w:val="21"/>
                    </w:rPr>
                  </w:pPr>
                </w:p>
              </w:tc>
              <w:tc>
                <w:tcPr>
                  <w:tcW w:w="641" w:type="dxa"/>
                  <w:vMerge w:val="continue"/>
                  <w:tcMar>
                    <w:top w:w="0" w:type="dxa"/>
                    <w:left w:w="0" w:type="dxa"/>
                    <w:bottom w:w="0" w:type="dxa"/>
                    <w:right w:w="0" w:type="dxa"/>
                  </w:tcMar>
                  <w:vAlign w:val="center"/>
                </w:tcPr>
                <w:p w14:paraId="4A4D3D05">
                  <w:pPr>
                    <w:widowControl/>
                    <w:jc w:val="center"/>
                    <w:rPr>
                      <w:kern w:val="0"/>
                      <w:szCs w:val="21"/>
                    </w:rPr>
                  </w:pPr>
                </w:p>
              </w:tc>
              <w:tc>
                <w:tcPr>
                  <w:tcW w:w="1744" w:type="dxa"/>
                  <w:tcMar>
                    <w:top w:w="0" w:type="dxa"/>
                    <w:left w:w="0" w:type="dxa"/>
                    <w:bottom w:w="0" w:type="dxa"/>
                    <w:right w:w="0" w:type="dxa"/>
                  </w:tcMar>
                  <w:vAlign w:val="center"/>
                </w:tcPr>
                <w:p w14:paraId="11155B72">
                  <w:pPr>
                    <w:widowControl/>
                    <w:jc w:val="center"/>
                    <w:rPr>
                      <w:kern w:val="0"/>
                      <w:szCs w:val="21"/>
                    </w:rPr>
                  </w:pPr>
                  <w:r>
                    <w:rPr>
                      <w:kern w:val="0"/>
                      <w:szCs w:val="21"/>
                    </w:rPr>
                    <w:t>VOCs</w:t>
                  </w:r>
                </w:p>
              </w:tc>
              <w:tc>
                <w:tcPr>
                  <w:tcW w:w="851" w:type="dxa"/>
                  <w:tcMar>
                    <w:top w:w="0" w:type="dxa"/>
                    <w:left w:w="0" w:type="dxa"/>
                    <w:bottom w:w="0" w:type="dxa"/>
                    <w:right w:w="0" w:type="dxa"/>
                  </w:tcMar>
                  <w:vAlign w:val="center"/>
                </w:tcPr>
                <w:p w14:paraId="3EE6D76A">
                  <w:pPr>
                    <w:jc w:val="center"/>
                    <w:rPr>
                      <w:bCs/>
                      <w:szCs w:val="21"/>
                    </w:rPr>
                  </w:pPr>
                  <w:r>
                    <w:rPr>
                      <w:rFonts w:hint="eastAsia"/>
                      <w:bCs/>
                      <w:szCs w:val="21"/>
                    </w:rPr>
                    <w:t>0.237</w:t>
                  </w:r>
                </w:p>
              </w:tc>
              <w:tc>
                <w:tcPr>
                  <w:tcW w:w="958" w:type="dxa"/>
                  <w:tcMar>
                    <w:top w:w="0" w:type="dxa"/>
                    <w:left w:w="0" w:type="dxa"/>
                    <w:bottom w:w="0" w:type="dxa"/>
                    <w:right w:w="0" w:type="dxa"/>
                  </w:tcMar>
                  <w:vAlign w:val="center"/>
                </w:tcPr>
                <w:p w14:paraId="2D156465">
                  <w:pPr>
                    <w:jc w:val="center"/>
                    <w:rPr>
                      <w:bCs/>
                      <w:szCs w:val="21"/>
                    </w:rPr>
                  </w:pPr>
                  <w:r>
                    <w:rPr>
                      <w:rFonts w:hint="eastAsia"/>
                      <w:bCs/>
                      <w:szCs w:val="21"/>
                    </w:rPr>
                    <w:t>0.00675</w:t>
                  </w:r>
                </w:p>
              </w:tc>
              <w:tc>
                <w:tcPr>
                  <w:tcW w:w="624" w:type="dxa"/>
                  <w:tcMar>
                    <w:top w:w="0" w:type="dxa"/>
                    <w:left w:w="0" w:type="dxa"/>
                    <w:bottom w:w="0" w:type="dxa"/>
                    <w:right w:w="0" w:type="dxa"/>
                  </w:tcMar>
                  <w:vAlign w:val="center"/>
                </w:tcPr>
                <w:p w14:paraId="4AE56664">
                  <w:pPr>
                    <w:jc w:val="center"/>
                    <w:rPr>
                      <w:bCs/>
                      <w:szCs w:val="21"/>
                    </w:rPr>
                  </w:pPr>
                  <w:r>
                    <w:rPr>
                      <w:bCs/>
                      <w:szCs w:val="21"/>
                    </w:rPr>
                    <w:t>10</w:t>
                  </w:r>
                </w:p>
              </w:tc>
              <w:tc>
                <w:tcPr>
                  <w:tcW w:w="540" w:type="dxa"/>
                  <w:tcMar>
                    <w:top w:w="0" w:type="dxa"/>
                    <w:left w:w="0" w:type="dxa"/>
                    <w:bottom w:w="0" w:type="dxa"/>
                    <w:right w:w="0" w:type="dxa"/>
                  </w:tcMar>
                  <w:vAlign w:val="center"/>
                </w:tcPr>
                <w:p w14:paraId="17469CCB">
                  <w:pPr>
                    <w:jc w:val="center"/>
                    <w:rPr>
                      <w:bCs/>
                      <w:szCs w:val="21"/>
                    </w:rPr>
                  </w:pPr>
                  <w:r>
                    <w:rPr>
                      <w:bCs/>
                      <w:szCs w:val="21"/>
                    </w:rPr>
                    <w:t>1.0</w:t>
                  </w:r>
                </w:p>
              </w:tc>
              <w:tc>
                <w:tcPr>
                  <w:tcW w:w="649" w:type="dxa"/>
                  <w:tcMar>
                    <w:top w:w="0" w:type="dxa"/>
                    <w:left w:w="0" w:type="dxa"/>
                    <w:bottom w:w="0" w:type="dxa"/>
                    <w:right w:w="0" w:type="dxa"/>
                  </w:tcMar>
                  <w:vAlign w:val="center"/>
                </w:tcPr>
                <w:p w14:paraId="68E3E725">
                  <w:pPr>
                    <w:jc w:val="center"/>
                    <w:rPr>
                      <w:bCs/>
                      <w:szCs w:val="21"/>
                    </w:rPr>
                  </w:pPr>
                  <w:r>
                    <w:rPr>
                      <w:bCs/>
                      <w:szCs w:val="21"/>
                    </w:rPr>
                    <w:t>达标</w:t>
                  </w:r>
                </w:p>
              </w:tc>
            </w:tr>
            <w:tr w14:paraId="6D5364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1E2D736A">
                  <w:pPr>
                    <w:jc w:val="center"/>
                    <w:rPr>
                      <w:bCs/>
                      <w:szCs w:val="21"/>
                    </w:rPr>
                  </w:pPr>
                </w:p>
              </w:tc>
              <w:tc>
                <w:tcPr>
                  <w:tcW w:w="1465" w:type="dxa"/>
                  <w:vMerge w:val="continue"/>
                  <w:tcMar>
                    <w:top w:w="0" w:type="dxa"/>
                    <w:left w:w="0" w:type="dxa"/>
                    <w:bottom w:w="0" w:type="dxa"/>
                    <w:right w:w="0" w:type="dxa"/>
                  </w:tcMar>
                  <w:vAlign w:val="center"/>
                </w:tcPr>
                <w:p w14:paraId="143B228E">
                  <w:pPr>
                    <w:jc w:val="center"/>
                    <w:rPr>
                      <w:bCs/>
                      <w:szCs w:val="21"/>
                    </w:rPr>
                  </w:pPr>
                </w:p>
              </w:tc>
              <w:tc>
                <w:tcPr>
                  <w:tcW w:w="641" w:type="dxa"/>
                  <w:vMerge w:val="continue"/>
                  <w:tcMar>
                    <w:top w:w="0" w:type="dxa"/>
                    <w:left w:w="0" w:type="dxa"/>
                    <w:bottom w:w="0" w:type="dxa"/>
                    <w:right w:w="0" w:type="dxa"/>
                  </w:tcMar>
                  <w:vAlign w:val="center"/>
                </w:tcPr>
                <w:p w14:paraId="369893C7">
                  <w:pPr>
                    <w:widowControl/>
                    <w:jc w:val="center"/>
                    <w:rPr>
                      <w:kern w:val="0"/>
                      <w:szCs w:val="21"/>
                    </w:rPr>
                  </w:pPr>
                </w:p>
              </w:tc>
              <w:tc>
                <w:tcPr>
                  <w:tcW w:w="1744" w:type="dxa"/>
                  <w:tcMar>
                    <w:top w:w="0" w:type="dxa"/>
                    <w:left w:w="0" w:type="dxa"/>
                    <w:bottom w:w="0" w:type="dxa"/>
                    <w:right w:w="0" w:type="dxa"/>
                  </w:tcMar>
                  <w:vAlign w:val="center"/>
                </w:tcPr>
                <w:p w14:paraId="1489B0CA">
                  <w:pPr>
                    <w:widowControl/>
                    <w:jc w:val="center"/>
                    <w:rPr>
                      <w:kern w:val="0"/>
                      <w:szCs w:val="21"/>
                    </w:rPr>
                  </w:pPr>
                  <w:r>
                    <w:rPr>
                      <w:kern w:val="0"/>
                      <w:szCs w:val="21"/>
                    </w:rPr>
                    <w:t>H</w:t>
                  </w:r>
                  <w:r>
                    <w:rPr>
                      <w:kern w:val="0"/>
                      <w:szCs w:val="21"/>
                      <w:vertAlign w:val="subscript"/>
                    </w:rPr>
                    <w:t>2</w:t>
                  </w:r>
                  <w:r>
                    <w:rPr>
                      <w:kern w:val="0"/>
                      <w:szCs w:val="21"/>
                    </w:rPr>
                    <w:t>S</w:t>
                  </w:r>
                </w:p>
              </w:tc>
              <w:tc>
                <w:tcPr>
                  <w:tcW w:w="851" w:type="dxa"/>
                  <w:tcMar>
                    <w:top w:w="0" w:type="dxa"/>
                    <w:left w:w="0" w:type="dxa"/>
                    <w:bottom w:w="0" w:type="dxa"/>
                    <w:right w:w="0" w:type="dxa"/>
                  </w:tcMar>
                  <w:vAlign w:val="center"/>
                </w:tcPr>
                <w:p w14:paraId="23F27118">
                  <w:pPr>
                    <w:jc w:val="center"/>
                    <w:rPr>
                      <w:bCs/>
                      <w:szCs w:val="21"/>
                    </w:rPr>
                  </w:pPr>
                  <w:r>
                    <w:rPr>
                      <w:rFonts w:hint="eastAsia"/>
                      <w:bCs/>
                      <w:szCs w:val="21"/>
                    </w:rPr>
                    <w:t>0.001</w:t>
                  </w:r>
                </w:p>
              </w:tc>
              <w:tc>
                <w:tcPr>
                  <w:tcW w:w="958" w:type="dxa"/>
                  <w:tcMar>
                    <w:top w:w="0" w:type="dxa"/>
                    <w:left w:w="0" w:type="dxa"/>
                    <w:bottom w:w="0" w:type="dxa"/>
                    <w:right w:w="0" w:type="dxa"/>
                  </w:tcMar>
                  <w:vAlign w:val="center"/>
                </w:tcPr>
                <w:p w14:paraId="10544190">
                  <w:pPr>
                    <w:jc w:val="center"/>
                    <w:rPr>
                      <w:bCs/>
                      <w:szCs w:val="21"/>
                    </w:rPr>
                  </w:pPr>
                  <w:r>
                    <w:rPr>
                      <w:rFonts w:hint="eastAsia"/>
                      <w:bCs/>
                      <w:szCs w:val="21"/>
                    </w:rPr>
                    <w:t>0.0000285</w:t>
                  </w:r>
                </w:p>
              </w:tc>
              <w:tc>
                <w:tcPr>
                  <w:tcW w:w="624" w:type="dxa"/>
                  <w:tcMar>
                    <w:top w:w="0" w:type="dxa"/>
                    <w:left w:w="0" w:type="dxa"/>
                    <w:bottom w:w="0" w:type="dxa"/>
                    <w:right w:w="0" w:type="dxa"/>
                  </w:tcMar>
                  <w:vAlign w:val="center"/>
                </w:tcPr>
                <w:p w14:paraId="49D191F9">
                  <w:pPr>
                    <w:jc w:val="center"/>
                    <w:rPr>
                      <w:bCs/>
                      <w:szCs w:val="21"/>
                    </w:rPr>
                  </w:pPr>
                  <w:r>
                    <w:rPr>
                      <w:bCs/>
                      <w:szCs w:val="21"/>
                    </w:rPr>
                    <w:t>/</w:t>
                  </w:r>
                </w:p>
              </w:tc>
              <w:tc>
                <w:tcPr>
                  <w:tcW w:w="540" w:type="dxa"/>
                  <w:tcMar>
                    <w:top w:w="0" w:type="dxa"/>
                    <w:left w:w="0" w:type="dxa"/>
                    <w:bottom w:w="0" w:type="dxa"/>
                    <w:right w:w="0" w:type="dxa"/>
                  </w:tcMar>
                  <w:vAlign w:val="center"/>
                </w:tcPr>
                <w:p w14:paraId="29F6ADF2">
                  <w:pPr>
                    <w:jc w:val="center"/>
                    <w:rPr>
                      <w:bCs/>
                      <w:szCs w:val="21"/>
                    </w:rPr>
                  </w:pPr>
                  <w:r>
                    <w:rPr>
                      <w:bCs/>
                      <w:szCs w:val="21"/>
                    </w:rPr>
                    <w:t>0.33</w:t>
                  </w:r>
                </w:p>
              </w:tc>
              <w:tc>
                <w:tcPr>
                  <w:tcW w:w="649" w:type="dxa"/>
                  <w:tcMar>
                    <w:top w:w="0" w:type="dxa"/>
                    <w:left w:w="0" w:type="dxa"/>
                    <w:bottom w:w="0" w:type="dxa"/>
                    <w:right w:w="0" w:type="dxa"/>
                  </w:tcMar>
                  <w:vAlign w:val="center"/>
                </w:tcPr>
                <w:p w14:paraId="13A93FB7">
                  <w:pPr>
                    <w:jc w:val="center"/>
                    <w:rPr>
                      <w:bCs/>
                      <w:szCs w:val="21"/>
                    </w:rPr>
                  </w:pPr>
                  <w:r>
                    <w:rPr>
                      <w:bCs/>
                      <w:szCs w:val="21"/>
                    </w:rPr>
                    <w:t>达标</w:t>
                  </w:r>
                </w:p>
              </w:tc>
            </w:tr>
            <w:tr w14:paraId="35E8D9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46" w:type="dxa"/>
                  <w:vMerge w:val="continue"/>
                  <w:tcMar>
                    <w:top w:w="0" w:type="dxa"/>
                    <w:left w:w="0" w:type="dxa"/>
                    <w:bottom w:w="0" w:type="dxa"/>
                    <w:right w:w="0" w:type="dxa"/>
                  </w:tcMar>
                  <w:vAlign w:val="center"/>
                </w:tcPr>
                <w:p w14:paraId="5F23E6E6">
                  <w:pPr>
                    <w:jc w:val="center"/>
                    <w:rPr>
                      <w:bCs/>
                      <w:szCs w:val="21"/>
                    </w:rPr>
                  </w:pPr>
                </w:p>
              </w:tc>
              <w:tc>
                <w:tcPr>
                  <w:tcW w:w="1465" w:type="dxa"/>
                  <w:tcMar>
                    <w:top w:w="0" w:type="dxa"/>
                    <w:left w:w="0" w:type="dxa"/>
                    <w:bottom w:w="0" w:type="dxa"/>
                    <w:right w:w="0" w:type="dxa"/>
                  </w:tcMar>
                  <w:vAlign w:val="center"/>
                </w:tcPr>
                <w:p w14:paraId="2AF3B602">
                  <w:pPr>
                    <w:jc w:val="center"/>
                    <w:rPr>
                      <w:bCs/>
                      <w:szCs w:val="21"/>
                    </w:rPr>
                  </w:pPr>
                  <w:r>
                    <w:rPr>
                      <w:rFonts w:hint="eastAsia"/>
                      <w:bCs/>
                      <w:szCs w:val="21"/>
                    </w:rPr>
                    <w:t>4#排气筒出口</w:t>
                  </w:r>
                </w:p>
              </w:tc>
              <w:tc>
                <w:tcPr>
                  <w:tcW w:w="641" w:type="dxa"/>
                  <w:tcMar>
                    <w:top w:w="0" w:type="dxa"/>
                    <w:left w:w="0" w:type="dxa"/>
                    <w:bottom w:w="0" w:type="dxa"/>
                    <w:right w:w="0" w:type="dxa"/>
                  </w:tcMar>
                  <w:vAlign w:val="center"/>
                </w:tcPr>
                <w:p w14:paraId="688991AF">
                  <w:pPr>
                    <w:widowControl/>
                    <w:jc w:val="center"/>
                    <w:rPr>
                      <w:kern w:val="0"/>
                      <w:szCs w:val="21"/>
                    </w:rPr>
                  </w:pPr>
                  <w:r>
                    <w:rPr>
                      <w:rFonts w:hint="eastAsia"/>
                      <w:kern w:val="0"/>
                      <w:szCs w:val="21"/>
                    </w:rPr>
                    <w:t>10300</w:t>
                  </w:r>
                </w:p>
              </w:tc>
              <w:tc>
                <w:tcPr>
                  <w:tcW w:w="1744" w:type="dxa"/>
                  <w:tcMar>
                    <w:top w:w="0" w:type="dxa"/>
                    <w:left w:w="0" w:type="dxa"/>
                    <w:bottom w:w="0" w:type="dxa"/>
                    <w:right w:w="0" w:type="dxa"/>
                  </w:tcMar>
                  <w:vAlign w:val="center"/>
                </w:tcPr>
                <w:p w14:paraId="1DF2E3FD">
                  <w:pPr>
                    <w:widowControl/>
                    <w:jc w:val="center"/>
                    <w:rPr>
                      <w:kern w:val="0"/>
                      <w:szCs w:val="21"/>
                    </w:rPr>
                  </w:pPr>
                  <w:r>
                    <w:rPr>
                      <w:rFonts w:hint="eastAsia"/>
                      <w:kern w:val="0"/>
                      <w:szCs w:val="21"/>
                    </w:rPr>
                    <w:t>油烟</w:t>
                  </w:r>
                </w:p>
              </w:tc>
              <w:tc>
                <w:tcPr>
                  <w:tcW w:w="851" w:type="dxa"/>
                  <w:tcMar>
                    <w:top w:w="0" w:type="dxa"/>
                    <w:left w:w="0" w:type="dxa"/>
                    <w:bottom w:w="0" w:type="dxa"/>
                    <w:right w:w="0" w:type="dxa"/>
                  </w:tcMar>
                  <w:vAlign w:val="center"/>
                </w:tcPr>
                <w:p w14:paraId="5FEDF61B">
                  <w:pPr>
                    <w:jc w:val="center"/>
                    <w:rPr>
                      <w:bCs/>
                      <w:szCs w:val="21"/>
                    </w:rPr>
                  </w:pPr>
                  <w:r>
                    <w:rPr>
                      <w:rFonts w:hint="eastAsia"/>
                      <w:bCs/>
                      <w:szCs w:val="21"/>
                    </w:rPr>
                    <w:t>0.2</w:t>
                  </w:r>
                </w:p>
                <w:p w14:paraId="72942D83">
                  <w:pPr>
                    <w:jc w:val="center"/>
                    <w:rPr>
                      <w:bCs/>
                      <w:szCs w:val="21"/>
                    </w:rPr>
                  </w:pPr>
                  <w:r>
                    <w:rPr>
                      <w:rFonts w:hint="eastAsia"/>
                      <w:bCs/>
                      <w:szCs w:val="21"/>
                    </w:rPr>
                    <w:t>（按标态折算后：0.3）</w:t>
                  </w:r>
                </w:p>
              </w:tc>
              <w:tc>
                <w:tcPr>
                  <w:tcW w:w="958" w:type="dxa"/>
                  <w:tcMar>
                    <w:top w:w="0" w:type="dxa"/>
                    <w:left w:w="0" w:type="dxa"/>
                    <w:bottom w:w="0" w:type="dxa"/>
                    <w:right w:w="0" w:type="dxa"/>
                  </w:tcMar>
                  <w:vAlign w:val="center"/>
                </w:tcPr>
                <w:p w14:paraId="117F1EF5">
                  <w:pPr>
                    <w:jc w:val="center"/>
                    <w:rPr>
                      <w:bCs/>
                      <w:szCs w:val="21"/>
                    </w:rPr>
                  </w:pPr>
                  <w:r>
                    <w:rPr>
                      <w:rFonts w:hint="eastAsia"/>
                      <w:bCs/>
                      <w:szCs w:val="21"/>
                    </w:rPr>
                    <w:t>2060</w:t>
                  </w:r>
                </w:p>
              </w:tc>
              <w:tc>
                <w:tcPr>
                  <w:tcW w:w="624" w:type="dxa"/>
                  <w:tcMar>
                    <w:top w:w="0" w:type="dxa"/>
                    <w:left w:w="0" w:type="dxa"/>
                    <w:bottom w:w="0" w:type="dxa"/>
                    <w:right w:w="0" w:type="dxa"/>
                  </w:tcMar>
                  <w:vAlign w:val="center"/>
                </w:tcPr>
                <w:p w14:paraId="33B4D414">
                  <w:pPr>
                    <w:jc w:val="center"/>
                    <w:rPr>
                      <w:bCs/>
                      <w:szCs w:val="21"/>
                    </w:rPr>
                  </w:pPr>
                  <w:r>
                    <w:rPr>
                      <w:rFonts w:hint="eastAsia"/>
                      <w:bCs/>
                      <w:szCs w:val="21"/>
                    </w:rPr>
                    <w:t>2.0</w:t>
                  </w:r>
                </w:p>
              </w:tc>
              <w:tc>
                <w:tcPr>
                  <w:tcW w:w="540" w:type="dxa"/>
                  <w:tcMar>
                    <w:top w:w="0" w:type="dxa"/>
                    <w:left w:w="0" w:type="dxa"/>
                    <w:bottom w:w="0" w:type="dxa"/>
                    <w:right w:w="0" w:type="dxa"/>
                  </w:tcMar>
                  <w:vAlign w:val="center"/>
                </w:tcPr>
                <w:p w14:paraId="5CDFAB49">
                  <w:pPr>
                    <w:jc w:val="center"/>
                    <w:rPr>
                      <w:bCs/>
                      <w:szCs w:val="21"/>
                    </w:rPr>
                  </w:pPr>
                  <w:r>
                    <w:rPr>
                      <w:bCs/>
                      <w:szCs w:val="21"/>
                    </w:rPr>
                    <w:t>/</w:t>
                  </w:r>
                </w:p>
              </w:tc>
              <w:tc>
                <w:tcPr>
                  <w:tcW w:w="649" w:type="dxa"/>
                  <w:tcMar>
                    <w:top w:w="0" w:type="dxa"/>
                    <w:left w:w="0" w:type="dxa"/>
                    <w:bottom w:w="0" w:type="dxa"/>
                    <w:right w:w="0" w:type="dxa"/>
                  </w:tcMar>
                  <w:vAlign w:val="center"/>
                </w:tcPr>
                <w:p w14:paraId="149BFE49">
                  <w:pPr>
                    <w:jc w:val="center"/>
                    <w:rPr>
                      <w:bCs/>
                      <w:szCs w:val="21"/>
                    </w:rPr>
                  </w:pPr>
                  <w:r>
                    <w:rPr>
                      <w:bCs/>
                      <w:szCs w:val="21"/>
                    </w:rPr>
                    <w:t>达标</w:t>
                  </w:r>
                </w:p>
              </w:tc>
            </w:tr>
          </w:tbl>
          <w:p w14:paraId="7906B11F">
            <w:pPr>
              <w:pStyle w:val="5"/>
              <w:adjustRightInd w:val="0"/>
              <w:snapToGrid w:val="0"/>
              <w:spacing w:beforeLines="50" w:line="360" w:lineRule="auto"/>
              <w:ind w:firstLine="420"/>
              <w:rPr>
                <w:rStyle w:val="30"/>
              </w:rPr>
            </w:pPr>
            <w:r>
              <w:rPr>
                <w:szCs w:val="21"/>
              </w:rPr>
              <w:t>由以上监测结果可知，现有项目配料、混炼、</w:t>
            </w:r>
            <w:r>
              <w:rPr>
                <w:rFonts w:hint="eastAsia"/>
                <w:szCs w:val="21"/>
              </w:rPr>
              <w:t>挤出、</w:t>
            </w:r>
            <w:r>
              <w:rPr>
                <w:szCs w:val="21"/>
              </w:rPr>
              <w:t>硫化及二次硫化工段产生的颗粒物、非甲烷总烃有组织排放满足《橡胶制品工业污染物排放标准》（GB27632-2011）中表5标准限值，</w:t>
            </w:r>
            <w:r>
              <w:rPr>
                <w:kern w:val="0"/>
                <w:szCs w:val="21"/>
              </w:rPr>
              <w:t>H</w:t>
            </w:r>
            <w:r>
              <w:rPr>
                <w:kern w:val="0"/>
                <w:szCs w:val="21"/>
                <w:vertAlign w:val="subscript"/>
              </w:rPr>
              <w:t>2</w:t>
            </w:r>
            <w:r>
              <w:rPr>
                <w:kern w:val="0"/>
                <w:szCs w:val="21"/>
              </w:rPr>
              <w:t>S、臭气浓度有组织排放满足《恶臭污染物排放标准》（GB14554-93）中表2标准限值，VOCs有组织排放满足《工业企业挥发性有机物排放控制标准》（DB12/524-2020）中表1标准限值</w:t>
            </w:r>
            <w:r>
              <w:rPr>
                <w:rFonts w:hint="eastAsia"/>
                <w:kern w:val="0"/>
                <w:szCs w:val="21"/>
              </w:rPr>
              <w:t>，氟化物有组织排放满足</w:t>
            </w:r>
            <w:r>
              <w:rPr>
                <w:szCs w:val="21"/>
              </w:rPr>
              <w:t>《大气污染物综合排放标准》（DB32/4041-2021）中表1标准限值</w:t>
            </w:r>
            <w:r>
              <w:rPr>
                <w:kern w:val="0"/>
                <w:szCs w:val="21"/>
              </w:rPr>
              <w:t>；</w:t>
            </w:r>
            <w:r>
              <w:rPr>
                <w:szCs w:val="21"/>
              </w:rPr>
              <w:t>抛丸工段产生的颗粒物有组织排放满足《大气污染物综合排放标准》（DB32/4041-2021）中表1标准限值；涂胶、干燥</w:t>
            </w:r>
            <w:r>
              <w:rPr>
                <w:rFonts w:hint="eastAsia"/>
                <w:szCs w:val="21"/>
              </w:rPr>
              <w:t>、电泳后烘干</w:t>
            </w:r>
            <w:r>
              <w:rPr>
                <w:szCs w:val="21"/>
              </w:rPr>
              <w:t>工段产生的非甲烷总烃有组织排放满足《橡胶制品工业污染物排放标准》（GB27632-2011）中表5标准限值，颗粒物有组织排放满足《大气污染物综合排放标准》（DB32/4041-2021）中表1标准限值</w:t>
            </w:r>
            <w:r>
              <w:rPr>
                <w:rFonts w:hint="eastAsia"/>
                <w:szCs w:val="21"/>
              </w:rPr>
              <w:t>，二甲苯</w:t>
            </w:r>
            <w:r>
              <w:rPr>
                <w:szCs w:val="21"/>
              </w:rPr>
              <w:t>有组织排放满足《橡胶制品工业污染物排放标准》（GB27632-2011）中表5标准限值，</w:t>
            </w:r>
            <w:r>
              <w:rPr>
                <w:rFonts w:hint="eastAsia"/>
                <w:szCs w:val="21"/>
              </w:rPr>
              <w:t>乙苯有组织排放满足</w:t>
            </w:r>
            <w:r>
              <w:t>根据</w:t>
            </w:r>
            <w:bookmarkStart w:id="96" w:name="OLE_LINK72"/>
            <w:r>
              <w:t>《制定地方大气污染物排放标准的技术方法》（GB/T13201-91）</w:t>
            </w:r>
            <w:bookmarkEnd w:id="96"/>
            <w:r>
              <w:rPr>
                <w:rFonts w:hint="eastAsia"/>
              </w:rPr>
              <w:t>制定的最高允许排放浓度和排放速率限值，</w:t>
            </w:r>
            <w:r>
              <w:rPr>
                <w:kern w:val="0"/>
                <w:szCs w:val="21"/>
              </w:rPr>
              <w:t>VOCs有组织排放满足《工业企业挥发性有机物排放控制标准》（DB12/524-2020）中表1标准限值</w:t>
            </w:r>
            <w:r>
              <w:rPr>
                <w:rFonts w:hint="eastAsia"/>
                <w:kern w:val="0"/>
                <w:szCs w:val="21"/>
              </w:rPr>
              <w:t>，油烟有组织排放满足</w:t>
            </w:r>
            <w:bookmarkStart w:id="97" w:name="OLE_LINK73"/>
            <w:bookmarkStart w:id="98" w:name="OLE_LINK74"/>
            <w:r>
              <w:rPr>
                <w:rFonts w:hint="eastAsia"/>
                <w:kern w:val="0"/>
                <w:szCs w:val="21"/>
              </w:rPr>
              <w:t>《饮食业油烟排放标准（试行）》（GB18483-2001）</w:t>
            </w:r>
            <w:bookmarkEnd w:id="97"/>
            <w:bookmarkEnd w:id="98"/>
            <w:r>
              <w:rPr>
                <w:rFonts w:hint="eastAsia"/>
                <w:kern w:val="0"/>
                <w:szCs w:val="21"/>
              </w:rPr>
              <w:t>中表2最高允许排放浓度限值。</w:t>
            </w:r>
          </w:p>
          <w:p w14:paraId="37D0A944">
            <w:pPr>
              <w:pStyle w:val="5"/>
              <w:adjustRightInd w:val="0"/>
              <w:snapToGrid w:val="0"/>
              <w:spacing w:line="360" w:lineRule="auto"/>
              <w:ind w:firstLine="422"/>
              <w:rPr>
                <w:rStyle w:val="30"/>
                <w:b/>
                <w:bCs/>
              </w:rPr>
            </w:pPr>
            <w:r>
              <w:rPr>
                <w:rStyle w:val="30"/>
                <w:rFonts w:hint="eastAsia"/>
                <w:b/>
                <w:bCs/>
              </w:rPr>
              <w:t>②废气无组织排放情况</w:t>
            </w:r>
          </w:p>
          <w:p w14:paraId="1ECD68EC">
            <w:pPr>
              <w:pStyle w:val="5"/>
              <w:adjustRightInd w:val="0"/>
              <w:snapToGrid w:val="0"/>
              <w:ind w:firstLine="0" w:firstLineChars="0"/>
              <w:jc w:val="center"/>
              <w:rPr>
                <w:b/>
                <w:bCs/>
                <w:szCs w:val="21"/>
              </w:rPr>
            </w:pPr>
            <w:r>
              <w:rPr>
                <w:rFonts w:hint="eastAsia"/>
                <w:b/>
                <w:bCs/>
                <w:szCs w:val="21"/>
              </w:rPr>
              <w:t>表2-13  现有项目无组织废气监测结果表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026"/>
              <w:gridCol w:w="1204"/>
              <w:gridCol w:w="2087"/>
              <w:gridCol w:w="1921"/>
              <w:gridCol w:w="1110"/>
              <w:gridCol w:w="1041"/>
            </w:tblGrid>
            <w:tr w14:paraId="604EFF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tcMar>
                    <w:top w:w="0" w:type="dxa"/>
                    <w:left w:w="0" w:type="dxa"/>
                    <w:bottom w:w="0" w:type="dxa"/>
                    <w:right w:w="0" w:type="dxa"/>
                  </w:tcMar>
                  <w:vAlign w:val="center"/>
                </w:tcPr>
                <w:p w14:paraId="5FE3AB96">
                  <w:pPr>
                    <w:widowControl/>
                    <w:adjustRightInd w:val="0"/>
                    <w:jc w:val="center"/>
                    <w:rPr>
                      <w:b/>
                      <w:bCs/>
                      <w:szCs w:val="21"/>
                    </w:rPr>
                  </w:pPr>
                  <w:r>
                    <w:rPr>
                      <w:b/>
                      <w:bCs/>
                      <w:szCs w:val="21"/>
                    </w:rPr>
                    <w:t>采样日期</w:t>
                  </w:r>
                </w:p>
              </w:tc>
              <w:tc>
                <w:tcPr>
                  <w:tcW w:w="717" w:type="pct"/>
                  <w:tcMar>
                    <w:top w:w="0" w:type="dxa"/>
                    <w:left w:w="0" w:type="dxa"/>
                    <w:bottom w:w="0" w:type="dxa"/>
                    <w:right w:w="0" w:type="dxa"/>
                  </w:tcMar>
                  <w:vAlign w:val="center"/>
                </w:tcPr>
                <w:p w14:paraId="7D51A3E7">
                  <w:pPr>
                    <w:widowControl/>
                    <w:adjustRightInd w:val="0"/>
                    <w:jc w:val="center"/>
                    <w:rPr>
                      <w:b/>
                      <w:bCs/>
                      <w:szCs w:val="21"/>
                    </w:rPr>
                  </w:pPr>
                  <w:r>
                    <w:rPr>
                      <w:b/>
                      <w:bCs/>
                      <w:szCs w:val="21"/>
                    </w:rPr>
                    <w:t>检测项目</w:t>
                  </w:r>
                </w:p>
              </w:tc>
              <w:tc>
                <w:tcPr>
                  <w:tcW w:w="1243" w:type="pct"/>
                  <w:tcMar>
                    <w:top w:w="0" w:type="dxa"/>
                    <w:left w:w="0" w:type="dxa"/>
                    <w:bottom w:w="0" w:type="dxa"/>
                    <w:right w:w="0" w:type="dxa"/>
                  </w:tcMar>
                  <w:vAlign w:val="center"/>
                </w:tcPr>
                <w:p w14:paraId="576D3E20">
                  <w:pPr>
                    <w:widowControl/>
                    <w:adjustRightInd w:val="0"/>
                    <w:jc w:val="center"/>
                    <w:rPr>
                      <w:b/>
                      <w:bCs/>
                      <w:szCs w:val="21"/>
                    </w:rPr>
                  </w:pPr>
                  <w:r>
                    <w:rPr>
                      <w:b/>
                      <w:bCs/>
                      <w:szCs w:val="21"/>
                    </w:rPr>
                    <w:t>检测</w:t>
                  </w:r>
                  <w:r>
                    <w:rPr>
                      <w:rFonts w:hint="eastAsia"/>
                      <w:b/>
                      <w:bCs/>
                      <w:szCs w:val="21"/>
                    </w:rPr>
                    <w:t>点位</w:t>
                  </w:r>
                </w:p>
              </w:tc>
              <w:tc>
                <w:tcPr>
                  <w:tcW w:w="1144" w:type="pct"/>
                  <w:tcMar>
                    <w:top w:w="0" w:type="dxa"/>
                    <w:left w:w="0" w:type="dxa"/>
                    <w:bottom w:w="0" w:type="dxa"/>
                    <w:right w:w="0" w:type="dxa"/>
                  </w:tcMar>
                  <w:vAlign w:val="center"/>
                </w:tcPr>
                <w:p w14:paraId="25C51FE8">
                  <w:pPr>
                    <w:widowControl/>
                    <w:adjustRightInd w:val="0"/>
                    <w:jc w:val="center"/>
                    <w:rPr>
                      <w:b/>
                      <w:bCs/>
                      <w:szCs w:val="21"/>
                    </w:rPr>
                  </w:pPr>
                  <w:r>
                    <w:rPr>
                      <w:b/>
                      <w:bCs/>
                      <w:szCs w:val="21"/>
                    </w:rPr>
                    <w:t>检测结果</w:t>
                  </w:r>
                  <w:r>
                    <w:rPr>
                      <w:rFonts w:hint="eastAsia"/>
                      <w:b/>
                      <w:bCs/>
                      <w:szCs w:val="21"/>
                    </w:rPr>
                    <w:t>（</w:t>
                  </w:r>
                  <w:r>
                    <w:rPr>
                      <w:b/>
                      <w:bCs/>
                      <w:szCs w:val="21"/>
                    </w:rPr>
                    <w:t>mg/m</w:t>
                  </w:r>
                  <w:r>
                    <w:rPr>
                      <w:b/>
                      <w:bCs/>
                      <w:szCs w:val="21"/>
                      <w:vertAlign w:val="superscript"/>
                    </w:rPr>
                    <w:t>3</w:t>
                  </w:r>
                  <w:r>
                    <w:rPr>
                      <w:rFonts w:hint="eastAsia"/>
                      <w:b/>
                      <w:bCs/>
                      <w:szCs w:val="21"/>
                    </w:rPr>
                    <w:t>）</w:t>
                  </w:r>
                </w:p>
              </w:tc>
              <w:tc>
                <w:tcPr>
                  <w:tcW w:w="661" w:type="pct"/>
                  <w:tcMar>
                    <w:top w:w="0" w:type="dxa"/>
                    <w:left w:w="0" w:type="dxa"/>
                    <w:bottom w:w="0" w:type="dxa"/>
                    <w:right w:w="0" w:type="dxa"/>
                  </w:tcMar>
                  <w:vAlign w:val="center"/>
                </w:tcPr>
                <w:p w14:paraId="24F00BD8">
                  <w:pPr>
                    <w:widowControl/>
                    <w:adjustRightInd w:val="0"/>
                    <w:jc w:val="center"/>
                    <w:rPr>
                      <w:b/>
                      <w:bCs/>
                      <w:szCs w:val="21"/>
                    </w:rPr>
                  </w:pPr>
                  <w:r>
                    <w:rPr>
                      <w:rFonts w:hint="eastAsia"/>
                      <w:b/>
                      <w:bCs/>
                      <w:szCs w:val="21"/>
                    </w:rPr>
                    <w:t>执行标准</w:t>
                  </w:r>
                </w:p>
              </w:tc>
              <w:tc>
                <w:tcPr>
                  <w:tcW w:w="620" w:type="pct"/>
                  <w:tcMar>
                    <w:top w:w="0" w:type="dxa"/>
                    <w:left w:w="0" w:type="dxa"/>
                    <w:bottom w:w="0" w:type="dxa"/>
                    <w:right w:w="0" w:type="dxa"/>
                  </w:tcMar>
                  <w:vAlign w:val="center"/>
                </w:tcPr>
                <w:p w14:paraId="54A843B2">
                  <w:pPr>
                    <w:widowControl/>
                    <w:adjustRightInd w:val="0"/>
                    <w:jc w:val="center"/>
                    <w:rPr>
                      <w:b/>
                      <w:bCs/>
                      <w:szCs w:val="21"/>
                    </w:rPr>
                  </w:pPr>
                  <w:r>
                    <w:rPr>
                      <w:rFonts w:hint="eastAsia"/>
                      <w:b/>
                      <w:bCs/>
                      <w:szCs w:val="21"/>
                    </w:rPr>
                    <w:t>达标情况</w:t>
                  </w:r>
                </w:p>
              </w:tc>
            </w:tr>
            <w:tr w14:paraId="6574AC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restart"/>
                  <w:tcMar>
                    <w:top w:w="0" w:type="dxa"/>
                    <w:left w:w="0" w:type="dxa"/>
                    <w:bottom w:w="0" w:type="dxa"/>
                    <w:right w:w="0" w:type="dxa"/>
                  </w:tcMar>
                  <w:vAlign w:val="center"/>
                </w:tcPr>
                <w:p w14:paraId="3FCD0B96">
                  <w:pPr>
                    <w:jc w:val="center"/>
                    <w:rPr>
                      <w:szCs w:val="21"/>
                    </w:rPr>
                  </w:pPr>
                  <w:r>
                    <w:rPr>
                      <w:rFonts w:hint="eastAsia"/>
                      <w:bCs/>
                      <w:szCs w:val="21"/>
                    </w:rPr>
                    <w:t>2024.11.13</w:t>
                  </w:r>
                </w:p>
              </w:tc>
              <w:tc>
                <w:tcPr>
                  <w:tcW w:w="717" w:type="pct"/>
                  <w:vMerge w:val="restart"/>
                  <w:tcMar>
                    <w:top w:w="0" w:type="dxa"/>
                    <w:left w:w="0" w:type="dxa"/>
                    <w:bottom w:w="0" w:type="dxa"/>
                    <w:right w:w="0" w:type="dxa"/>
                  </w:tcMar>
                  <w:vAlign w:val="center"/>
                </w:tcPr>
                <w:p w14:paraId="0931208D">
                  <w:pPr>
                    <w:widowControl/>
                    <w:jc w:val="center"/>
                    <w:rPr>
                      <w:szCs w:val="21"/>
                    </w:rPr>
                  </w:pPr>
                  <w:r>
                    <w:rPr>
                      <w:rFonts w:hint="eastAsia"/>
                      <w:kern w:val="0"/>
                      <w:szCs w:val="21"/>
                    </w:rPr>
                    <w:t>总悬浮颗粒物</w:t>
                  </w:r>
                </w:p>
              </w:tc>
              <w:tc>
                <w:tcPr>
                  <w:tcW w:w="1243" w:type="pct"/>
                  <w:tcMar>
                    <w:top w:w="0" w:type="dxa"/>
                    <w:left w:w="0" w:type="dxa"/>
                    <w:bottom w:w="0" w:type="dxa"/>
                    <w:right w:w="0" w:type="dxa"/>
                  </w:tcMar>
                  <w:vAlign w:val="center"/>
                </w:tcPr>
                <w:p w14:paraId="28E8FCD8">
                  <w:pPr>
                    <w:widowControl/>
                    <w:adjustRightInd w:val="0"/>
                    <w:jc w:val="center"/>
                    <w:rPr>
                      <w:szCs w:val="21"/>
                    </w:rPr>
                  </w:pPr>
                  <w:r>
                    <w:rPr>
                      <w:rFonts w:hint="eastAsia"/>
                      <w:szCs w:val="21"/>
                    </w:rPr>
                    <w:t>厂界上风向1#</w:t>
                  </w:r>
                </w:p>
              </w:tc>
              <w:tc>
                <w:tcPr>
                  <w:tcW w:w="1144" w:type="pct"/>
                  <w:tcMar>
                    <w:top w:w="0" w:type="dxa"/>
                    <w:left w:w="0" w:type="dxa"/>
                    <w:bottom w:w="0" w:type="dxa"/>
                    <w:right w:w="0" w:type="dxa"/>
                  </w:tcMar>
                  <w:vAlign w:val="center"/>
                </w:tcPr>
                <w:p w14:paraId="3AB8CD01">
                  <w:pPr>
                    <w:widowControl/>
                    <w:adjustRightInd w:val="0"/>
                    <w:jc w:val="center"/>
                    <w:rPr>
                      <w:bCs/>
                      <w:szCs w:val="21"/>
                    </w:rPr>
                  </w:pPr>
                  <w:r>
                    <w:rPr>
                      <w:rFonts w:hint="eastAsia"/>
                      <w:bCs/>
                      <w:szCs w:val="21"/>
                    </w:rPr>
                    <w:t>0.168</w:t>
                  </w:r>
                </w:p>
              </w:tc>
              <w:tc>
                <w:tcPr>
                  <w:tcW w:w="661" w:type="pct"/>
                  <w:vMerge w:val="restart"/>
                  <w:tcMar>
                    <w:top w:w="0" w:type="dxa"/>
                    <w:left w:w="0" w:type="dxa"/>
                    <w:bottom w:w="0" w:type="dxa"/>
                    <w:right w:w="0" w:type="dxa"/>
                  </w:tcMar>
                  <w:vAlign w:val="center"/>
                </w:tcPr>
                <w:p w14:paraId="7ECE734A">
                  <w:pPr>
                    <w:widowControl/>
                    <w:adjustRightInd w:val="0"/>
                    <w:jc w:val="center"/>
                    <w:rPr>
                      <w:bCs/>
                      <w:szCs w:val="21"/>
                    </w:rPr>
                  </w:pPr>
                  <w:r>
                    <w:rPr>
                      <w:rFonts w:hint="eastAsia"/>
                      <w:bCs/>
                      <w:szCs w:val="21"/>
                    </w:rPr>
                    <w:t>1.0</w:t>
                  </w:r>
                </w:p>
              </w:tc>
              <w:tc>
                <w:tcPr>
                  <w:tcW w:w="620" w:type="pct"/>
                  <w:tcMar>
                    <w:top w:w="0" w:type="dxa"/>
                    <w:left w:w="0" w:type="dxa"/>
                    <w:bottom w:w="0" w:type="dxa"/>
                    <w:right w:w="0" w:type="dxa"/>
                  </w:tcMar>
                  <w:vAlign w:val="center"/>
                </w:tcPr>
                <w:p w14:paraId="10217A03">
                  <w:pPr>
                    <w:widowControl/>
                    <w:adjustRightInd w:val="0"/>
                    <w:jc w:val="center"/>
                    <w:rPr>
                      <w:bCs/>
                      <w:szCs w:val="21"/>
                    </w:rPr>
                  </w:pPr>
                  <w:r>
                    <w:rPr>
                      <w:rFonts w:hint="eastAsia"/>
                      <w:bCs/>
                      <w:szCs w:val="21"/>
                    </w:rPr>
                    <w:t>达标</w:t>
                  </w:r>
                </w:p>
              </w:tc>
            </w:tr>
            <w:tr w14:paraId="388F0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711CD76D">
                  <w:pPr>
                    <w:widowControl/>
                    <w:adjustRightInd w:val="0"/>
                    <w:ind w:firstLine="210" w:firstLineChars="100"/>
                    <w:jc w:val="center"/>
                    <w:rPr>
                      <w:szCs w:val="21"/>
                    </w:rPr>
                  </w:pPr>
                </w:p>
              </w:tc>
              <w:tc>
                <w:tcPr>
                  <w:tcW w:w="717" w:type="pct"/>
                  <w:vMerge w:val="continue"/>
                  <w:tcMar>
                    <w:top w:w="0" w:type="dxa"/>
                    <w:left w:w="0" w:type="dxa"/>
                    <w:bottom w:w="0" w:type="dxa"/>
                    <w:right w:w="0" w:type="dxa"/>
                  </w:tcMar>
                  <w:vAlign w:val="center"/>
                </w:tcPr>
                <w:p w14:paraId="15343D39">
                  <w:pPr>
                    <w:widowControl/>
                    <w:adjustRightInd w:val="0"/>
                    <w:jc w:val="center"/>
                    <w:rPr>
                      <w:szCs w:val="21"/>
                    </w:rPr>
                  </w:pPr>
                </w:p>
              </w:tc>
              <w:tc>
                <w:tcPr>
                  <w:tcW w:w="1243" w:type="pct"/>
                  <w:tcMar>
                    <w:top w:w="0" w:type="dxa"/>
                    <w:left w:w="0" w:type="dxa"/>
                    <w:bottom w:w="0" w:type="dxa"/>
                    <w:right w:w="0" w:type="dxa"/>
                  </w:tcMar>
                  <w:vAlign w:val="center"/>
                </w:tcPr>
                <w:p w14:paraId="06D9451B">
                  <w:pPr>
                    <w:widowControl/>
                    <w:adjustRightInd w:val="0"/>
                    <w:jc w:val="center"/>
                    <w:rPr>
                      <w:szCs w:val="21"/>
                    </w:rPr>
                  </w:pPr>
                  <w:r>
                    <w:rPr>
                      <w:rFonts w:hint="eastAsia"/>
                      <w:szCs w:val="21"/>
                    </w:rPr>
                    <w:t>厂界下风向2#</w:t>
                  </w:r>
                </w:p>
              </w:tc>
              <w:tc>
                <w:tcPr>
                  <w:tcW w:w="1144" w:type="pct"/>
                  <w:tcMar>
                    <w:top w:w="0" w:type="dxa"/>
                    <w:left w:w="0" w:type="dxa"/>
                    <w:bottom w:w="0" w:type="dxa"/>
                    <w:right w:w="0" w:type="dxa"/>
                  </w:tcMar>
                  <w:vAlign w:val="center"/>
                </w:tcPr>
                <w:p w14:paraId="0CC79381">
                  <w:pPr>
                    <w:widowControl/>
                    <w:adjustRightInd w:val="0"/>
                    <w:jc w:val="center"/>
                    <w:rPr>
                      <w:bCs/>
                      <w:szCs w:val="21"/>
                    </w:rPr>
                  </w:pPr>
                  <w:r>
                    <w:rPr>
                      <w:rFonts w:hint="eastAsia"/>
                      <w:bCs/>
                      <w:szCs w:val="21"/>
                    </w:rPr>
                    <w:t>ND</w:t>
                  </w:r>
                </w:p>
              </w:tc>
              <w:tc>
                <w:tcPr>
                  <w:tcW w:w="661" w:type="pct"/>
                  <w:vMerge w:val="continue"/>
                  <w:tcMar>
                    <w:top w:w="0" w:type="dxa"/>
                    <w:left w:w="0" w:type="dxa"/>
                    <w:bottom w:w="0" w:type="dxa"/>
                    <w:right w:w="0" w:type="dxa"/>
                  </w:tcMar>
                  <w:vAlign w:val="center"/>
                </w:tcPr>
                <w:p w14:paraId="4F80558E">
                  <w:pPr>
                    <w:widowControl/>
                    <w:adjustRightInd w:val="0"/>
                    <w:jc w:val="center"/>
                    <w:rPr>
                      <w:bCs/>
                      <w:szCs w:val="21"/>
                    </w:rPr>
                  </w:pPr>
                </w:p>
              </w:tc>
              <w:tc>
                <w:tcPr>
                  <w:tcW w:w="620" w:type="pct"/>
                  <w:tcMar>
                    <w:top w:w="0" w:type="dxa"/>
                    <w:left w:w="0" w:type="dxa"/>
                    <w:bottom w:w="0" w:type="dxa"/>
                    <w:right w:w="0" w:type="dxa"/>
                  </w:tcMar>
                  <w:vAlign w:val="center"/>
                </w:tcPr>
                <w:p w14:paraId="114C5475">
                  <w:pPr>
                    <w:widowControl/>
                    <w:adjustRightInd w:val="0"/>
                    <w:jc w:val="center"/>
                    <w:rPr>
                      <w:bCs/>
                      <w:szCs w:val="21"/>
                    </w:rPr>
                  </w:pPr>
                  <w:r>
                    <w:rPr>
                      <w:rFonts w:hint="eastAsia"/>
                      <w:bCs/>
                      <w:szCs w:val="21"/>
                    </w:rPr>
                    <w:t>达标</w:t>
                  </w:r>
                </w:p>
              </w:tc>
            </w:tr>
            <w:tr w14:paraId="0678E9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41C80EC4">
                  <w:pPr>
                    <w:widowControl/>
                    <w:adjustRightInd w:val="0"/>
                    <w:ind w:firstLine="210" w:firstLineChars="100"/>
                    <w:jc w:val="center"/>
                    <w:rPr>
                      <w:szCs w:val="21"/>
                    </w:rPr>
                  </w:pPr>
                </w:p>
              </w:tc>
              <w:tc>
                <w:tcPr>
                  <w:tcW w:w="717" w:type="pct"/>
                  <w:vMerge w:val="continue"/>
                  <w:tcMar>
                    <w:top w:w="0" w:type="dxa"/>
                    <w:left w:w="0" w:type="dxa"/>
                    <w:bottom w:w="0" w:type="dxa"/>
                    <w:right w:w="0" w:type="dxa"/>
                  </w:tcMar>
                  <w:vAlign w:val="center"/>
                </w:tcPr>
                <w:p w14:paraId="59D5826E">
                  <w:pPr>
                    <w:widowControl/>
                    <w:adjustRightInd w:val="0"/>
                    <w:jc w:val="center"/>
                    <w:rPr>
                      <w:szCs w:val="21"/>
                    </w:rPr>
                  </w:pPr>
                </w:p>
              </w:tc>
              <w:tc>
                <w:tcPr>
                  <w:tcW w:w="1243" w:type="pct"/>
                  <w:tcMar>
                    <w:top w:w="0" w:type="dxa"/>
                    <w:left w:w="0" w:type="dxa"/>
                    <w:bottom w:w="0" w:type="dxa"/>
                    <w:right w:w="0" w:type="dxa"/>
                  </w:tcMar>
                  <w:vAlign w:val="center"/>
                </w:tcPr>
                <w:p w14:paraId="412BFCF8">
                  <w:pPr>
                    <w:widowControl/>
                    <w:adjustRightInd w:val="0"/>
                    <w:jc w:val="center"/>
                    <w:rPr>
                      <w:szCs w:val="21"/>
                    </w:rPr>
                  </w:pPr>
                  <w:r>
                    <w:rPr>
                      <w:rFonts w:hint="eastAsia"/>
                      <w:szCs w:val="21"/>
                    </w:rPr>
                    <w:t>厂界下风向3#</w:t>
                  </w:r>
                </w:p>
              </w:tc>
              <w:tc>
                <w:tcPr>
                  <w:tcW w:w="1144" w:type="pct"/>
                  <w:tcMar>
                    <w:top w:w="0" w:type="dxa"/>
                    <w:left w:w="0" w:type="dxa"/>
                    <w:bottom w:w="0" w:type="dxa"/>
                    <w:right w:w="0" w:type="dxa"/>
                  </w:tcMar>
                  <w:vAlign w:val="center"/>
                </w:tcPr>
                <w:p w14:paraId="6373B45E">
                  <w:pPr>
                    <w:widowControl/>
                    <w:adjustRightInd w:val="0"/>
                    <w:jc w:val="center"/>
                    <w:rPr>
                      <w:bCs/>
                      <w:szCs w:val="21"/>
                    </w:rPr>
                  </w:pPr>
                  <w:r>
                    <w:rPr>
                      <w:rFonts w:hint="eastAsia"/>
                      <w:bCs/>
                      <w:szCs w:val="21"/>
                    </w:rPr>
                    <w:t>0.179</w:t>
                  </w:r>
                </w:p>
              </w:tc>
              <w:tc>
                <w:tcPr>
                  <w:tcW w:w="661" w:type="pct"/>
                  <w:vMerge w:val="continue"/>
                  <w:tcMar>
                    <w:top w:w="0" w:type="dxa"/>
                    <w:left w:w="0" w:type="dxa"/>
                    <w:bottom w:w="0" w:type="dxa"/>
                    <w:right w:w="0" w:type="dxa"/>
                  </w:tcMar>
                  <w:vAlign w:val="center"/>
                </w:tcPr>
                <w:p w14:paraId="56D62277">
                  <w:pPr>
                    <w:widowControl/>
                    <w:adjustRightInd w:val="0"/>
                    <w:jc w:val="center"/>
                    <w:rPr>
                      <w:bCs/>
                      <w:szCs w:val="21"/>
                    </w:rPr>
                  </w:pPr>
                </w:p>
              </w:tc>
              <w:tc>
                <w:tcPr>
                  <w:tcW w:w="620" w:type="pct"/>
                  <w:tcMar>
                    <w:top w:w="0" w:type="dxa"/>
                    <w:left w:w="0" w:type="dxa"/>
                    <w:bottom w:w="0" w:type="dxa"/>
                    <w:right w:w="0" w:type="dxa"/>
                  </w:tcMar>
                  <w:vAlign w:val="center"/>
                </w:tcPr>
                <w:p w14:paraId="76ED6A8B">
                  <w:pPr>
                    <w:widowControl/>
                    <w:adjustRightInd w:val="0"/>
                    <w:jc w:val="center"/>
                    <w:rPr>
                      <w:bCs/>
                      <w:szCs w:val="21"/>
                    </w:rPr>
                  </w:pPr>
                  <w:r>
                    <w:rPr>
                      <w:rFonts w:hint="eastAsia"/>
                      <w:bCs/>
                      <w:szCs w:val="21"/>
                    </w:rPr>
                    <w:t>达标</w:t>
                  </w:r>
                </w:p>
              </w:tc>
            </w:tr>
            <w:tr w14:paraId="31162A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4E39FCD7">
                  <w:pPr>
                    <w:jc w:val="center"/>
                    <w:rPr>
                      <w:szCs w:val="21"/>
                    </w:rPr>
                  </w:pPr>
                </w:p>
              </w:tc>
              <w:tc>
                <w:tcPr>
                  <w:tcW w:w="717" w:type="pct"/>
                  <w:vMerge w:val="continue"/>
                  <w:tcMar>
                    <w:top w:w="0" w:type="dxa"/>
                    <w:left w:w="0" w:type="dxa"/>
                    <w:bottom w:w="0" w:type="dxa"/>
                    <w:right w:w="0" w:type="dxa"/>
                  </w:tcMar>
                  <w:vAlign w:val="center"/>
                </w:tcPr>
                <w:p w14:paraId="1AFC04D2">
                  <w:pPr>
                    <w:jc w:val="center"/>
                    <w:rPr>
                      <w:szCs w:val="21"/>
                    </w:rPr>
                  </w:pPr>
                </w:p>
              </w:tc>
              <w:tc>
                <w:tcPr>
                  <w:tcW w:w="1243" w:type="pct"/>
                  <w:tcMar>
                    <w:top w:w="0" w:type="dxa"/>
                    <w:left w:w="0" w:type="dxa"/>
                    <w:bottom w:w="0" w:type="dxa"/>
                    <w:right w:w="0" w:type="dxa"/>
                  </w:tcMar>
                  <w:vAlign w:val="center"/>
                </w:tcPr>
                <w:p w14:paraId="3E920011">
                  <w:pPr>
                    <w:widowControl/>
                    <w:adjustRightInd w:val="0"/>
                    <w:jc w:val="center"/>
                    <w:rPr>
                      <w:szCs w:val="21"/>
                    </w:rPr>
                  </w:pPr>
                  <w:r>
                    <w:rPr>
                      <w:rFonts w:hint="eastAsia"/>
                      <w:szCs w:val="21"/>
                    </w:rPr>
                    <w:t>厂界下风向4#</w:t>
                  </w:r>
                </w:p>
              </w:tc>
              <w:tc>
                <w:tcPr>
                  <w:tcW w:w="1144" w:type="pct"/>
                  <w:tcMar>
                    <w:top w:w="0" w:type="dxa"/>
                    <w:left w:w="0" w:type="dxa"/>
                    <w:bottom w:w="0" w:type="dxa"/>
                    <w:right w:w="0" w:type="dxa"/>
                  </w:tcMar>
                  <w:vAlign w:val="center"/>
                </w:tcPr>
                <w:p w14:paraId="1918EC35">
                  <w:pPr>
                    <w:widowControl/>
                    <w:jc w:val="center"/>
                    <w:rPr>
                      <w:szCs w:val="21"/>
                    </w:rPr>
                  </w:pPr>
                  <w:r>
                    <w:rPr>
                      <w:rFonts w:hint="eastAsia"/>
                      <w:szCs w:val="21"/>
                    </w:rPr>
                    <w:t>0.176</w:t>
                  </w:r>
                </w:p>
              </w:tc>
              <w:tc>
                <w:tcPr>
                  <w:tcW w:w="661" w:type="pct"/>
                  <w:vMerge w:val="continue"/>
                  <w:tcMar>
                    <w:top w:w="0" w:type="dxa"/>
                    <w:left w:w="0" w:type="dxa"/>
                    <w:bottom w:w="0" w:type="dxa"/>
                    <w:right w:w="0" w:type="dxa"/>
                  </w:tcMar>
                  <w:vAlign w:val="center"/>
                </w:tcPr>
                <w:p w14:paraId="5FAA3D18">
                  <w:pPr>
                    <w:widowControl/>
                    <w:jc w:val="center"/>
                    <w:rPr>
                      <w:szCs w:val="21"/>
                    </w:rPr>
                  </w:pPr>
                </w:p>
              </w:tc>
              <w:tc>
                <w:tcPr>
                  <w:tcW w:w="620" w:type="pct"/>
                  <w:tcMar>
                    <w:top w:w="0" w:type="dxa"/>
                    <w:left w:w="0" w:type="dxa"/>
                    <w:bottom w:w="0" w:type="dxa"/>
                    <w:right w:w="0" w:type="dxa"/>
                  </w:tcMar>
                  <w:vAlign w:val="center"/>
                </w:tcPr>
                <w:p w14:paraId="0BAB4583">
                  <w:pPr>
                    <w:widowControl/>
                    <w:jc w:val="center"/>
                    <w:rPr>
                      <w:szCs w:val="21"/>
                    </w:rPr>
                  </w:pPr>
                  <w:r>
                    <w:rPr>
                      <w:rFonts w:hint="eastAsia"/>
                      <w:bCs/>
                      <w:szCs w:val="21"/>
                    </w:rPr>
                    <w:t>达标</w:t>
                  </w:r>
                </w:p>
              </w:tc>
            </w:tr>
            <w:tr w14:paraId="7219F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28B762CF">
                  <w:pPr>
                    <w:jc w:val="center"/>
                    <w:rPr>
                      <w:szCs w:val="21"/>
                    </w:rPr>
                  </w:pPr>
                </w:p>
              </w:tc>
              <w:tc>
                <w:tcPr>
                  <w:tcW w:w="717" w:type="pct"/>
                  <w:vMerge w:val="restart"/>
                  <w:tcMar>
                    <w:top w:w="0" w:type="dxa"/>
                    <w:left w:w="0" w:type="dxa"/>
                    <w:bottom w:w="0" w:type="dxa"/>
                    <w:right w:w="0" w:type="dxa"/>
                  </w:tcMar>
                  <w:vAlign w:val="center"/>
                </w:tcPr>
                <w:p w14:paraId="400AF427">
                  <w:pPr>
                    <w:jc w:val="center"/>
                    <w:rPr>
                      <w:szCs w:val="21"/>
                    </w:rPr>
                  </w:pPr>
                  <w:r>
                    <w:rPr>
                      <w:rFonts w:hint="eastAsia"/>
                      <w:szCs w:val="21"/>
                    </w:rPr>
                    <w:t>氟化物</w:t>
                  </w:r>
                </w:p>
              </w:tc>
              <w:tc>
                <w:tcPr>
                  <w:tcW w:w="1243" w:type="pct"/>
                  <w:tcMar>
                    <w:top w:w="0" w:type="dxa"/>
                    <w:left w:w="0" w:type="dxa"/>
                    <w:bottom w:w="0" w:type="dxa"/>
                    <w:right w:w="0" w:type="dxa"/>
                  </w:tcMar>
                  <w:vAlign w:val="center"/>
                </w:tcPr>
                <w:p w14:paraId="3F6ECDA2">
                  <w:pPr>
                    <w:widowControl/>
                    <w:adjustRightInd w:val="0"/>
                    <w:jc w:val="center"/>
                    <w:rPr>
                      <w:szCs w:val="21"/>
                    </w:rPr>
                  </w:pPr>
                  <w:r>
                    <w:rPr>
                      <w:rFonts w:hint="eastAsia"/>
                      <w:szCs w:val="21"/>
                    </w:rPr>
                    <w:t>厂界上风向1#</w:t>
                  </w:r>
                </w:p>
              </w:tc>
              <w:tc>
                <w:tcPr>
                  <w:tcW w:w="1144" w:type="pct"/>
                  <w:tcMar>
                    <w:top w:w="0" w:type="dxa"/>
                    <w:left w:w="0" w:type="dxa"/>
                    <w:bottom w:w="0" w:type="dxa"/>
                    <w:right w:w="0" w:type="dxa"/>
                  </w:tcMar>
                  <w:vAlign w:val="center"/>
                </w:tcPr>
                <w:p w14:paraId="53D4F6B7">
                  <w:pPr>
                    <w:widowControl/>
                    <w:jc w:val="center"/>
                    <w:rPr>
                      <w:szCs w:val="21"/>
                    </w:rPr>
                  </w:pPr>
                  <w:r>
                    <w:rPr>
                      <w:rFonts w:hint="eastAsia"/>
                      <w:szCs w:val="21"/>
                    </w:rPr>
                    <w:t>0.0019</w:t>
                  </w:r>
                </w:p>
              </w:tc>
              <w:tc>
                <w:tcPr>
                  <w:tcW w:w="661" w:type="pct"/>
                  <w:vMerge w:val="restart"/>
                  <w:tcMar>
                    <w:top w:w="0" w:type="dxa"/>
                    <w:left w:w="0" w:type="dxa"/>
                    <w:bottom w:w="0" w:type="dxa"/>
                    <w:right w:w="0" w:type="dxa"/>
                  </w:tcMar>
                  <w:vAlign w:val="center"/>
                </w:tcPr>
                <w:p w14:paraId="0E1E8970">
                  <w:pPr>
                    <w:widowControl/>
                    <w:jc w:val="center"/>
                    <w:rPr>
                      <w:szCs w:val="21"/>
                    </w:rPr>
                  </w:pPr>
                  <w:r>
                    <w:rPr>
                      <w:rFonts w:hint="eastAsia"/>
                      <w:szCs w:val="21"/>
                    </w:rPr>
                    <w:t>0.02</w:t>
                  </w:r>
                </w:p>
              </w:tc>
              <w:tc>
                <w:tcPr>
                  <w:tcW w:w="620" w:type="pct"/>
                  <w:tcMar>
                    <w:top w:w="0" w:type="dxa"/>
                    <w:left w:w="0" w:type="dxa"/>
                    <w:bottom w:w="0" w:type="dxa"/>
                    <w:right w:w="0" w:type="dxa"/>
                  </w:tcMar>
                  <w:vAlign w:val="center"/>
                </w:tcPr>
                <w:p w14:paraId="2EBE989A">
                  <w:pPr>
                    <w:widowControl/>
                    <w:adjustRightInd w:val="0"/>
                    <w:jc w:val="center"/>
                    <w:rPr>
                      <w:bCs/>
                      <w:szCs w:val="21"/>
                    </w:rPr>
                  </w:pPr>
                  <w:r>
                    <w:rPr>
                      <w:rFonts w:hint="eastAsia"/>
                      <w:bCs/>
                      <w:szCs w:val="21"/>
                    </w:rPr>
                    <w:t>达标</w:t>
                  </w:r>
                </w:p>
              </w:tc>
            </w:tr>
            <w:tr w14:paraId="314554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65AA76E9">
                  <w:pPr>
                    <w:jc w:val="center"/>
                    <w:rPr>
                      <w:szCs w:val="21"/>
                    </w:rPr>
                  </w:pPr>
                </w:p>
              </w:tc>
              <w:tc>
                <w:tcPr>
                  <w:tcW w:w="717" w:type="pct"/>
                  <w:vMerge w:val="continue"/>
                  <w:tcMar>
                    <w:top w:w="0" w:type="dxa"/>
                    <w:left w:w="0" w:type="dxa"/>
                    <w:bottom w:w="0" w:type="dxa"/>
                    <w:right w:w="0" w:type="dxa"/>
                  </w:tcMar>
                  <w:vAlign w:val="center"/>
                </w:tcPr>
                <w:p w14:paraId="2270CBC7">
                  <w:pPr>
                    <w:jc w:val="center"/>
                    <w:rPr>
                      <w:szCs w:val="21"/>
                    </w:rPr>
                  </w:pPr>
                </w:p>
              </w:tc>
              <w:tc>
                <w:tcPr>
                  <w:tcW w:w="1243" w:type="pct"/>
                  <w:tcMar>
                    <w:top w:w="0" w:type="dxa"/>
                    <w:left w:w="0" w:type="dxa"/>
                    <w:bottom w:w="0" w:type="dxa"/>
                    <w:right w:w="0" w:type="dxa"/>
                  </w:tcMar>
                  <w:vAlign w:val="center"/>
                </w:tcPr>
                <w:p w14:paraId="76617FC9">
                  <w:pPr>
                    <w:widowControl/>
                    <w:adjustRightInd w:val="0"/>
                    <w:jc w:val="center"/>
                    <w:rPr>
                      <w:szCs w:val="21"/>
                    </w:rPr>
                  </w:pPr>
                  <w:r>
                    <w:rPr>
                      <w:rFonts w:hint="eastAsia"/>
                      <w:szCs w:val="21"/>
                    </w:rPr>
                    <w:t>厂界下风向2#</w:t>
                  </w:r>
                </w:p>
              </w:tc>
              <w:tc>
                <w:tcPr>
                  <w:tcW w:w="1144" w:type="pct"/>
                  <w:tcMar>
                    <w:top w:w="0" w:type="dxa"/>
                    <w:left w:w="0" w:type="dxa"/>
                    <w:bottom w:w="0" w:type="dxa"/>
                    <w:right w:w="0" w:type="dxa"/>
                  </w:tcMar>
                  <w:vAlign w:val="center"/>
                </w:tcPr>
                <w:p w14:paraId="304E030E">
                  <w:pPr>
                    <w:widowControl/>
                    <w:jc w:val="center"/>
                    <w:rPr>
                      <w:szCs w:val="21"/>
                    </w:rPr>
                  </w:pPr>
                  <w:r>
                    <w:rPr>
                      <w:rFonts w:hint="eastAsia"/>
                      <w:szCs w:val="21"/>
                    </w:rPr>
                    <w:t>0.002</w:t>
                  </w:r>
                </w:p>
              </w:tc>
              <w:tc>
                <w:tcPr>
                  <w:tcW w:w="661" w:type="pct"/>
                  <w:vMerge w:val="continue"/>
                  <w:tcMar>
                    <w:top w:w="0" w:type="dxa"/>
                    <w:left w:w="0" w:type="dxa"/>
                    <w:bottom w:w="0" w:type="dxa"/>
                    <w:right w:w="0" w:type="dxa"/>
                  </w:tcMar>
                  <w:vAlign w:val="center"/>
                </w:tcPr>
                <w:p w14:paraId="1D63F6A5">
                  <w:pPr>
                    <w:widowControl/>
                    <w:jc w:val="center"/>
                    <w:rPr>
                      <w:szCs w:val="21"/>
                    </w:rPr>
                  </w:pPr>
                </w:p>
              </w:tc>
              <w:tc>
                <w:tcPr>
                  <w:tcW w:w="620" w:type="pct"/>
                  <w:tcMar>
                    <w:top w:w="0" w:type="dxa"/>
                    <w:left w:w="0" w:type="dxa"/>
                    <w:bottom w:w="0" w:type="dxa"/>
                    <w:right w:w="0" w:type="dxa"/>
                  </w:tcMar>
                  <w:vAlign w:val="center"/>
                </w:tcPr>
                <w:p w14:paraId="7662805C">
                  <w:pPr>
                    <w:widowControl/>
                    <w:adjustRightInd w:val="0"/>
                    <w:jc w:val="center"/>
                    <w:rPr>
                      <w:bCs/>
                      <w:szCs w:val="21"/>
                    </w:rPr>
                  </w:pPr>
                  <w:r>
                    <w:rPr>
                      <w:rFonts w:hint="eastAsia"/>
                      <w:bCs/>
                      <w:szCs w:val="21"/>
                    </w:rPr>
                    <w:t>达标</w:t>
                  </w:r>
                </w:p>
              </w:tc>
            </w:tr>
            <w:tr w14:paraId="0E87C5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35EE3CE8">
                  <w:pPr>
                    <w:jc w:val="center"/>
                    <w:rPr>
                      <w:szCs w:val="21"/>
                    </w:rPr>
                  </w:pPr>
                </w:p>
              </w:tc>
              <w:tc>
                <w:tcPr>
                  <w:tcW w:w="717" w:type="pct"/>
                  <w:vMerge w:val="continue"/>
                  <w:tcMar>
                    <w:top w:w="0" w:type="dxa"/>
                    <w:left w:w="0" w:type="dxa"/>
                    <w:bottom w:w="0" w:type="dxa"/>
                    <w:right w:w="0" w:type="dxa"/>
                  </w:tcMar>
                  <w:vAlign w:val="center"/>
                </w:tcPr>
                <w:p w14:paraId="11C86186">
                  <w:pPr>
                    <w:jc w:val="center"/>
                    <w:rPr>
                      <w:szCs w:val="21"/>
                    </w:rPr>
                  </w:pPr>
                </w:p>
              </w:tc>
              <w:tc>
                <w:tcPr>
                  <w:tcW w:w="1243" w:type="pct"/>
                  <w:tcMar>
                    <w:top w:w="0" w:type="dxa"/>
                    <w:left w:w="0" w:type="dxa"/>
                    <w:bottom w:w="0" w:type="dxa"/>
                    <w:right w:w="0" w:type="dxa"/>
                  </w:tcMar>
                  <w:vAlign w:val="center"/>
                </w:tcPr>
                <w:p w14:paraId="4C321FF2">
                  <w:pPr>
                    <w:widowControl/>
                    <w:adjustRightInd w:val="0"/>
                    <w:jc w:val="center"/>
                    <w:rPr>
                      <w:szCs w:val="21"/>
                    </w:rPr>
                  </w:pPr>
                  <w:r>
                    <w:rPr>
                      <w:rFonts w:hint="eastAsia"/>
                      <w:szCs w:val="21"/>
                    </w:rPr>
                    <w:t>厂界下风向3#</w:t>
                  </w:r>
                </w:p>
              </w:tc>
              <w:tc>
                <w:tcPr>
                  <w:tcW w:w="1144" w:type="pct"/>
                  <w:tcMar>
                    <w:top w:w="0" w:type="dxa"/>
                    <w:left w:w="0" w:type="dxa"/>
                    <w:bottom w:w="0" w:type="dxa"/>
                    <w:right w:w="0" w:type="dxa"/>
                  </w:tcMar>
                  <w:vAlign w:val="center"/>
                </w:tcPr>
                <w:p w14:paraId="30A306DD">
                  <w:pPr>
                    <w:widowControl/>
                    <w:jc w:val="center"/>
                    <w:rPr>
                      <w:szCs w:val="21"/>
                    </w:rPr>
                  </w:pPr>
                  <w:r>
                    <w:rPr>
                      <w:rFonts w:hint="eastAsia"/>
                      <w:szCs w:val="21"/>
                    </w:rPr>
                    <w:t>0.0018</w:t>
                  </w:r>
                </w:p>
              </w:tc>
              <w:tc>
                <w:tcPr>
                  <w:tcW w:w="661" w:type="pct"/>
                  <w:vMerge w:val="continue"/>
                  <w:tcMar>
                    <w:top w:w="0" w:type="dxa"/>
                    <w:left w:w="0" w:type="dxa"/>
                    <w:bottom w:w="0" w:type="dxa"/>
                    <w:right w:w="0" w:type="dxa"/>
                  </w:tcMar>
                  <w:vAlign w:val="center"/>
                </w:tcPr>
                <w:p w14:paraId="1EB3A12E">
                  <w:pPr>
                    <w:widowControl/>
                    <w:jc w:val="center"/>
                    <w:rPr>
                      <w:szCs w:val="21"/>
                    </w:rPr>
                  </w:pPr>
                </w:p>
              </w:tc>
              <w:tc>
                <w:tcPr>
                  <w:tcW w:w="620" w:type="pct"/>
                  <w:tcMar>
                    <w:top w:w="0" w:type="dxa"/>
                    <w:left w:w="0" w:type="dxa"/>
                    <w:bottom w:w="0" w:type="dxa"/>
                    <w:right w:w="0" w:type="dxa"/>
                  </w:tcMar>
                  <w:vAlign w:val="center"/>
                </w:tcPr>
                <w:p w14:paraId="10D4FD78">
                  <w:pPr>
                    <w:widowControl/>
                    <w:adjustRightInd w:val="0"/>
                    <w:jc w:val="center"/>
                    <w:rPr>
                      <w:bCs/>
                      <w:szCs w:val="21"/>
                    </w:rPr>
                  </w:pPr>
                  <w:r>
                    <w:rPr>
                      <w:rFonts w:hint="eastAsia"/>
                      <w:bCs/>
                      <w:szCs w:val="21"/>
                    </w:rPr>
                    <w:t>达标</w:t>
                  </w:r>
                </w:p>
              </w:tc>
            </w:tr>
            <w:tr w14:paraId="24DCC2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2057C9B4">
                  <w:pPr>
                    <w:jc w:val="center"/>
                    <w:rPr>
                      <w:szCs w:val="21"/>
                    </w:rPr>
                  </w:pPr>
                </w:p>
              </w:tc>
              <w:tc>
                <w:tcPr>
                  <w:tcW w:w="717" w:type="pct"/>
                  <w:vMerge w:val="continue"/>
                  <w:tcMar>
                    <w:top w:w="0" w:type="dxa"/>
                    <w:left w:w="0" w:type="dxa"/>
                    <w:bottom w:w="0" w:type="dxa"/>
                    <w:right w:w="0" w:type="dxa"/>
                  </w:tcMar>
                  <w:vAlign w:val="center"/>
                </w:tcPr>
                <w:p w14:paraId="173BAA04">
                  <w:pPr>
                    <w:jc w:val="center"/>
                    <w:rPr>
                      <w:szCs w:val="21"/>
                    </w:rPr>
                  </w:pPr>
                </w:p>
              </w:tc>
              <w:tc>
                <w:tcPr>
                  <w:tcW w:w="1243" w:type="pct"/>
                  <w:tcMar>
                    <w:top w:w="0" w:type="dxa"/>
                    <w:left w:w="0" w:type="dxa"/>
                    <w:bottom w:w="0" w:type="dxa"/>
                    <w:right w:w="0" w:type="dxa"/>
                  </w:tcMar>
                  <w:vAlign w:val="center"/>
                </w:tcPr>
                <w:p w14:paraId="5FC1BF06">
                  <w:pPr>
                    <w:widowControl/>
                    <w:adjustRightInd w:val="0"/>
                    <w:jc w:val="center"/>
                    <w:rPr>
                      <w:szCs w:val="21"/>
                    </w:rPr>
                  </w:pPr>
                  <w:r>
                    <w:rPr>
                      <w:rFonts w:hint="eastAsia"/>
                      <w:szCs w:val="21"/>
                    </w:rPr>
                    <w:t>厂界下风向4#</w:t>
                  </w:r>
                </w:p>
              </w:tc>
              <w:tc>
                <w:tcPr>
                  <w:tcW w:w="1144" w:type="pct"/>
                  <w:tcMar>
                    <w:top w:w="0" w:type="dxa"/>
                    <w:left w:w="0" w:type="dxa"/>
                    <w:bottom w:w="0" w:type="dxa"/>
                    <w:right w:w="0" w:type="dxa"/>
                  </w:tcMar>
                  <w:vAlign w:val="center"/>
                </w:tcPr>
                <w:p w14:paraId="0993C98B">
                  <w:pPr>
                    <w:widowControl/>
                    <w:jc w:val="center"/>
                    <w:rPr>
                      <w:szCs w:val="21"/>
                    </w:rPr>
                  </w:pPr>
                  <w:r>
                    <w:rPr>
                      <w:rFonts w:hint="eastAsia"/>
                      <w:szCs w:val="21"/>
                    </w:rPr>
                    <w:t>0.0019</w:t>
                  </w:r>
                </w:p>
              </w:tc>
              <w:tc>
                <w:tcPr>
                  <w:tcW w:w="661" w:type="pct"/>
                  <w:vMerge w:val="continue"/>
                  <w:tcMar>
                    <w:top w:w="0" w:type="dxa"/>
                    <w:left w:w="0" w:type="dxa"/>
                    <w:bottom w:w="0" w:type="dxa"/>
                    <w:right w:w="0" w:type="dxa"/>
                  </w:tcMar>
                  <w:vAlign w:val="center"/>
                </w:tcPr>
                <w:p w14:paraId="2F43A51F">
                  <w:pPr>
                    <w:widowControl/>
                    <w:jc w:val="center"/>
                    <w:rPr>
                      <w:szCs w:val="21"/>
                    </w:rPr>
                  </w:pPr>
                </w:p>
              </w:tc>
              <w:tc>
                <w:tcPr>
                  <w:tcW w:w="620" w:type="pct"/>
                  <w:tcMar>
                    <w:top w:w="0" w:type="dxa"/>
                    <w:left w:w="0" w:type="dxa"/>
                    <w:bottom w:w="0" w:type="dxa"/>
                    <w:right w:w="0" w:type="dxa"/>
                  </w:tcMar>
                  <w:vAlign w:val="center"/>
                </w:tcPr>
                <w:p w14:paraId="574A9D34">
                  <w:pPr>
                    <w:widowControl/>
                    <w:jc w:val="center"/>
                    <w:rPr>
                      <w:szCs w:val="21"/>
                    </w:rPr>
                  </w:pPr>
                  <w:r>
                    <w:rPr>
                      <w:rFonts w:hint="eastAsia"/>
                      <w:bCs/>
                      <w:szCs w:val="21"/>
                    </w:rPr>
                    <w:t>达标</w:t>
                  </w:r>
                </w:p>
              </w:tc>
            </w:tr>
            <w:tr w14:paraId="49905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77155FC0">
                  <w:pPr>
                    <w:jc w:val="center"/>
                    <w:rPr>
                      <w:szCs w:val="21"/>
                    </w:rPr>
                  </w:pPr>
                </w:p>
              </w:tc>
              <w:tc>
                <w:tcPr>
                  <w:tcW w:w="717" w:type="pct"/>
                  <w:vMerge w:val="restart"/>
                  <w:tcMar>
                    <w:top w:w="0" w:type="dxa"/>
                    <w:left w:w="0" w:type="dxa"/>
                    <w:bottom w:w="0" w:type="dxa"/>
                    <w:right w:w="0" w:type="dxa"/>
                  </w:tcMar>
                  <w:vAlign w:val="center"/>
                </w:tcPr>
                <w:p w14:paraId="1547EF4F">
                  <w:pPr>
                    <w:widowControl/>
                    <w:jc w:val="center"/>
                    <w:rPr>
                      <w:szCs w:val="21"/>
                    </w:rPr>
                  </w:pPr>
                  <w:r>
                    <w:rPr>
                      <w:rFonts w:hint="eastAsia"/>
                      <w:szCs w:val="21"/>
                    </w:rPr>
                    <w:t>非甲烷总烃</w:t>
                  </w:r>
                </w:p>
              </w:tc>
              <w:tc>
                <w:tcPr>
                  <w:tcW w:w="1243" w:type="pct"/>
                  <w:tcMar>
                    <w:top w:w="0" w:type="dxa"/>
                    <w:left w:w="0" w:type="dxa"/>
                    <w:bottom w:w="0" w:type="dxa"/>
                    <w:right w:w="0" w:type="dxa"/>
                  </w:tcMar>
                  <w:vAlign w:val="center"/>
                </w:tcPr>
                <w:p w14:paraId="583C5003">
                  <w:pPr>
                    <w:widowControl/>
                    <w:adjustRightInd w:val="0"/>
                    <w:jc w:val="center"/>
                    <w:rPr>
                      <w:szCs w:val="21"/>
                    </w:rPr>
                  </w:pPr>
                  <w:r>
                    <w:rPr>
                      <w:rFonts w:hint="eastAsia"/>
                      <w:szCs w:val="21"/>
                    </w:rPr>
                    <w:t>厂界上风向1#</w:t>
                  </w:r>
                </w:p>
              </w:tc>
              <w:tc>
                <w:tcPr>
                  <w:tcW w:w="1144" w:type="pct"/>
                  <w:tcMar>
                    <w:top w:w="0" w:type="dxa"/>
                    <w:left w:w="0" w:type="dxa"/>
                    <w:bottom w:w="0" w:type="dxa"/>
                    <w:right w:w="0" w:type="dxa"/>
                  </w:tcMar>
                  <w:vAlign w:val="center"/>
                </w:tcPr>
                <w:p w14:paraId="77810F04">
                  <w:pPr>
                    <w:widowControl/>
                    <w:adjustRightInd w:val="0"/>
                    <w:snapToGrid w:val="0"/>
                    <w:jc w:val="center"/>
                    <w:rPr>
                      <w:szCs w:val="21"/>
                    </w:rPr>
                  </w:pPr>
                  <w:r>
                    <w:rPr>
                      <w:rFonts w:hint="eastAsia"/>
                      <w:szCs w:val="21"/>
                    </w:rPr>
                    <w:t>0.54</w:t>
                  </w:r>
                </w:p>
              </w:tc>
              <w:tc>
                <w:tcPr>
                  <w:tcW w:w="661" w:type="pct"/>
                  <w:vMerge w:val="restart"/>
                  <w:tcMar>
                    <w:top w:w="0" w:type="dxa"/>
                    <w:left w:w="0" w:type="dxa"/>
                    <w:bottom w:w="0" w:type="dxa"/>
                    <w:right w:w="0" w:type="dxa"/>
                  </w:tcMar>
                  <w:vAlign w:val="center"/>
                </w:tcPr>
                <w:p w14:paraId="120A29F7">
                  <w:pPr>
                    <w:widowControl/>
                    <w:adjustRightInd w:val="0"/>
                    <w:snapToGrid w:val="0"/>
                    <w:jc w:val="center"/>
                    <w:rPr>
                      <w:szCs w:val="21"/>
                    </w:rPr>
                  </w:pPr>
                  <w:r>
                    <w:rPr>
                      <w:rFonts w:hint="eastAsia"/>
                      <w:szCs w:val="21"/>
                    </w:rPr>
                    <w:t>4.0</w:t>
                  </w:r>
                </w:p>
              </w:tc>
              <w:tc>
                <w:tcPr>
                  <w:tcW w:w="620" w:type="pct"/>
                  <w:tcMar>
                    <w:top w:w="0" w:type="dxa"/>
                    <w:left w:w="0" w:type="dxa"/>
                    <w:bottom w:w="0" w:type="dxa"/>
                    <w:right w:w="0" w:type="dxa"/>
                  </w:tcMar>
                  <w:vAlign w:val="center"/>
                </w:tcPr>
                <w:p w14:paraId="33C4FB4E">
                  <w:pPr>
                    <w:widowControl/>
                    <w:adjustRightInd w:val="0"/>
                    <w:snapToGrid w:val="0"/>
                    <w:jc w:val="center"/>
                    <w:rPr>
                      <w:szCs w:val="21"/>
                    </w:rPr>
                  </w:pPr>
                  <w:r>
                    <w:rPr>
                      <w:rFonts w:hint="eastAsia"/>
                      <w:bCs/>
                      <w:szCs w:val="21"/>
                    </w:rPr>
                    <w:t>达标</w:t>
                  </w:r>
                </w:p>
              </w:tc>
            </w:tr>
            <w:tr w14:paraId="65C0C0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44A6A588">
                  <w:pPr>
                    <w:widowControl/>
                    <w:adjustRightInd w:val="0"/>
                    <w:ind w:firstLine="210" w:firstLineChars="100"/>
                    <w:jc w:val="center"/>
                    <w:rPr>
                      <w:szCs w:val="21"/>
                    </w:rPr>
                  </w:pPr>
                </w:p>
              </w:tc>
              <w:tc>
                <w:tcPr>
                  <w:tcW w:w="717" w:type="pct"/>
                  <w:vMerge w:val="continue"/>
                  <w:tcMar>
                    <w:top w:w="0" w:type="dxa"/>
                    <w:left w:w="0" w:type="dxa"/>
                    <w:bottom w:w="0" w:type="dxa"/>
                    <w:right w:w="0" w:type="dxa"/>
                  </w:tcMar>
                  <w:vAlign w:val="center"/>
                </w:tcPr>
                <w:p w14:paraId="02B5956A">
                  <w:pPr>
                    <w:widowControl/>
                    <w:adjustRightInd w:val="0"/>
                    <w:jc w:val="center"/>
                    <w:rPr>
                      <w:szCs w:val="21"/>
                    </w:rPr>
                  </w:pPr>
                </w:p>
              </w:tc>
              <w:tc>
                <w:tcPr>
                  <w:tcW w:w="1243" w:type="pct"/>
                  <w:tcMar>
                    <w:top w:w="0" w:type="dxa"/>
                    <w:left w:w="0" w:type="dxa"/>
                    <w:bottom w:w="0" w:type="dxa"/>
                    <w:right w:w="0" w:type="dxa"/>
                  </w:tcMar>
                  <w:vAlign w:val="center"/>
                </w:tcPr>
                <w:p w14:paraId="123BBB8E">
                  <w:pPr>
                    <w:widowControl/>
                    <w:adjustRightInd w:val="0"/>
                    <w:jc w:val="center"/>
                    <w:rPr>
                      <w:szCs w:val="21"/>
                    </w:rPr>
                  </w:pPr>
                  <w:r>
                    <w:rPr>
                      <w:rFonts w:hint="eastAsia"/>
                      <w:szCs w:val="21"/>
                    </w:rPr>
                    <w:t>厂界下风向2#</w:t>
                  </w:r>
                </w:p>
              </w:tc>
              <w:tc>
                <w:tcPr>
                  <w:tcW w:w="1144" w:type="pct"/>
                  <w:tcMar>
                    <w:top w:w="0" w:type="dxa"/>
                    <w:left w:w="0" w:type="dxa"/>
                    <w:bottom w:w="0" w:type="dxa"/>
                    <w:right w:w="0" w:type="dxa"/>
                  </w:tcMar>
                  <w:vAlign w:val="center"/>
                </w:tcPr>
                <w:p w14:paraId="1999493D">
                  <w:pPr>
                    <w:widowControl/>
                    <w:adjustRightInd w:val="0"/>
                    <w:snapToGrid w:val="0"/>
                    <w:jc w:val="center"/>
                    <w:rPr>
                      <w:szCs w:val="21"/>
                    </w:rPr>
                  </w:pPr>
                  <w:r>
                    <w:rPr>
                      <w:rFonts w:hint="eastAsia"/>
                      <w:szCs w:val="21"/>
                    </w:rPr>
                    <w:t>0.54</w:t>
                  </w:r>
                </w:p>
              </w:tc>
              <w:tc>
                <w:tcPr>
                  <w:tcW w:w="661" w:type="pct"/>
                  <w:vMerge w:val="continue"/>
                  <w:tcMar>
                    <w:top w:w="0" w:type="dxa"/>
                    <w:left w:w="0" w:type="dxa"/>
                    <w:bottom w:w="0" w:type="dxa"/>
                    <w:right w:w="0" w:type="dxa"/>
                  </w:tcMar>
                  <w:vAlign w:val="center"/>
                </w:tcPr>
                <w:p w14:paraId="44AA5696">
                  <w:pPr>
                    <w:widowControl/>
                    <w:adjustRightInd w:val="0"/>
                    <w:snapToGrid w:val="0"/>
                    <w:jc w:val="center"/>
                    <w:rPr>
                      <w:szCs w:val="21"/>
                    </w:rPr>
                  </w:pPr>
                </w:p>
              </w:tc>
              <w:tc>
                <w:tcPr>
                  <w:tcW w:w="620" w:type="pct"/>
                  <w:tcMar>
                    <w:top w:w="0" w:type="dxa"/>
                    <w:left w:w="0" w:type="dxa"/>
                    <w:bottom w:w="0" w:type="dxa"/>
                    <w:right w:w="0" w:type="dxa"/>
                  </w:tcMar>
                  <w:vAlign w:val="center"/>
                </w:tcPr>
                <w:p w14:paraId="61761573">
                  <w:pPr>
                    <w:widowControl/>
                    <w:adjustRightInd w:val="0"/>
                    <w:snapToGrid w:val="0"/>
                    <w:jc w:val="center"/>
                    <w:rPr>
                      <w:szCs w:val="21"/>
                    </w:rPr>
                  </w:pPr>
                  <w:r>
                    <w:rPr>
                      <w:rFonts w:hint="eastAsia"/>
                      <w:bCs/>
                      <w:szCs w:val="21"/>
                    </w:rPr>
                    <w:t>达标</w:t>
                  </w:r>
                </w:p>
              </w:tc>
            </w:tr>
            <w:tr w14:paraId="1F0BC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72B93710">
                  <w:pPr>
                    <w:widowControl/>
                    <w:adjustRightInd w:val="0"/>
                    <w:ind w:firstLine="210" w:firstLineChars="100"/>
                    <w:jc w:val="center"/>
                    <w:rPr>
                      <w:szCs w:val="21"/>
                    </w:rPr>
                  </w:pPr>
                </w:p>
              </w:tc>
              <w:tc>
                <w:tcPr>
                  <w:tcW w:w="717" w:type="pct"/>
                  <w:vMerge w:val="continue"/>
                  <w:tcMar>
                    <w:top w:w="0" w:type="dxa"/>
                    <w:left w:w="0" w:type="dxa"/>
                    <w:bottom w:w="0" w:type="dxa"/>
                    <w:right w:w="0" w:type="dxa"/>
                  </w:tcMar>
                  <w:vAlign w:val="center"/>
                </w:tcPr>
                <w:p w14:paraId="2F56D619">
                  <w:pPr>
                    <w:widowControl/>
                    <w:adjustRightInd w:val="0"/>
                    <w:jc w:val="center"/>
                    <w:rPr>
                      <w:szCs w:val="21"/>
                    </w:rPr>
                  </w:pPr>
                </w:p>
              </w:tc>
              <w:tc>
                <w:tcPr>
                  <w:tcW w:w="1243" w:type="pct"/>
                  <w:tcMar>
                    <w:top w:w="0" w:type="dxa"/>
                    <w:left w:w="0" w:type="dxa"/>
                    <w:bottom w:w="0" w:type="dxa"/>
                    <w:right w:w="0" w:type="dxa"/>
                  </w:tcMar>
                  <w:vAlign w:val="center"/>
                </w:tcPr>
                <w:p w14:paraId="2D56545C">
                  <w:pPr>
                    <w:widowControl/>
                    <w:adjustRightInd w:val="0"/>
                    <w:jc w:val="center"/>
                    <w:rPr>
                      <w:szCs w:val="21"/>
                    </w:rPr>
                  </w:pPr>
                  <w:r>
                    <w:rPr>
                      <w:rFonts w:hint="eastAsia"/>
                      <w:szCs w:val="21"/>
                    </w:rPr>
                    <w:t>厂界下风向3#</w:t>
                  </w:r>
                </w:p>
              </w:tc>
              <w:tc>
                <w:tcPr>
                  <w:tcW w:w="1144" w:type="pct"/>
                  <w:tcMar>
                    <w:top w:w="0" w:type="dxa"/>
                    <w:left w:w="0" w:type="dxa"/>
                    <w:bottom w:w="0" w:type="dxa"/>
                    <w:right w:w="0" w:type="dxa"/>
                  </w:tcMar>
                  <w:vAlign w:val="center"/>
                </w:tcPr>
                <w:p w14:paraId="610C83C4">
                  <w:pPr>
                    <w:widowControl/>
                    <w:adjustRightInd w:val="0"/>
                    <w:jc w:val="center"/>
                    <w:rPr>
                      <w:szCs w:val="21"/>
                    </w:rPr>
                  </w:pPr>
                  <w:r>
                    <w:rPr>
                      <w:rFonts w:hint="eastAsia"/>
                      <w:szCs w:val="21"/>
                    </w:rPr>
                    <w:t>0.53</w:t>
                  </w:r>
                </w:p>
              </w:tc>
              <w:tc>
                <w:tcPr>
                  <w:tcW w:w="661" w:type="pct"/>
                  <w:vMerge w:val="continue"/>
                  <w:tcMar>
                    <w:top w:w="0" w:type="dxa"/>
                    <w:left w:w="0" w:type="dxa"/>
                    <w:bottom w:w="0" w:type="dxa"/>
                    <w:right w:w="0" w:type="dxa"/>
                  </w:tcMar>
                  <w:vAlign w:val="center"/>
                </w:tcPr>
                <w:p w14:paraId="50F45499">
                  <w:pPr>
                    <w:widowControl/>
                    <w:adjustRightInd w:val="0"/>
                    <w:snapToGrid w:val="0"/>
                    <w:jc w:val="center"/>
                    <w:rPr>
                      <w:szCs w:val="21"/>
                    </w:rPr>
                  </w:pPr>
                </w:p>
              </w:tc>
              <w:tc>
                <w:tcPr>
                  <w:tcW w:w="620" w:type="pct"/>
                  <w:tcMar>
                    <w:top w:w="0" w:type="dxa"/>
                    <w:left w:w="0" w:type="dxa"/>
                    <w:bottom w:w="0" w:type="dxa"/>
                    <w:right w:w="0" w:type="dxa"/>
                  </w:tcMar>
                  <w:vAlign w:val="center"/>
                </w:tcPr>
                <w:p w14:paraId="7E5FFE61">
                  <w:pPr>
                    <w:widowControl/>
                    <w:adjustRightInd w:val="0"/>
                    <w:snapToGrid w:val="0"/>
                    <w:jc w:val="center"/>
                    <w:rPr>
                      <w:szCs w:val="21"/>
                    </w:rPr>
                  </w:pPr>
                  <w:r>
                    <w:rPr>
                      <w:rFonts w:hint="eastAsia"/>
                      <w:bCs/>
                      <w:szCs w:val="21"/>
                    </w:rPr>
                    <w:t>达标</w:t>
                  </w:r>
                </w:p>
              </w:tc>
            </w:tr>
            <w:tr w14:paraId="527D1B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1D0D9307">
                  <w:pPr>
                    <w:jc w:val="center"/>
                    <w:rPr>
                      <w:szCs w:val="21"/>
                    </w:rPr>
                  </w:pPr>
                </w:p>
              </w:tc>
              <w:tc>
                <w:tcPr>
                  <w:tcW w:w="717" w:type="pct"/>
                  <w:vMerge w:val="continue"/>
                  <w:tcMar>
                    <w:top w:w="0" w:type="dxa"/>
                    <w:left w:w="0" w:type="dxa"/>
                    <w:bottom w:w="0" w:type="dxa"/>
                    <w:right w:w="0" w:type="dxa"/>
                  </w:tcMar>
                  <w:vAlign w:val="center"/>
                </w:tcPr>
                <w:p w14:paraId="292735E4">
                  <w:pPr>
                    <w:widowControl/>
                    <w:adjustRightInd w:val="0"/>
                    <w:jc w:val="center"/>
                    <w:rPr>
                      <w:szCs w:val="21"/>
                    </w:rPr>
                  </w:pPr>
                </w:p>
              </w:tc>
              <w:tc>
                <w:tcPr>
                  <w:tcW w:w="1243" w:type="pct"/>
                  <w:tcMar>
                    <w:top w:w="0" w:type="dxa"/>
                    <w:left w:w="0" w:type="dxa"/>
                    <w:bottom w:w="0" w:type="dxa"/>
                    <w:right w:w="0" w:type="dxa"/>
                  </w:tcMar>
                  <w:vAlign w:val="center"/>
                </w:tcPr>
                <w:p w14:paraId="0A07AE1F">
                  <w:pPr>
                    <w:widowControl/>
                    <w:adjustRightInd w:val="0"/>
                    <w:jc w:val="center"/>
                    <w:rPr>
                      <w:szCs w:val="21"/>
                    </w:rPr>
                  </w:pPr>
                  <w:r>
                    <w:rPr>
                      <w:rFonts w:hint="eastAsia"/>
                      <w:szCs w:val="21"/>
                    </w:rPr>
                    <w:t>厂界下风向4#</w:t>
                  </w:r>
                </w:p>
              </w:tc>
              <w:tc>
                <w:tcPr>
                  <w:tcW w:w="1144" w:type="pct"/>
                  <w:tcMar>
                    <w:top w:w="0" w:type="dxa"/>
                    <w:left w:w="0" w:type="dxa"/>
                    <w:bottom w:w="0" w:type="dxa"/>
                    <w:right w:w="0" w:type="dxa"/>
                  </w:tcMar>
                  <w:vAlign w:val="center"/>
                </w:tcPr>
                <w:p w14:paraId="4362C8B4">
                  <w:pPr>
                    <w:widowControl/>
                    <w:adjustRightInd w:val="0"/>
                    <w:jc w:val="center"/>
                    <w:rPr>
                      <w:szCs w:val="21"/>
                    </w:rPr>
                  </w:pPr>
                  <w:r>
                    <w:rPr>
                      <w:rFonts w:hint="eastAsia"/>
                      <w:szCs w:val="21"/>
                    </w:rPr>
                    <w:t>0.56</w:t>
                  </w:r>
                </w:p>
              </w:tc>
              <w:tc>
                <w:tcPr>
                  <w:tcW w:w="661" w:type="pct"/>
                  <w:vMerge w:val="continue"/>
                  <w:tcMar>
                    <w:top w:w="0" w:type="dxa"/>
                    <w:left w:w="0" w:type="dxa"/>
                    <w:bottom w:w="0" w:type="dxa"/>
                    <w:right w:w="0" w:type="dxa"/>
                  </w:tcMar>
                  <w:vAlign w:val="center"/>
                </w:tcPr>
                <w:p w14:paraId="59DC9043">
                  <w:pPr>
                    <w:widowControl/>
                    <w:adjustRightInd w:val="0"/>
                    <w:snapToGrid w:val="0"/>
                    <w:jc w:val="center"/>
                    <w:rPr>
                      <w:szCs w:val="21"/>
                    </w:rPr>
                  </w:pPr>
                </w:p>
              </w:tc>
              <w:tc>
                <w:tcPr>
                  <w:tcW w:w="620" w:type="pct"/>
                  <w:tcMar>
                    <w:top w:w="0" w:type="dxa"/>
                    <w:left w:w="0" w:type="dxa"/>
                    <w:bottom w:w="0" w:type="dxa"/>
                    <w:right w:w="0" w:type="dxa"/>
                  </w:tcMar>
                  <w:vAlign w:val="center"/>
                </w:tcPr>
                <w:p w14:paraId="5B3F0701">
                  <w:pPr>
                    <w:widowControl/>
                    <w:adjustRightInd w:val="0"/>
                    <w:snapToGrid w:val="0"/>
                    <w:jc w:val="center"/>
                    <w:rPr>
                      <w:szCs w:val="21"/>
                    </w:rPr>
                  </w:pPr>
                  <w:r>
                    <w:rPr>
                      <w:rFonts w:hint="eastAsia"/>
                      <w:bCs/>
                      <w:szCs w:val="21"/>
                    </w:rPr>
                    <w:t>达标</w:t>
                  </w:r>
                </w:p>
              </w:tc>
            </w:tr>
            <w:tr w14:paraId="2F740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52424A84">
                  <w:pPr>
                    <w:jc w:val="center"/>
                    <w:rPr>
                      <w:szCs w:val="21"/>
                    </w:rPr>
                  </w:pPr>
                </w:p>
              </w:tc>
              <w:tc>
                <w:tcPr>
                  <w:tcW w:w="717" w:type="pct"/>
                  <w:vMerge w:val="restart"/>
                  <w:tcMar>
                    <w:top w:w="0" w:type="dxa"/>
                    <w:left w:w="0" w:type="dxa"/>
                    <w:bottom w:w="0" w:type="dxa"/>
                    <w:right w:w="0" w:type="dxa"/>
                  </w:tcMar>
                  <w:vAlign w:val="center"/>
                </w:tcPr>
                <w:p w14:paraId="4E5887FC">
                  <w:pPr>
                    <w:widowControl/>
                    <w:jc w:val="center"/>
                    <w:rPr>
                      <w:szCs w:val="21"/>
                    </w:rPr>
                  </w:pPr>
                  <w:r>
                    <w:rPr>
                      <w:rFonts w:hint="eastAsia"/>
                      <w:kern w:val="0"/>
                      <w:szCs w:val="21"/>
                    </w:rPr>
                    <w:t>二甲苯</w:t>
                  </w:r>
                </w:p>
              </w:tc>
              <w:tc>
                <w:tcPr>
                  <w:tcW w:w="1243" w:type="pct"/>
                  <w:tcMar>
                    <w:top w:w="0" w:type="dxa"/>
                    <w:left w:w="0" w:type="dxa"/>
                    <w:bottom w:w="0" w:type="dxa"/>
                    <w:right w:w="0" w:type="dxa"/>
                  </w:tcMar>
                  <w:vAlign w:val="center"/>
                </w:tcPr>
                <w:p w14:paraId="4B434902">
                  <w:pPr>
                    <w:widowControl/>
                    <w:adjustRightInd w:val="0"/>
                    <w:jc w:val="center"/>
                    <w:rPr>
                      <w:szCs w:val="21"/>
                    </w:rPr>
                  </w:pPr>
                  <w:r>
                    <w:rPr>
                      <w:rFonts w:hint="eastAsia"/>
                      <w:szCs w:val="21"/>
                    </w:rPr>
                    <w:t>厂界上风向1#</w:t>
                  </w:r>
                </w:p>
              </w:tc>
              <w:tc>
                <w:tcPr>
                  <w:tcW w:w="1144" w:type="pct"/>
                  <w:tcMar>
                    <w:top w:w="0" w:type="dxa"/>
                    <w:left w:w="0" w:type="dxa"/>
                    <w:bottom w:w="0" w:type="dxa"/>
                    <w:right w:w="0" w:type="dxa"/>
                  </w:tcMar>
                  <w:vAlign w:val="center"/>
                </w:tcPr>
                <w:p w14:paraId="5DA6AA25">
                  <w:pPr>
                    <w:widowControl/>
                    <w:adjustRightInd w:val="0"/>
                    <w:jc w:val="center"/>
                    <w:rPr>
                      <w:szCs w:val="21"/>
                    </w:rPr>
                  </w:pPr>
                  <w:r>
                    <w:rPr>
                      <w:rFonts w:hint="eastAsia"/>
                      <w:szCs w:val="21"/>
                    </w:rPr>
                    <w:t>ND</w:t>
                  </w:r>
                </w:p>
              </w:tc>
              <w:tc>
                <w:tcPr>
                  <w:tcW w:w="661" w:type="pct"/>
                  <w:vMerge w:val="restart"/>
                  <w:tcMar>
                    <w:top w:w="0" w:type="dxa"/>
                    <w:left w:w="0" w:type="dxa"/>
                    <w:bottom w:w="0" w:type="dxa"/>
                    <w:right w:w="0" w:type="dxa"/>
                  </w:tcMar>
                  <w:vAlign w:val="center"/>
                </w:tcPr>
                <w:p w14:paraId="5F47DB59">
                  <w:pPr>
                    <w:widowControl/>
                    <w:adjustRightInd w:val="0"/>
                    <w:snapToGrid w:val="0"/>
                    <w:jc w:val="center"/>
                    <w:rPr>
                      <w:szCs w:val="21"/>
                    </w:rPr>
                  </w:pPr>
                  <w:r>
                    <w:rPr>
                      <w:rFonts w:hint="eastAsia"/>
                      <w:szCs w:val="21"/>
                    </w:rPr>
                    <w:t>1.2</w:t>
                  </w:r>
                </w:p>
              </w:tc>
              <w:tc>
                <w:tcPr>
                  <w:tcW w:w="620" w:type="pct"/>
                  <w:tcMar>
                    <w:top w:w="0" w:type="dxa"/>
                    <w:left w:w="0" w:type="dxa"/>
                    <w:bottom w:w="0" w:type="dxa"/>
                    <w:right w:w="0" w:type="dxa"/>
                  </w:tcMar>
                  <w:vAlign w:val="center"/>
                </w:tcPr>
                <w:p w14:paraId="6B8128B2">
                  <w:pPr>
                    <w:widowControl/>
                    <w:adjustRightInd w:val="0"/>
                    <w:snapToGrid w:val="0"/>
                    <w:jc w:val="center"/>
                    <w:rPr>
                      <w:szCs w:val="21"/>
                    </w:rPr>
                  </w:pPr>
                  <w:r>
                    <w:rPr>
                      <w:rFonts w:hint="eastAsia"/>
                      <w:bCs/>
                      <w:szCs w:val="21"/>
                    </w:rPr>
                    <w:t>达标</w:t>
                  </w:r>
                </w:p>
              </w:tc>
            </w:tr>
            <w:tr w14:paraId="7164D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6C611BFC">
                  <w:pPr>
                    <w:widowControl/>
                    <w:adjustRightInd w:val="0"/>
                    <w:ind w:firstLine="210" w:firstLineChars="100"/>
                    <w:jc w:val="center"/>
                    <w:rPr>
                      <w:szCs w:val="21"/>
                    </w:rPr>
                  </w:pPr>
                </w:p>
              </w:tc>
              <w:tc>
                <w:tcPr>
                  <w:tcW w:w="717" w:type="pct"/>
                  <w:vMerge w:val="continue"/>
                  <w:tcMar>
                    <w:top w:w="0" w:type="dxa"/>
                    <w:left w:w="0" w:type="dxa"/>
                    <w:bottom w:w="0" w:type="dxa"/>
                    <w:right w:w="0" w:type="dxa"/>
                  </w:tcMar>
                  <w:vAlign w:val="center"/>
                </w:tcPr>
                <w:p w14:paraId="26028C3B">
                  <w:pPr>
                    <w:widowControl/>
                    <w:adjustRightInd w:val="0"/>
                    <w:jc w:val="center"/>
                    <w:rPr>
                      <w:szCs w:val="21"/>
                    </w:rPr>
                  </w:pPr>
                </w:p>
              </w:tc>
              <w:tc>
                <w:tcPr>
                  <w:tcW w:w="1243" w:type="pct"/>
                  <w:tcMar>
                    <w:top w:w="0" w:type="dxa"/>
                    <w:left w:w="0" w:type="dxa"/>
                    <w:bottom w:w="0" w:type="dxa"/>
                    <w:right w:w="0" w:type="dxa"/>
                  </w:tcMar>
                  <w:vAlign w:val="center"/>
                </w:tcPr>
                <w:p w14:paraId="749F98C2">
                  <w:pPr>
                    <w:widowControl/>
                    <w:adjustRightInd w:val="0"/>
                    <w:jc w:val="center"/>
                    <w:rPr>
                      <w:szCs w:val="21"/>
                    </w:rPr>
                  </w:pPr>
                  <w:r>
                    <w:rPr>
                      <w:rFonts w:hint="eastAsia"/>
                      <w:szCs w:val="21"/>
                    </w:rPr>
                    <w:t>厂界下风向2#</w:t>
                  </w:r>
                </w:p>
              </w:tc>
              <w:tc>
                <w:tcPr>
                  <w:tcW w:w="1144" w:type="pct"/>
                  <w:tcMar>
                    <w:top w:w="0" w:type="dxa"/>
                    <w:left w:w="0" w:type="dxa"/>
                    <w:bottom w:w="0" w:type="dxa"/>
                    <w:right w:w="0" w:type="dxa"/>
                  </w:tcMar>
                  <w:vAlign w:val="center"/>
                </w:tcPr>
                <w:p w14:paraId="38CEAE5B">
                  <w:pPr>
                    <w:widowControl/>
                    <w:adjustRightInd w:val="0"/>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5C146CC0">
                  <w:pPr>
                    <w:widowControl/>
                    <w:adjustRightInd w:val="0"/>
                    <w:snapToGrid w:val="0"/>
                    <w:jc w:val="center"/>
                    <w:rPr>
                      <w:szCs w:val="21"/>
                    </w:rPr>
                  </w:pPr>
                </w:p>
              </w:tc>
              <w:tc>
                <w:tcPr>
                  <w:tcW w:w="620" w:type="pct"/>
                  <w:tcMar>
                    <w:top w:w="0" w:type="dxa"/>
                    <w:left w:w="0" w:type="dxa"/>
                    <w:bottom w:w="0" w:type="dxa"/>
                    <w:right w:w="0" w:type="dxa"/>
                  </w:tcMar>
                  <w:vAlign w:val="center"/>
                </w:tcPr>
                <w:p w14:paraId="2D850BDF">
                  <w:pPr>
                    <w:widowControl/>
                    <w:adjustRightInd w:val="0"/>
                    <w:snapToGrid w:val="0"/>
                    <w:jc w:val="center"/>
                    <w:rPr>
                      <w:szCs w:val="21"/>
                    </w:rPr>
                  </w:pPr>
                  <w:r>
                    <w:rPr>
                      <w:rFonts w:hint="eastAsia"/>
                      <w:bCs/>
                      <w:szCs w:val="21"/>
                    </w:rPr>
                    <w:t>达标</w:t>
                  </w:r>
                </w:p>
              </w:tc>
            </w:tr>
            <w:tr w14:paraId="7C3AE5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2E0CFE83">
                  <w:pPr>
                    <w:widowControl/>
                    <w:adjustRightInd w:val="0"/>
                    <w:ind w:firstLine="210" w:firstLineChars="100"/>
                    <w:jc w:val="center"/>
                    <w:rPr>
                      <w:szCs w:val="21"/>
                    </w:rPr>
                  </w:pPr>
                </w:p>
              </w:tc>
              <w:tc>
                <w:tcPr>
                  <w:tcW w:w="717" w:type="pct"/>
                  <w:vMerge w:val="continue"/>
                  <w:tcMar>
                    <w:top w:w="0" w:type="dxa"/>
                    <w:left w:w="0" w:type="dxa"/>
                    <w:bottom w:w="0" w:type="dxa"/>
                    <w:right w:w="0" w:type="dxa"/>
                  </w:tcMar>
                  <w:vAlign w:val="center"/>
                </w:tcPr>
                <w:p w14:paraId="70F3133C">
                  <w:pPr>
                    <w:widowControl/>
                    <w:adjustRightInd w:val="0"/>
                    <w:jc w:val="center"/>
                    <w:rPr>
                      <w:szCs w:val="21"/>
                    </w:rPr>
                  </w:pPr>
                </w:p>
              </w:tc>
              <w:tc>
                <w:tcPr>
                  <w:tcW w:w="1243" w:type="pct"/>
                  <w:tcMar>
                    <w:top w:w="0" w:type="dxa"/>
                    <w:left w:w="0" w:type="dxa"/>
                    <w:bottom w:w="0" w:type="dxa"/>
                    <w:right w:w="0" w:type="dxa"/>
                  </w:tcMar>
                  <w:vAlign w:val="center"/>
                </w:tcPr>
                <w:p w14:paraId="5A8F789A">
                  <w:pPr>
                    <w:widowControl/>
                    <w:adjustRightInd w:val="0"/>
                    <w:jc w:val="center"/>
                    <w:rPr>
                      <w:szCs w:val="21"/>
                    </w:rPr>
                  </w:pPr>
                  <w:r>
                    <w:rPr>
                      <w:rFonts w:hint="eastAsia"/>
                      <w:szCs w:val="21"/>
                    </w:rPr>
                    <w:t>厂界下风向3#</w:t>
                  </w:r>
                </w:p>
              </w:tc>
              <w:tc>
                <w:tcPr>
                  <w:tcW w:w="1144" w:type="pct"/>
                  <w:tcMar>
                    <w:top w:w="0" w:type="dxa"/>
                    <w:left w:w="0" w:type="dxa"/>
                    <w:bottom w:w="0" w:type="dxa"/>
                    <w:right w:w="0" w:type="dxa"/>
                  </w:tcMar>
                  <w:vAlign w:val="center"/>
                </w:tcPr>
                <w:p w14:paraId="1C251962">
                  <w:pPr>
                    <w:widowControl/>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4040AFB1">
                  <w:pPr>
                    <w:widowControl/>
                    <w:adjustRightInd w:val="0"/>
                    <w:snapToGrid w:val="0"/>
                    <w:jc w:val="center"/>
                    <w:rPr>
                      <w:szCs w:val="21"/>
                    </w:rPr>
                  </w:pPr>
                </w:p>
              </w:tc>
              <w:tc>
                <w:tcPr>
                  <w:tcW w:w="620" w:type="pct"/>
                  <w:tcMar>
                    <w:top w:w="0" w:type="dxa"/>
                    <w:left w:w="0" w:type="dxa"/>
                    <w:bottom w:w="0" w:type="dxa"/>
                    <w:right w:w="0" w:type="dxa"/>
                  </w:tcMar>
                  <w:vAlign w:val="center"/>
                </w:tcPr>
                <w:p w14:paraId="5FC681BB">
                  <w:pPr>
                    <w:widowControl/>
                    <w:adjustRightInd w:val="0"/>
                    <w:snapToGrid w:val="0"/>
                    <w:jc w:val="center"/>
                    <w:rPr>
                      <w:szCs w:val="21"/>
                    </w:rPr>
                  </w:pPr>
                  <w:r>
                    <w:rPr>
                      <w:rFonts w:hint="eastAsia"/>
                      <w:bCs/>
                      <w:szCs w:val="21"/>
                    </w:rPr>
                    <w:t>达标</w:t>
                  </w:r>
                </w:p>
              </w:tc>
            </w:tr>
            <w:tr w14:paraId="51184B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62737751">
                  <w:pPr>
                    <w:jc w:val="center"/>
                    <w:rPr>
                      <w:szCs w:val="21"/>
                    </w:rPr>
                  </w:pPr>
                </w:p>
              </w:tc>
              <w:tc>
                <w:tcPr>
                  <w:tcW w:w="717" w:type="pct"/>
                  <w:vMerge w:val="continue"/>
                  <w:tcMar>
                    <w:top w:w="0" w:type="dxa"/>
                    <w:left w:w="0" w:type="dxa"/>
                    <w:bottom w:w="0" w:type="dxa"/>
                    <w:right w:w="0" w:type="dxa"/>
                  </w:tcMar>
                  <w:vAlign w:val="center"/>
                </w:tcPr>
                <w:p w14:paraId="5631AC8C">
                  <w:pPr>
                    <w:widowControl/>
                    <w:adjustRightInd w:val="0"/>
                    <w:jc w:val="center"/>
                    <w:rPr>
                      <w:szCs w:val="21"/>
                    </w:rPr>
                  </w:pPr>
                </w:p>
              </w:tc>
              <w:tc>
                <w:tcPr>
                  <w:tcW w:w="1243" w:type="pct"/>
                  <w:tcMar>
                    <w:top w:w="0" w:type="dxa"/>
                    <w:left w:w="0" w:type="dxa"/>
                    <w:bottom w:w="0" w:type="dxa"/>
                    <w:right w:w="0" w:type="dxa"/>
                  </w:tcMar>
                  <w:vAlign w:val="center"/>
                </w:tcPr>
                <w:p w14:paraId="3ABCB2B2">
                  <w:pPr>
                    <w:widowControl/>
                    <w:adjustRightInd w:val="0"/>
                    <w:jc w:val="center"/>
                    <w:rPr>
                      <w:szCs w:val="21"/>
                    </w:rPr>
                  </w:pPr>
                  <w:r>
                    <w:rPr>
                      <w:rFonts w:hint="eastAsia"/>
                      <w:szCs w:val="21"/>
                    </w:rPr>
                    <w:t>厂界下风向4#</w:t>
                  </w:r>
                </w:p>
              </w:tc>
              <w:tc>
                <w:tcPr>
                  <w:tcW w:w="1144" w:type="pct"/>
                  <w:tcMar>
                    <w:top w:w="0" w:type="dxa"/>
                    <w:left w:w="0" w:type="dxa"/>
                    <w:bottom w:w="0" w:type="dxa"/>
                    <w:right w:w="0" w:type="dxa"/>
                  </w:tcMar>
                  <w:vAlign w:val="center"/>
                </w:tcPr>
                <w:p w14:paraId="1492AD36">
                  <w:pPr>
                    <w:widowControl/>
                    <w:adjustRightInd w:val="0"/>
                    <w:snapToGrid w:val="0"/>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0D6C3DBF">
                  <w:pPr>
                    <w:widowControl/>
                    <w:adjustRightInd w:val="0"/>
                    <w:snapToGrid w:val="0"/>
                    <w:jc w:val="center"/>
                    <w:rPr>
                      <w:szCs w:val="21"/>
                    </w:rPr>
                  </w:pPr>
                </w:p>
              </w:tc>
              <w:tc>
                <w:tcPr>
                  <w:tcW w:w="620" w:type="pct"/>
                  <w:tcMar>
                    <w:top w:w="0" w:type="dxa"/>
                    <w:left w:w="0" w:type="dxa"/>
                    <w:bottom w:w="0" w:type="dxa"/>
                    <w:right w:w="0" w:type="dxa"/>
                  </w:tcMar>
                  <w:vAlign w:val="center"/>
                </w:tcPr>
                <w:p w14:paraId="4C9049E7">
                  <w:pPr>
                    <w:widowControl/>
                    <w:adjustRightInd w:val="0"/>
                    <w:snapToGrid w:val="0"/>
                    <w:jc w:val="center"/>
                    <w:rPr>
                      <w:szCs w:val="21"/>
                    </w:rPr>
                  </w:pPr>
                  <w:r>
                    <w:rPr>
                      <w:rFonts w:hint="eastAsia"/>
                      <w:bCs/>
                      <w:szCs w:val="21"/>
                    </w:rPr>
                    <w:t>达标</w:t>
                  </w:r>
                </w:p>
              </w:tc>
            </w:tr>
            <w:tr w14:paraId="761C3A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761BF668">
                  <w:pPr>
                    <w:jc w:val="center"/>
                    <w:rPr>
                      <w:szCs w:val="21"/>
                    </w:rPr>
                  </w:pPr>
                </w:p>
              </w:tc>
              <w:tc>
                <w:tcPr>
                  <w:tcW w:w="717" w:type="pct"/>
                  <w:vMerge w:val="restart"/>
                  <w:tcMar>
                    <w:top w:w="0" w:type="dxa"/>
                    <w:left w:w="0" w:type="dxa"/>
                    <w:bottom w:w="0" w:type="dxa"/>
                    <w:right w:w="0" w:type="dxa"/>
                  </w:tcMar>
                  <w:vAlign w:val="center"/>
                </w:tcPr>
                <w:p w14:paraId="2ECDF3EB">
                  <w:pPr>
                    <w:widowControl/>
                    <w:adjustRightInd w:val="0"/>
                    <w:jc w:val="center"/>
                    <w:rPr>
                      <w:szCs w:val="21"/>
                    </w:rPr>
                  </w:pPr>
                  <w:r>
                    <w:rPr>
                      <w:rFonts w:hint="eastAsia"/>
                      <w:szCs w:val="21"/>
                    </w:rPr>
                    <w:t>H</w:t>
                  </w:r>
                  <w:r>
                    <w:rPr>
                      <w:rFonts w:hint="eastAsia"/>
                      <w:szCs w:val="21"/>
                      <w:vertAlign w:val="subscript"/>
                    </w:rPr>
                    <w:t>2</w:t>
                  </w:r>
                  <w:r>
                    <w:rPr>
                      <w:rFonts w:hint="eastAsia"/>
                      <w:szCs w:val="21"/>
                    </w:rPr>
                    <w:t>S</w:t>
                  </w:r>
                </w:p>
              </w:tc>
              <w:tc>
                <w:tcPr>
                  <w:tcW w:w="1243" w:type="pct"/>
                  <w:tcMar>
                    <w:top w:w="0" w:type="dxa"/>
                    <w:left w:w="0" w:type="dxa"/>
                    <w:bottom w:w="0" w:type="dxa"/>
                    <w:right w:w="0" w:type="dxa"/>
                  </w:tcMar>
                  <w:vAlign w:val="center"/>
                </w:tcPr>
                <w:p w14:paraId="29432CF9">
                  <w:pPr>
                    <w:widowControl/>
                    <w:adjustRightInd w:val="0"/>
                    <w:jc w:val="center"/>
                    <w:rPr>
                      <w:szCs w:val="21"/>
                    </w:rPr>
                  </w:pPr>
                  <w:r>
                    <w:rPr>
                      <w:rFonts w:hint="eastAsia"/>
                      <w:szCs w:val="21"/>
                    </w:rPr>
                    <w:t>厂界上风向1#</w:t>
                  </w:r>
                </w:p>
              </w:tc>
              <w:tc>
                <w:tcPr>
                  <w:tcW w:w="1144" w:type="pct"/>
                  <w:tcMar>
                    <w:top w:w="0" w:type="dxa"/>
                    <w:left w:w="0" w:type="dxa"/>
                    <w:bottom w:w="0" w:type="dxa"/>
                    <w:right w:w="0" w:type="dxa"/>
                  </w:tcMar>
                  <w:vAlign w:val="center"/>
                </w:tcPr>
                <w:p w14:paraId="21F99900">
                  <w:pPr>
                    <w:widowControl/>
                    <w:adjustRightInd w:val="0"/>
                    <w:jc w:val="center"/>
                    <w:rPr>
                      <w:szCs w:val="21"/>
                    </w:rPr>
                  </w:pPr>
                  <w:r>
                    <w:rPr>
                      <w:rFonts w:hint="eastAsia"/>
                      <w:szCs w:val="21"/>
                    </w:rPr>
                    <w:t>ND</w:t>
                  </w:r>
                </w:p>
              </w:tc>
              <w:tc>
                <w:tcPr>
                  <w:tcW w:w="661" w:type="pct"/>
                  <w:vMerge w:val="restart"/>
                  <w:tcMar>
                    <w:top w:w="0" w:type="dxa"/>
                    <w:left w:w="0" w:type="dxa"/>
                    <w:bottom w:w="0" w:type="dxa"/>
                    <w:right w:w="0" w:type="dxa"/>
                  </w:tcMar>
                  <w:vAlign w:val="center"/>
                </w:tcPr>
                <w:p w14:paraId="710F492A">
                  <w:pPr>
                    <w:widowControl/>
                    <w:adjustRightInd w:val="0"/>
                    <w:snapToGrid w:val="0"/>
                    <w:jc w:val="center"/>
                    <w:rPr>
                      <w:szCs w:val="21"/>
                    </w:rPr>
                  </w:pPr>
                  <w:r>
                    <w:rPr>
                      <w:rFonts w:hint="eastAsia"/>
                      <w:szCs w:val="21"/>
                    </w:rPr>
                    <w:t>0.06</w:t>
                  </w:r>
                </w:p>
              </w:tc>
              <w:tc>
                <w:tcPr>
                  <w:tcW w:w="620" w:type="pct"/>
                  <w:tcMar>
                    <w:top w:w="0" w:type="dxa"/>
                    <w:left w:w="0" w:type="dxa"/>
                    <w:bottom w:w="0" w:type="dxa"/>
                    <w:right w:w="0" w:type="dxa"/>
                  </w:tcMar>
                  <w:vAlign w:val="center"/>
                </w:tcPr>
                <w:p w14:paraId="02BBAA7C">
                  <w:pPr>
                    <w:widowControl/>
                    <w:adjustRightInd w:val="0"/>
                    <w:snapToGrid w:val="0"/>
                    <w:jc w:val="center"/>
                    <w:rPr>
                      <w:bCs/>
                      <w:szCs w:val="21"/>
                    </w:rPr>
                  </w:pPr>
                  <w:r>
                    <w:rPr>
                      <w:rFonts w:hint="eastAsia"/>
                      <w:bCs/>
                      <w:szCs w:val="21"/>
                    </w:rPr>
                    <w:t>达标</w:t>
                  </w:r>
                </w:p>
              </w:tc>
            </w:tr>
            <w:tr w14:paraId="0CDC10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3276077B">
                  <w:pPr>
                    <w:jc w:val="center"/>
                    <w:rPr>
                      <w:szCs w:val="21"/>
                    </w:rPr>
                  </w:pPr>
                </w:p>
              </w:tc>
              <w:tc>
                <w:tcPr>
                  <w:tcW w:w="717" w:type="pct"/>
                  <w:vMerge w:val="continue"/>
                  <w:tcMar>
                    <w:top w:w="0" w:type="dxa"/>
                    <w:left w:w="0" w:type="dxa"/>
                    <w:bottom w:w="0" w:type="dxa"/>
                    <w:right w:w="0" w:type="dxa"/>
                  </w:tcMar>
                  <w:vAlign w:val="center"/>
                </w:tcPr>
                <w:p w14:paraId="23FA7551">
                  <w:pPr>
                    <w:widowControl/>
                    <w:adjustRightInd w:val="0"/>
                    <w:jc w:val="center"/>
                    <w:rPr>
                      <w:szCs w:val="21"/>
                    </w:rPr>
                  </w:pPr>
                </w:p>
              </w:tc>
              <w:tc>
                <w:tcPr>
                  <w:tcW w:w="1243" w:type="pct"/>
                  <w:tcMar>
                    <w:top w:w="0" w:type="dxa"/>
                    <w:left w:w="0" w:type="dxa"/>
                    <w:bottom w:w="0" w:type="dxa"/>
                    <w:right w:w="0" w:type="dxa"/>
                  </w:tcMar>
                  <w:vAlign w:val="center"/>
                </w:tcPr>
                <w:p w14:paraId="7A7DBE10">
                  <w:pPr>
                    <w:widowControl/>
                    <w:adjustRightInd w:val="0"/>
                    <w:jc w:val="center"/>
                    <w:rPr>
                      <w:szCs w:val="21"/>
                    </w:rPr>
                  </w:pPr>
                  <w:r>
                    <w:rPr>
                      <w:rFonts w:hint="eastAsia"/>
                      <w:szCs w:val="21"/>
                    </w:rPr>
                    <w:t>厂界下风向2#</w:t>
                  </w:r>
                </w:p>
              </w:tc>
              <w:tc>
                <w:tcPr>
                  <w:tcW w:w="1144" w:type="pct"/>
                  <w:tcMar>
                    <w:top w:w="0" w:type="dxa"/>
                    <w:left w:w="0" w:type="dxa"/>
                    <w:bottom w:w="0" w:type="dxa"/>
                    <w:right w:w="0" w:type="dxa"/>
                  </w:tcMar>
                  <w:vAlign w:val="center"/>
                </w:tcPr>
                <w:p w14:paraId="61F8A9B1">
                  <w:pPr>
                    <w:widowControl/>
                    <w:adjustRightInd w:val="0"/>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1ABD5672">
                  <w:pPr>
                    <w:widowControl/>
                    <w:adjustRightInd w:val="0"/>
                    <w:snapToGrid w:val="0"/>
                    <w:jc w:val="center"/>
                    <w:rPr>
                      <w:szCs w:val="21"/>
                    </w:rPr>
                  </w:pPr>
                </w:p>
              </w:tc>
              <w:tc>
                <w:tcPr>
                  <w:tcW w:w="620" w:type="pct"/>
                  <w:tcMar>
                    <w:top w:w="0" w:type="dxa"/>
                    <w:left w:w="0" w:type="dxa"/>
                    <w:bottom w:w="0" w:type="dxa"/>
                    <w:right w:w="0" w:type="dxa"/>
                  </w:tcMar>
                  <w:vAlign w:val="center"/>
                </w:tcPr>
                <w:p w14:paraId="14BF412B">
                  <w:pPr>
                    <w:widowControl/>
                    <w:adjustRightInd w:val="0"/>
                    <w:snapToGrid w:val="0"/>
                    <w:jc w:val="center"/>
                    <w:rPr>
                      <w:bCs/>
                      <w:szCs w:val="21"/>
                    </w:rPr>
                  </w:pPr>
                  <w:r>
                    <w:rPr>
                      <w:rFonts w:hint="eastAsia"/>
                      <w:bCs/>
                      <w:szCs w:val="21"/>
                    </w:rPr>
                    <w:t>达标</w:t>
                  </w:r>
                </w:p>
              </w:tc>
            </w:tr>
            <w:tr w14:paraId="0124DE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65D08ED8">
                  <w:pPr>
                    <w:jc w:val="center"/>
                    <w:rPr>
                      <w:szCs w:val="21"/>
                    </w:rPr>
                  </w:pPr>
                </w:p>
              </w:tc>
              <w:tc>
                <w:tcPr>
                  <w:tcW w:w="717" w:type="pct"/>
                  <w:vMerge w:val="continue"/>
                  <w:tcMar>
                    <w:top w:w="0" w:type="dxa"/>
                    <w:left w:w="0" w:type="dxa"/>
                    <w:bottom w:w="0" w:type="dxa"/>
                    <w:right w:w="0" w:type="dxa"/>
                  </w:tcMar>
                  <w:vAlign w:val="center"/>
                </w:tcPr>
                <w:p w14:paraId="70DF2A3A">
                  <w:pPr>
                    <w:widowControl/>
                    <w:adjustRightInd w:val="0"/>
                    <w:jc w:val="center"/>
                    <w:rPr>
                      <w:szCs w:val="21"/>
                    </w:rPr>
                  </w:pPr>
                </w:p>
              </w:tc>
              <w:tc>
                <w:tcPr>
                  <w:tcW w:w="1243" w:type="pct"/>
                  <w:tcMar>
                    <w:top w:w="0" w:type="dxa"/>
                    <w:left w:w="0" w:type="dxa"/>
                    <w:bottom w:w="0" w:type="dxa"/>
                    <w:right w:w="0" w:type="dxa"/>
                  </w:tcMar>
                  <w:vAlign w:val="center"/>
                </w:tcPr>
                <w:p w14:paraId="446BFC3D">
                  <w:pPr>
                    <w:widowControl/>
                    <w:adjustRightInd w:val="0"/>
                    <w:jc w:val="center"/>
                    <w:rPr>
                      <w:szCs w:val="21"/>
                    </w:rPr>
                  </w:pPr>
                  <w:r>
                    <w:rPr>
                      <w:rFonts w:hint="eastAsia"/>
                      <w:szCs w:val="21"/>
                    </w:rPr>
                    <w:t>厂界下风向3#</w:t>
                  </w:r>
                </w:p>
              </w:tc>
              <w:tc>
                <w:tcPr>
                  <w:tcW w:w="1144" w:type="pct"/>
                  <w:tcMar>
                    <w:top w:w="0" w:type="dxa"/>
                    <w:left w:w="0" w:type="dxa"/>
                    <w:bottom w:w="0" w:type="dxa"/>
                    <w:right w:w="0" w:type="dxa"/>
                  </w:tcMar>
                  <w:vAlign w:val="center"/>
                </w:tcPr>
                <w:p w14:paraId="3BDC439B">
                  <w:pPr>
                    <w:widowControl/>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5EC11011">
                  <w:pPr>
                    <w:widowControl/>
                    <w:adjustRightInd w:val="0"/>
                    <w:snapToGrid w:val="0"/>
                    <w:jc w:val="center"/>
                    <w:rPr>
                      <w:szCs w:val="21"/>
                    </w:rPr>
                  </w:pPr>
                </w:p>
              </w:tc>
              <w:tc>
                <w:tcPr>
                  <w:tcW w:w="620" w:type="pct"/>
                  <w:tcMar>
                    <w:top w:w="0" w:type="dxa"/>
                    <w:left w:w="0" w:type="dxa"/>
                    <w:bottom w:w="0" w:type="dxa"/>
                    <w:right w:w="0" w:type="dxa"/>
                  </w:tcMar>
                  <w:vAlign w:val="center"/>
                </w:tcPr>
                <w:p w14:paraId="7BC6B2B1">
                  <w:pPr>
                    <w:widowControl/>
                    <w:adjustRightInd w:val="0"/>
                    <w:snapToGrid w:val="0"/>
                    <w:jc w:val="center"/>
                    <w:rPr>
                      <w:bCs/>
                      <w:szCs w:val="21"/>
                    </w:rPr>
                  </w:pPr>
                  <w:r>
                    <w:rPr>
                      <w:rFonts w:hint="eastAsia"/>
                      <w:bCs/>
                      <w:szCs w:val="21"/>
                    </w:rPr>
                    <w:t>达标</w:t>
                  </w:r>
                </w:p>
              </w:tc>
            </w:tr>
            <w:tr w14:paraId="443AD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5C260194">
                  <w:pPr>
                    <w:jc w:val="center"/>
                    <w:rPr>
                      <w:szCs w:val="21"/>
                    </w:rPr>
                  </w:pPr>
                </w:p>
              </w:tc>
              <w:tc>
                <w:tcPr>
                  <w:tcW w:w="717" w:type="pct"/>
                  <w:vMerge w:val="continue"/>
                  <w:tcMar>
                    <w:top w:w="0" w:type="dxa"/>
                    <w:left w:w="0" w:type="dxa"/>
                    <w:bottom w:w="0" w:type="dxa"/>
                    <w:right w:w="0" w:type="dxa"/>
                  </w:tcMar>
                  <w:vAlign w:val="center"/>
                </w:tcPr>
                <w:p w14:paraId="48875C1C">
                  <w:pPr>
                    <w:widowControl/>
                    <w:adjustRightInd w:val="0"/>
                    <w:jc w:val="center"/>
                    <w:rPr>
                      <w:szCs w:val="21"/>
                    </w:rPr>
                  </w:pPr>
                </w:p>
              </w:tc>
              <w:tc>
                <w:tcPr>
                  <w:tcW w:w="1243" w:type="pct"/>
                  <w:tcMar>
                    <w:top w:w="0" w:type="dxa"/>
                    <w:left w:w="0" w:type="dxa"/>
                    <w:bottom w:w="0" w:type="dxa"/>
                    <w:right w:w="0" w:type="dxa"/>
                  </w:tcMar>
                  <w:vAlign w:val="center"/>
                </w:tcPr>
                <w:p w14:paraId="49F63BA0">
                  <w:pPr>
                    <w:widowControl/>
                    <w:adjustRightInd w:val="0"/>
                    <w:jc w:val="center"/>
                    <w:rPr>
                      <w:szCs w:val="21"/>
                    </w:rPr>
                  </w:pPr>
                  <w:r>
                    <w:rPr>
                      <w:rFonts w:hint="eastAsia"/>
                      <w:szCs w:val="21"/>
                    </w:rPr>
                    <w:t>厂界下风向4#</w:t>
                  </w:r>
                </w:p>
              </w:tc>
              <w:tc>
                <w:tcPr>
                  <w:tcW w:w="1144" w:type="pct"/>
                  <w:tcMar>
                    <w:top w:w="0" w:type="dxa"/>
                    <w:left w:w="0" w:type="dxa"/>
                    <w:bottom w:w="0" w:type="dxa"/>
                    <w:right w:w="0" w:type="dxa"/>
                  </w:tcMar>
                  <w:vAlign w:val="center"/>
                </w:tcPr>
                <w:p w14:paraId="4AE187AB">
                  <w:pPr>
                    <w:widowControl/>
                    <w:adjustRightInd w:val="0"/>
                    <w:snapToGrid w:val="0"/>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6E9ADA55">
                  <w:pPr>
                    <w:widowControl/>
                    <w:adjustRightInd w:val="0"/>
                    <w:snapToGrid w:val="0"/>
                    <w:jc w:val="center"/>
                    <w:rPr>
                      <w:szCs w:val="21"/>
                    </w:rPr>
                  </w:pPr>
                </w:p>
              </w:tc>
              <w:tc>
                <w:tcPr>
                  <w:tcW w:w="620" w:type="pct"/>
                  <w:tcMar>
                    <w:top w:w="0" w:type="dxa"/>
                    <w:left w:w="0" w:type="dxa"/>
                    <w:bottom w:w="0" w:type="dxa"/>
                    <w:right w:w="0" w:type="dxa"/>
                  </w:tcMar>
                  <w:vAlign w:val="center"/>
                </w:tcPr>
                <w:p w14:paraId="2C3017C6">
                  <w:pPr>
                    <w:widowControl/>
                    <w:adjustRightInd w:val="0"/>
                    <w:snapToGrid w:val="0"/>
                    <w:jc w:val="center"/>
                    <w:rPr>
                      <w:bCs/>
                      <w:szCs w:val="21"/>
                    </w:rPr>
                  </w:pPr>
                  <w:r>
                    <w:rPr>
                      <w:rFonts w:hint="eastAsia"/>
                      <w:bCs/>
                      <w:szCs w:val="21"/>
                    </w:rPr>
                    <w:t>达标</w:t>
                  </w:r>
                </w:p>
              </w:tc>
            </w:tr>
            <w:tr w14:paraId="54B5BC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211C1134">
                  <w:pPr>
                    <w:jc w:val="center"/>
                    <w:rPr>
                      <w:szCs w:val="21"/>
                    </w:rPr>
                  </w:pPr>
                </w:p>
              </w:tc>
              <w:tc>
                <w:tcPr>
                  <w:tcW w:w="717" w:type="pct"/>
                  <w:vMerge w:val="restart"/>
                  <w:tcMar>
                    <w:top w:w="0" w:type="dxa"/>
                    <w:left w:w="0" w:type="dxa"/>
                    <w:bottom w:w="0" w:type="dxa"/>
                    <w:right w:w="0" w:type="dxa"/>
                  </w:tcMar>
                  <w:vAlign w:val="center"/>
                </w:tcPr>
                <w:p w14:paraId="4C64A3A8">
                  <w:pPr>
                    <w:widowControl/>
                    <w:adjustRightInd w:val="0"/>
                    <w:jc w:val="center"/>
                    <w:rPr>
                      <w:szCs w:val="21"/>
                    </w:rPr>
                  </w:pPr>
                  <w:r>
                    <w:rPr>
                      <w:rFonts w:hint="eastAsia"/>
                      <w:szCs w:val="21"/>
                    </w:rPr>
                    <w:t>乙苯</w:t>
                  </w:r>
                </w:p>
              </w:tc>
              <w:tc>
                <w:tcPr>
                  <w:tcW w:w="1243" w:type="pct"/>
                  <w:tcMar>
                    <w:top w:w="0" w:type="dxa"/>
                    <w:left w:w="0" w:type="dxa"/>
                    <w:bottom w:w="0" w:type="dxa"/>
                    <w:right w:w="0" w:type="dxa"/>
                  </w:tcMar>
                  <w:vAlign w:val="center"/>
                </w:tcPr>
                <w:p w14:paraId="1411B525">
                  <w:pPr>
                    <w:widowControl/>
                    <w:adjustRightInd w:val="0"/>
                    <w:jc w:val="center"/>
                    <w:rPr>
                      <w:szCs w:val="21"/>
                    </w:rPr>
                  </w:pPr>
                  <w:r>
                    <w:rPr>
                      <w:rFonts w:hint="eastAsia"/>
                      <w:szCs w:val="21"/>
                    </w:rPr>
                    <w:t>厂界上风向1#</w:t>
                  </w:r>
                </w:p>
              </w:tc>
              <w:tc>
                <w:tcPr>
                  <w:tcW w:w="1144" w:type="pct"/>
                  <w:tcMar>
                    <w:top w:w="0" w:type="dxa"/>
                    <w:left w:w="0" w:type="dxa"/>
                    <w:bottom w:w="0" w:type="dxa"/>
                    <w:right w:w="0" w:type="dxa"/>
                  </w:tcMar>
                  <w:vAlign w:val="center"/>
                </w:tcPr>
                <w:p w14:paraId="255AAD1D">
                  <w:pPr>
                    <w:widowControl/>
                    <w:adjustRightInd w:val="0"/>
                    <w:jc w:val="center"/>
                    <w:rPr>
                      <w:szCs w:val="21"/>
                    </w:rPr>
                  </w:pPr>
                  <w:r>
                    <w:rPr>
                      <w:rFonts w:hint="eastAsia"/>
                      <w:szCs w:val="21"/>
                    </w:rPr>
                    <w:t>ND</w:t>
                  </w:r>
                </w:p>
              </w:tc>
              <w:tc>
                <w:tcPr>
                  <w:tcW w:w="661" w:type="pct"/>
                  <w:vMerge w:val="restart"/>
                  <w:tcMar>
                    <w:top w:w="0" w:type="dxa"/>
                    <w:left w:w="0" w:type="dxa"/>
                    <w:bottom w:w="0" w:type="dxa"/>
                    <w:right w:w="0" w:type="dxa"/>
                  </w:tcMar>
                  <w:vAlign w:val="center"/>
                </w:tcPr>
                <w:p w14:paraId="5E4BA9E8">
                  <w:pPr>
                    <w:widowControl/>
                    <w:adjustRightInd w:val="0"/>
                    <w:snapToGrid w:val="0"/>
                    <w:jc w:val="center"/>
                    <w:rPr>
                      <w:szCs w:val="21"/>
                    </w:rPr>
                  </w:pPr>
                  <w:r>
                    <w:rPr>
                      <w:rFonts w:hint="eastAsia"/>
                      <w:szCs w:val="21"/>
                    </w:rPr>
                    <w:t>0.4</w:t>
                  </w:r>
                </w:p>
              </w:tc>
              <w:tc>
                <w:tcPr>
                  <w:tcW w:w="620" w:type="pct"/>
                  <w:tcMar>
                    <w:top w:w="0" w:type="dxa"/>
                    <w:left w:w="0" w:type="dxa"/>
                    <w:bottom w:w="0" w:type="dxa"/>
                    <w:right w:w="0" w:type="dxa"/>
                  </w:tcMar>
                  <w:vAlign w:val="center"/>
                </w:tcPr>
                <w:p w14:paraId="5461C8D2">
                  <w:pPr>
                    <w:widowControl/>
                    <w:adjustRightInd w:val="0"/>
                    <w:snapToGrid w:val="0"/>
                    <w:jc w:val="center"/>
                    <w:rPr>
                      <w:bCs/>
                      <w:szCs w:val="21"/>
                    </w:rPr>
                  </w:pPr>
                  <w:r>
                    <w:rPr>
                      <w:rFonts w:hint="eastAsia"/>
                      <w:bCs/>
                      <w:szCs w:val="21"/>
                    </w:rPr>
                    <w:t>达标</w:t>
                  </w:r>
                </w:p>
              </w:tc>
            </w:tr>
            <w:tr w14:paraId="60552A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65C8B3F2">
                  <w:pPr>
                    <w:jc w:val="center"/>
                    <w:rPr>
                      <w:szCs w:val="21"/>
                    </w:rPr>
                  </w:pPr>
                </w:p>
              </w:tc>
              <w:tc>
                <w:tcPr>
                  <w:tcW w:w="717" w:type="pct"/>
                  <w:vMerge w:val="continue"/>
                  <w:tcMar>
                    <w:top w:w="0" w:type="dxa"/>
                    <w:left w:w="0" w:type="dxa"/>
                    <w:bottom w:w="0" w:type="dxa"/>
                    <w:right w:w="0" w:type="dxa"/>
                  </w:tcMar>
                  <w:vAlign w:val="center"/>
                </w:tcPr>
                <w:p w14:paraId="55CF64B9">
                  <w:pPr>
                    <w:widowControl/>
                    <w:adjustRightInd w:val="0"/>
                    <w:jc w:val="center"/>
                    <w:rPr>
                      <w:szCs w:val="21"/>
                    </w:rPr>
                  </w:pPr>
                </w:p>
              </w:tc>
              <w:tc>
                <w:tcPr>
                  <w:tcW w:w="1243" w:type="pct"/>
                  <w:tcMar>
                    <w:top w:w="0" w:type="dxa"/>
                    <w:left w:w="0" w:type="dxa"/>
                    <w:bottom w:w="0" w:type="dxa"/>
                    <w:right w:w="0" w:type="dxa"/>
                  </w:tcMar>
                  <w:vAlign w:val="center"/>
                </w:tcPr>
                <w:p w14:paraId="6B229893">
                  <w:pPr>
                    <w:widowControl/>
                    <w:adjustRightInd w:val="0"/>
                    <w:jc w:val="center"/>
                    <w:rPr>
                      <w:szCs w:val="21"/>
                    </w:rPr>
                  </w:pPr>
                  <w:r>
                    <w:rPr>
                      <w:rFonts w:hint="eastAsia"/>
                      <w:szCs w:val="21"/>
                    </w:rPr>
                    <w:t>厂界下风向2#</w:t>
                  </w:r>
                </w:p>
              </w:tc>
              <w:tc>
                <w:tcPr>
                  <w:tcW w:w="1144" w:type="pct"/>
                  <w:tcMar>
                    <w:top w:w="0" w:type="dxa"/>
                    <w:left w:w="0" w:type="dxa"/>
                    <w:bottom w:w="0" w:type="dxa"/>
                    <w:right w:w="0" w:type="dxa"/>
                  </w:tcMar>
                  <w:vAlign w:val="center"/>
                </w:tcPr>
                <w:p w14:paraId="436D98D9">
                  <w:pPr>
                    <w:widowControl/>
                    <w:adjustRightInd w:val="0"/>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3CC53627">
                  <w:pPr>
                    <w:widowControl/>
                    <w:adjustRightInd w:val="0"/>
                    <w:snapToGrid w:val="0"/>
                    <w:jc w:val="center"/>
                    <w:rPr>
                      <w:szCs w:val="21"/>
                    </w:rPr>
                  </w:pPr>
                </w:p>
              </w:tc>
              <w:tc>
                <w:tcPr>
                  <w:tcW w:w="620" w:type="pct"/>
                  <w:tcMar>
                    <w:top w:w="0" w:type="dxa"/>
                    <w:left w:w="0" w:type="dxa"/>
                    <w:bottom w:w="0" w:type="dxa"/>
                    <w:right w:w="0" w:type="dxa"/>
                  </w:tcMar>
                  <w:vAlign w:val="center"/>
                </w:tcPr>
                <w:p w14:paraId="49B00ED3">
                  <w:pPr>
                    <w:widowControl/>
                    <w:adjustRightInd w:val="0"/>
                    <w:snapToGrid w:val="0"/>
                    <w:jc w:val="center"/>
                    <w:rPr>
                      <w:bCs/>
                      <w:szCs w:val="21"/>
                    </w:rPr>
                  </w:pPr>
                  <w:r>
                    <w:rPr>
                      <w:rFonts w:hint="eastAsia"/>
                      <w:bCs/>
                      <w:szCs w:val="21"/>
                    </w:rPr>
                    <w:t>达标</w:t>
                  </w:r>
                </w:p>
              </w:tc>
            </w:tr>
            <w:tr w14:paraId="77106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1FC0BB28">
                  <w:pPr>
                    <w:jc w:val="center"/>
                    <w:rPr>
                      <w:szCs w:val="21"/>
                    </w:rPr>
                  </w:pPr>
                </w:p>
              </w:tc>
              <w:tc>
                <w:tcPr>
                  <w:tcW w:w="717" w:type="pct"/>
                  <w:vMerge w:val="continue"/>
                  <w:tcMar>
                    <w:top w:w="0" w:type="dxa"/>
                    <w:left w:w="0" w:type="dxa"/>
                    <w:bottom w:w="0" w:type="dxa"/>
                    <w:right w:w="0" w:type="dxa"/>
                  </w:tcMar>
                  <w:vAlign w:val="center"/>
                </w:tcPr>
                <w:p w14:paraId="13CFEE2B">
                  <w:pPr>
                    <w:widowControl/>
                    <w:adjustRightInd w:val="0"/>
                    <w:jc w:val="center"/>
                    <w:rPr>
                      <w:szCs w:val="21"/>
                    </w:rPr>
                  </w:pPr>
                </w:p>
              </w:tc>
              <w:tc>
                <w:tcPr>
                  <w:tcW w:w="1243" w:type="pct"/>
                  <w:tcMar>
                    <w:top w:w="0" w:type="dxa"/>
                    <w:left w:w="0" w:type="dxa"/>
                    <w:bottom w:w="0" w:type="dxa"/>
                    <w:right w:w="0" w:type="dxa"/>
                  </w:tcMar>
                  <w:vAlign w:val="center"/>
                </w:tcPr>
                <w:p w14:paraId="128D95EF">
                  <w:pPr>
                    <w:widowControl/>
                    <w:adjustRightInd w:val="0"/>
                    <w:jc w:val="center"/>
                    <w:rPr>
                      <w:szCs w:val="21"/>
                    </w:rPr>
                  </w:pPr>
                  <w:r>
                    <w:rPr>
                      <w:rFonts w:hint="eastAsia"/>
                      <w:szCs w:val="21"/>
                    </w:rPr>
                    <w:t>厂界下风向3#</w:t>
                  </w:r>
                </w:p>
              </w:tc>
              <w:tc>
                <w:tcPr>
                  <w:tcW w:w="1144" w:type="pct"/>
                  <w:tcMar>
                    <w:top w:w="0" w:type="dxa"/>
                    <w:left w:w="0" w:type="dxa"/>
                    <w:bottom w:w="0" w:type="dxa"/>
                    <w:right w:w="0" w:type="dxa"/>
                  </w:tcMar>
                  <w:vAlign w:val="center"/>
                </w:tcPr>
                <w:p w14:paraId="264A1176">
                  <w:pPr>
                    <w:widowControl/>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6532A1FE">
                  <w:pPr>
                    <w:widowControl/>
                    <w:adjustRightInd w:val="0"/>
                    <w:snapToGrid w:val="0"/>
                    <w:jc w:val="center"/>
                    <w:rPr>
                      <w:szCs w:val="21"/>
                    </w:rPr>
                  </w:pPr>
                </w:p>
              </w:tc>
              <w:tc>
                <w:tcPr>
                  <w:tcW w:w="620" w:type="pct"/>
                  <w:tcMar>
                    <w:top w:w="0" w:type="dxa"/>
                    <w:left w:w="0" w:type="dxa"/>
                    <w:bottom w:w="0" w:type="dxa"/>
                    <w:right w:w="0" w:type="dxa"/>
                  </w:tcMar>
                  <w:vAlign w:val="center"/>
                </w:tcPr>
                <w:p w14:paraId="5F5850B3">
                  <w:pPr>
                    <w:widowControl/>
                    <w:adjustRightInd w:val="0"/>
                    <w:snapToGrid w:val="0"/>
                    <w:jc w:val="center"/>
                    <w:rPr>
                      <w:bCs/>
                      <w:szCs w:val="21"/>
                    </w:rPr>
                  </w:pPr>
                  <w:r>
                    <w:rPr>
                      <w:rFonts w:hint="eastAsia"/>
                      <w:bCs/>
                      <w:szCs w:val="21"/>
                    </w:rPr>
                    <w:t>达标</w:t>
                  </w:r>
                </w:p>
              </w:tc>
            </w:tr>
            <w:tr w14:paraId="10D04F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2" w:type="pct"/>
                  <w:vMerge w:val="continue"/>
                  <w:tcMar>
                    <w:top w:w="0" w:type="dxa"/>
                    <w:left w:w="0" w:type="dxa"/>
                    <w:bottom w:w="0" w:type="dxa"/>
                    <w:right w:w="0" w:type="dxa"/>
                  </w:tcMar>
                  <w:vAlign w:val="center"/>
                </w:tcPr>
                <w:p w14:paraId="48AEEEA6">
                  <w:pPr>
                    <w:jc w:val="center"/>
                    <w:rPr>
                      <w:szCs w:val="21"/>
                    </w:rPr>
                  </w:pPr>
                </w:p>
              </w:tc>
              <w:tc>
                <w:tcPr>
                  <w:tcW w:w="717" w:type="pct"/>
                  <w:vMerge w:val="continue"/>
                  <w:tcMar>
                    <w:top w:w="0" w:type="dxa"/>
                    <w:left w:w="0" w:type="dxa"/>
                    <w:bottom w:w="0" w:type="dxa"/>
                    <w:right w:w="0" w:type="dxa"/>
                  </w:tcMar>
                  <w:vAlign w:val="center"/>
                </w:tcPr>
                <w:p w14:paraId="7BDA0B31">
                  <w:pPr>
                    <w:widowControl/>
                    <w:adjustRightInd w:val="0"/>
                    <w:jc w:val="center"/>
                    <w:rPr>
                      <w:szCs w:val="21"/>
                    </w:rPr>
                  </w:pPr>
                </w:p>
              </w:tc>
              <w:tc>
                <w:tcPr>
                  <w:tcW w:w="1243" w:type="pct"/>
                  <w:tcMar>
                    <w:top w:w="0" w:type="dxa"/>
                    <w:left w:w="0" w:type="dxa"/>
                    <w:bottom w:w="0" w:type="dxa"/>
                    <w:right w:w="0" w:type="dxa"/>
                  </w:tcMar>
                  <w:vAlign w:val="center"/>
                </w:tcPr>
                <w:p w14:paraId="3688F8AA">
                  <w:pPr>
                    <w:widowControl/>
                    <w:adjustRightInd w:val="0"/>
                    <w:jc w:val="center"/>
                    <w:rPr>
                      <w:szCs w:val="21"/>
                    </w:rPr>
                  </w:pPr>
                  <w:r>
                    <w:rPr>
                      <w:rFonts w:hint="eastAsia"/>
                      <w:szCs w:val="21"/>
                    </w:rPr>
                    <w:t>厂界下风向4#</w:t>
                  </w:r>
                </w:p>
              </w:tc>
              <w:tc>
                <w:tcPr>
                  <w:tcW w:w="1144" w:type="pct"/>
                  <w:tcMar>
                    <w:top w:w="0" w:type="dxa"/>
                    <w:left w:w="0" w:type="dxa"/>
                    <w:bottom w:w="0" w:type="dxa"/>
                    <w:right w:w="0" w:type="dxa"/>
                  </w:tcMar>
                  <w:vAlign w:val="center"/>
                </w:tcPr>
                <w:p w14:paraId="55910787">
                  <w:pPr>
                    <w:widowControl/>
                    <w:adjustRightInd w:val="0"/>
                    <w:snapToGrid w:val="0"/>
                    <w:jc w:val="center"/>
                    <w:rPr>
                      <w:szCs w:val="21"/>
                    </w:rPr>
                  </w:pPr>
                  <w:r>
                    <w:rPr>
                      <w:rFonts w:hint="eastAsia"/>
                      <w:szCs w:val="21"/>
                    </w:rPr>
                    <w:t>ND</w:t>
                  </w:r>
                </w:p>
              </w:tc>
              <w:tc>
                <w:tcPr>
                  <w:tcW w:w="661" w:type="pct"/>
                  <w:vMerge w:val="continue"/>
                  <w:tcMar>
                    <w:top w:w="0" w:type="dxa"/>
                    <w:left w:w="0" w:type="dxa"/>
                    <w:bottom w:w="0" w:type="dxa"/>
                    <w:right w:w="0" w:type="dxa"/>
                  </w:tcMar>
                  <w:vAlign w:val="center"/>
                </w:tcPr>
                <w:p w14:paraId="2A809714">
                  <w:pPr>
                    <w:widowControl/>
                    <w:adjustRightInd w:val="0"/>
                    <w:snapToGrid w:val="0"/>
                    <w:jc w:val="center"/>
                    <w:rPr>
                      <w:szCs w:val="21"/>
                    </w:rPr>
                  </w:pPr>
                </w:p>
              </w:tc>
              <w:tc>
                <w:tcPr>
                  <w:tcW w:w="620" w:type="pct"/>
                  <w:tcMar>
                    <w:top w:w="0" w:type="dxa"/>
                    <w:left w:w="0" w:type="dxa"/>
                    <w:bottom w:w="0" w:type="dxa"/>
                    <w:right w:w="0" w:type="dxa"/>
                  </w:tcMar>
                  <w:vAlign w:val="center"/>
                </w:tcPr>
                <w:p w14:paraId="5DF2A8F4">
                  <w:pPr>
                    <w:widowControl/>
                    <w:adjustRightInd w:val="0"/>
                    <w:snapToGrid w:val="0"/>
                    <w:jc w:val="center"/>
                    <w:rPr>
                      <w:bCs/>
                      <w:szCs w:val="21"/>
                    </w:rPr>
                  </w:pPr>
                  <w:r>
                    <w:rPr>
                      <w:rFonts w:hint="eastAsia"/>
                      <w:bCs/>
                      <w:szCs w:val="21"/>
                    </w:rPr>
                    <w:t>达标</w:t>
                  </w:r>
                </w:p>
              </w:tc>
            </w:tr>
          </w:tbl>
          <w:p w14:paraId="05E76B7C">
            <w:pPr>
              <w:pStyle w:val="5"/>
              <w:adjustRightInd w:val="0"/>
              <w:snapToGrid w:val="0"/>
              <w:spacing w:beforeLines="50" w:line="360" w:lineRule="auto"/>
              <w:ind w:firstLine="420"/>
              <w:rPr>
                <w:szCs w:val="21"/>
              </w:rPr>
            </w:pPr>
            <w:r>
              <w:rPr>
                <w:rFonts w:hint="eastAsia"/>
                <w:szCs w:val="21"/>
              </w:rPr>
              <w:t>由以上监测结果可知，现有项目颗粒物、非甲烷总烃、二甲苯厂界无组织排放满足《橡胶制品工业污染物排放标准》（GB27632-2011）中表6标准限值；H</w:t>
            </w:r>
            <w:r>
              <w:rPr>
                <w:rFonts w:hint="eastAsia"/>
                <w:szCs w:val="21"/>
                <w:vertAlign w:val="subscript"/>
              </w:rPr>
              <w:t>2</w:t>
            </w:r>
            <w:r>
              <w:rPr>
                <w:rFonts w:hint="eastAsia"/>
                <w:szCs w:val="21"/>
              </w:rPr>
              <w:t>S厂界无组织排放满足</w:t>
            </w:r>
            <w:r>
              <w:rPr>
                <w:rFonts w:hint="eastAsia"/>
                <w:kern w:val="0"/>
                <w:szCs w:val="21"/>
              </w:rPr>
              <w:t>《恶臭污染物排放标准》（GB14554-93）中表1标准限值；氟化物无组织排放满足</w:t>
            </w:r>
            <w:r>
              <w:rPr>
                <w:szCs w:val="21"/>
              </w:rPr>
              <w:t>《大气污染物综合排放标准》（DB32/4041-2021）中表3标准限值</w:t>
            </w:r>
            <w:r>
              <w:rPr>
                <w:rFonts w:hint="eastAsia"/>
                <w:kern w:val="0"/>
                <w:szCs w:val="21"/>
              </w:rPr>
              <w:t>；乙苯无组织排放满足</w:t>
            </w:r>
            <w:r>
              <w:t>前苏联(197</w:t>
            </w:r>
            <w:r>
              <w:rPr>
                <w:rFonts w:hint="eastAsia"/>
              </w:rPr>
              <w:t>7</w:t>
            </w:r>
            <w:r>
              <w:t>）空气质量标准</w:t>
            </w:r>
            <w:r>
              <w:rPr>
                <w:rFonts w:hint="eastAsia"/>
              </w:rPr>
              <w:t>中</w:t>
            </w:r>
            <w:r>
              <w:t>日均值</w:t>
            </w:r>
            <w:r>
              <w:rPr>
                <w:rFonts w:hint="eastAsia"/>
              </w:rPr>
              <w:t>限值</w:t>
            </w:r>
            <w:r>
              <w:rPr>
                <w:rFonts w:hint="eastAsia"/>
                <w:szCs w:val="21"/>
              </w:rPr>
              <w:t>。</w:t>
            </w:r>
          </w:p>
          <w:p w14:paraId="02B95396">
            <w:pPr>
              <w:pStyle w:val="5"/>
              <w:adjustRightInd w:val="0"/>
              <w:snapToGrid w:val="0"/>
              <w:spacing w:line="360" w:lineRule="auto"/>
              <w:ind w:firstLine="422"/>
              <w:rPr>
                <w:b/>
                <w:bCs/>
                <w:szCs w:val="21"/>
              </w:rPr>
            </w:pPr>
            <w:r>
              <w:rPr>
                <w:b/>
                <w:bCs/>
                <w:szCs w:val="21"/>
              </w:rPr>
              <w:t>③基准排气量下废气排放情况</w:t>
            </w:r>
          </w:p>
          <w:p w14:paraId="3FF6CF5B">
            <w:pPr>
              <w:pStyle w:val="5"/>
              <w:adjustRightInd w:val="0"/>
              <w:snapToGrid w:val="0"/>
              <w:spacing w:line="360" w:lineRule="auto"/>
              <w:ind w:firstLine="420"/>
              <w:rPr>
                <w:szCs w:val="21"/>
              </w:rPr>
            </w:pPr>
            <w:r>
              <w:rPr>
                <w:szCs w:val="21"/>
              </w:rPr>
              <w:t>大气污染物基准气量排放浓度的换算公式为：</w:t>
            </w:r>
          </w:p>
          <w:p w14:paraId="04168B6A">
            <w:pPr>
              <w:pStyle w:val="5"/>
              <w:adjustRightInd w:val="0"/>
              <w:snapToGrid w:val="0"/>
              <w:spacing w:line="360" w:lineRule="auto"/>
              <w:ind w:firstLine="0" w:firstLineChars="0"/>
              <w:jc w:val="center"/>
            </w:pPr>
            <w:r>
              <w:drawing>
                <wp:inline distT="0" distB="0" distL="0" distR="0">
                  <wp:extent cx="1171575" cy="428625"/>
                  <wp:effectExtent l="19050" t="0" r="9525" b="0"/>
                  <wp:docPr id="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pic:cNvPicPr>
                            <a:picLocks noChangeAspect="1" noChangeArrowheads="1"/>
                          </pic:cNvPicPr>
                        </pic:nvPicPr>
                        <pic:blipFill>
                          <a:blip r:embed="rId10"/>
                          <a:srcRect l="9880" r="28539" b="15337"/>
                          <a:stretch>
                            <a:fillRect/>
                          </a:stretch>
                        </pic:blipFill>
                        <pic:spPr>
                          <a:xfrm>
                            <a:off x="0" y="0"/>
                            <a:ext cx="1171575" cy="428625"/>
                          </a:xfrm>
                          <a:prstGeom prst="rect">
                            <a:avLst/>
                          </a:prstGeom>
                          <a:noFill/>
                          <a:ln w="9525">
                            <a:noFill/>
                            <a:miter lim="800000"/>
                            <a:headEnd/>
                            <a:tailEnd/>
                          </a:ln>
                        </pic:spPr>
                      </pic:pic>
                    </a:graphicData>
                  </a:graphic>
                </wp:inline>
              </w:drawing>
            </w:r>
          </w:p>
          <w:p w14:paraId="079AAE7B">
            <w:pPr>
              <w:pStyle w:val="5"/>
              <w:adjustRightInd w:val="0"/>
              <w:snapToGrid w:val="0"/>
              <w:spacing w:line="360" w:lineRule="auto"/>
              <w:ind w:firstLine="420"/>
            </w:pPr>
            <w:r>
              <w:t>式中：</w:t>
            </w:r>
          </w:p>
          <w:p w14:paraId="153ED9CF">
            <w:pPr>
              <w:pStyle w:val="5"/>
              <w:adjustRightInd w:val="0"/>
              <w:snapToGrid w:val="0"/>
              <w:spacing w:line="360" w:lineRule="auto"/>
              <w:ind w:firstLine="420"/>
            </w:pPr>
            <w:r>
              <w:t>ρ基——大气污染物基准气量排放浓度，mg/m</w:t>
            </w:r>
            <w:r>
              <w:rPr>
                <w:vertAlign w:val="superscript"/>
              </w:rPr>
              <w:t>3</w:t>
            </w:r>
            <w:r>
              <w:t>；</w:t>
            </w:r>
          </w:p>
          <w:p w14:paraId="27C333A3">
            <w:pPr>
              <w:pStyle w:val="5"/>
              <w:adjustRightInd w:val="0"/>
              <w:snapToGrid w:val="0"/>
              <w:spacing w:line="360" w:lineRule="auto"/>
              <w:ind w:firstLine="420"/>
            </w:pPr>
            <w:r>
              <w:t>Q总——实测排气总量，m</w:t>
            </w:r>
            <w:r>
              <w:rPr>
                <w:vertAlign w:val="superscript"/>
              </w:rPr>
              <w:t>3</w:t>
            </w:r>
            <w:r>
              <w:t>；</w:t>
            </w:r>
          </w:p>
          <w:p w14:paraId="3B5DD63D">
            <w:pPr>
              <w:pStyle w:val="5"/>
              <w:adjustRightInd w:val="0"/>
              <w:snapToGrid w:val="0"/>
              <w:spacing w:line="360" w:lineRule="auto"/>
              <w:ind w:firstLine="420"/>
            </w:pPr>
            <w:r>
              <w:t>Y</w:t>
            </w:r>
            <w:r>
              <w:rPr>
                <w:vertAlign w:val="subscript"/>
              </w:rPr>
              <w:t>i</w:t>
            </w:r>
            <w:r>
              <w:t>——第i种产品胶料消耗量，t；</w:t>
            </w:r>
          </w:p>
          <w:p w14:paraId="1ACB135A">
            <w:pPr>
              <w:pStyle w:val="5"/>
              <w:adjustRightInd w:val="0"/>
              <w:snapToGrid w:val="0"/>
              <w:spacing w:line="360" w:lineRule="auto"/>
              <w:ind w:firstLine="420"/>
            </w:pPr>
            <w:r>
              <w:t>Q</w:t>
            </w:r>
            <w:r>
              <w:rPr>
                <w:vertAlign w:val="subscript"/>
              </w:rPr>
              <w:t>i基</w:t>
            </w:r>
            <w:r>
              <w:t>——第i种产品的单位胶料基准排气量，m</w:t>
            </w:r>
            <w:r>
              <w:rPr>
                <w:vertAlign w:val="superscript"/>
              </w:rPr>
              <w:t>3</w:t>
            </w:r>
            <w:r>
              <w:t>/t胶；</w:t>
            </w:r>
            <w:r>
              <w:rPr>
                <w:rFonts w:hint="eastAsia"/>
              </w:rPr>
              <w:t>2000</w:t>
            </w:r>
            <w:r>
              <w:t>m</w:t>
            </w:r>
            <w:r>
              <w:rPr>
                <w:vertAlign w:val="superscript"/>
              </w:rPr>
              <w:t>3</w:t>
            </w:r>
            <w:r>
              <w:t>/t胶</w:t>
            </w:r>
            <w:r>
              <w:rPr>
                <w:rFonts w:hint="eastAsia"/>
              </w:rPr>
              <w:t>。</w:t>
            </w:r>
          </w:p>
          <w:p w14:paraId="5F77B6CD">
            <w:pPr>
              <w:pStyle w:val="5"/>
              <w:adjustRightInd w:val="0"/>
              <w:snapToGrid w:val="0"/>
              <w:spacing w:line="360" w:lineRule="auto"/>
              <w:ind w:firstLine="420"/>
            </w:pPr>
            <w:r>
              <w:t>ρ实——实测大气污染物排放浓度，mg/m</w:t>
            </w:r>
            <w:r>
              <w:rPr>
                <w:vertAlign w:val="superscript"/>
              </w:rPr>
              <w:t>3</w:t>
            </w:r>
            <w:r>
              <w:t>。</w:t>
            </w:r>
          </w:p>
          <w:p w14:paraId="10DFB62A">
            <w:pPr>
              <w:pStyle w:val="5"/>
              <w:adjustRightInd w:val="0"/>
              <w:snapToGrid w:val="0"/>
              <w:spacing w:line="360" w:lineRule="auto"/>
              <w:ind w:firstLine="420"/>
              <w:rPr>
                <w:szCs w:val="21"/>
              </w:rPr>
            </w:pPr>
            <w:r>
              <w:rPr>
                <w:rFonts w:hint="eastAsia"/>
                <w:szCs w:val="21"/>
              </w:rPr>
              <w:t>经计算</w:t>
            </w:r>
            <w:r>
              <w:rPr>
                <w:szCs w:val="21"/>
              </w:rPr>
              <w:t>，</w:t>
            </w:r>
            <w:r>
              <w:rPr>
                <w:rFonts w:hint="eastAsia"/>
                <w:szCs w:val="21"/>
              </w:rPr>
              <w:t>现有</w:t>
            </w:r>
            <w:r>
              <w:rPr>
                <w:szCs w:val="21"/>
              </w:rPr>
              <w:t>项目单位胶料实际排气量不高于单位胶料基准排气量，故</w:t>
            </w:r>
            <w:r>
              <w:rPr>
                <w:rFonts w:hint="eastAsia"/>
              </w:rPr>
              <w:t>以大气污染物实测浓度作为判定排放是否达标的依据。</w:t>
            </w:r>
          </w:p>
          <w:p w14:paraId="65297FC5">
            <w:pPr>
              <w:pStyle w:val="5"/>
              <w:adjustRightInd w:val="0"/>
              <w:snapToGrid w:val="0"/>
              <w:spacing w:line="360" w:lineRule="auto"/>
              <w:ind w:firstLine="422"/>
              <w:rPr>
                <w:b/>
                <w:bCs/>
                <w:szCs w:val="21"/>
              </w:rPr>
            </w:pPr>
            <w:r>
              <w:rPr>
                <w:b/>
                <w:bCs/>
                <w:szCs w:val="21"/>
              </w:rPr>
              <w:t>（2）废水</w:t>
            </w:r>
          </w:p>
          <w:p w14:paraId="3467D8D9">
            <w:pPr>
              <w:pStyle w:val="5"/>
              <w:adjustRightInd w:val="0"/>
              <w:snapToGrid w:val="0"/>
              <w:spacing w:line="360" w:lineRule="auto"/>
              <w:ind w:firstLine="422"/>
              <w:rPr>
                <w:b/>
                <w:bCs/>
                <w:szCs w:val="21"/>
              </w:rPr>
            </w:pPr>
            <w:r>
              <w:rPr>
                <w:b/>
                <w:bCs/>
                <w:szCs w:val="21"/>
              </w:rPr>
              <w:t>①污水排放情况</w:t>
            </w:r>
          </w:p>
          <w:p w14:paraId="49750869">
            <w:pPr>
              <w:pStyle w:val="5"/>
              <w:adjustRightInd w:val="0"/>
              <w:snapToGrid w:val="0"/>
              <w:ind w:firstLine="0" w:firstLineChars="0"/>
              <w:jc w:val="center"/>
              <w:rPr>
                <w:b/>
                <w:bCs/>
                <w:szCs w:val="21"/>
              </w:rPr>
            </w:pPr>
            <w:r>
              <w:rPr>
                <w:b/>
                <w:bCs/>
                <w:szCs w:val="21"/>
              </w:rPr>
              <w:t>表2-15  污水排放口监测结果表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39"/>
              <w:gridCol w:w="994"/>
              <w:gridCol w:w="832"/>
              <w:gridCol w:w="1704"/>
              <w:gridCol w:w="975"/>
              <w:gridCol w:w="1106"/>
              <w:gridCol w:w="1032"/>
              <w:gridCol w:w="1107"/>
            </w:tblGrid>
            <w:tr w14:paraId="787662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3" w:type="dxa"/>
                  <w:vAlign w:val="center"/>
                </w:tcPr>
                <w:p w14:paraId="75418E1E">
                  <w:pPr>
                    <w:pStyle w:val="5"/>
                    <w:adjustRightInd w:val="0"/>
                    <w:snapToGrid w:val="0"/>
                    <w:ind w:firstLine="0" w:firstLineChars="0"/>
                    <w:jc w:val="center"/>
                    <w:rPr>
                      <w:b/>
                      <w:bCs/>
                      <w:szCs w:val="21"/>
                    </w:rPr>
                  </w:pPr>
                  <w:r>
                    <w:rPr>
                      <w:b/>
                      <w:bCs/>
                      <w:szCs w:val="21"/>
                    </w:rPr>
                    <w:t>采样位置</w:t>
                  </w:r>
                </w:p>
              </w:tc>
              <w:tc>
                <w:tcPr>
                  <w:tcW w:w="994" w:type="dxa"/>
                  <w:vAlign w:val="center"/>
                </w:tcPr>
                <w:p w14:paraId="0D2EC95B">
                  <w:pPr>
                    <w:pStyle w:val="5"/>
                    <w:adjustRightInd w:val="0"/>
                    <w:snapToGrid w:val="0"/>
                    <w:ind w:firstLine="0" w:firstLineChars="0"/>
                    <w:jc w:val="center"/>
                    <w:rPr>
                      <w:b/>
                      <w:bCs/>
                      <w:szCs w:val="21"/>
                    </w:rPr>
                  </w:pPr>
                  <w:r>
                    <w:rPr>
                      <w:b/>
                      <w:bCs/>
                      <w:szCs w:val="21"/>
                    </w:rPr>
                    <w:t>采样日期</w:t>
                  </w:r>
                </w:p>
              </w:tc>
              <w:tc>
                <w:tcPr>
                  <w:tcW w:w="837" w:type="dxa"/>
                  <w:vAlign w:val="center"/>
                </w:tcPr>
                <w:p w14:paraId="57270872">
                  <w:pPr>
                    <w:pStyle w:val="5"/>
                    <w:adjustRightInd w:val="0"/>
                    <w:snapToGrid w:val="0"/>
                    <w:ind w:firstLine="0" w:firstLineChars="0"/>
                    <w:jc w:val="center"/>
                    <w:rPr>
                      <w:b/>
                      <w:bCs/>
                      <w:szCs w:val="21"/>
                    </w:rPr>
                  </w:pPr>
                  <w:r>
                    <w:rPr>
                      <w:b/>
                      <w:bCs/>
                      <w:szCs w:val="21"/>
                    </w:rPr>
                    <w:t>样品性状</w:t>
                  </w:r>
                </w:p>
              </w:tc>
              <w:tc>
                <w:tcPr>
                  <w:tcW w:w="1715" w:type="dxa"/>
                  <w:vAlign w:val="center"/>
                </w:tcPr>
                <w:p w14:paraId="4E9FCDAF">
                  <w:pPr>
                    <w:pStyle w:val="5"/>
                    <w:adjustRightInd w:val="0"/>
                    <w:snapToGrid w:val="0"/>
                    <w:ind w:firstLine="0" w:firstLineChars="0"/>
                    <w:jc w:val="center"/>
                    <w:rPr>
                      <w:b/>
                      <w:bCs/>
                      <w:szCs w:val="21"/>
                    </w:rPr>
                  </w:pPr>
                  <w:r>
                    <w:rPr>
                      <w:b/>
                      <w:bCs/>
                      <w:szCs w:val="21"/>
                    </w:rPr>
                    <w:t>检测项目</w:t>
                  </w:r>
                </w:p>
              </w:tc>
              <w:tc>
                <w:tcPr>
                  <w:tcW w:w="975" w:type="dxa"/>
                  <w:vAlign w:val="center"/>
                </w:tcPr>
                <w:p w14:paraId="747F3240">
                  <w:pPr>
                    <w:pStyle w:val="5"/>
                    <w:adjustRightInd w:val="0"/>
                    <w:snapToGrid w:val="0"/>
                    <w:ind w:firstLine="0" w:firstLineChars="0"/>
                    <w:jc w:val="center"/>
                    <w:rPr>
                      <w:b/>
                      <w:bCs/>
                      <w:szCs w:val="21"/>
                    </w:rPr>
                  </w:pPr>
                  <w:r>
                    <w:rPr>
                      <w:b/>
                      <w:bCs/>
                      <w:szCs w:val="21"/>
                    </w:rPr>
                    <w:t>检测结果（mg/L）</w:t>
                  </w:r>
                </w:p>
              </w:tc>
              <w:tc>
                <w:tcPr>
                  <w:tcW w:w="1107" w:type="dxa"/>
                  <w:vAlign w:val="center"/>
                </w:tcPr>
                <w:p w14:paraId="2F877197">
                  <w:pPr>
                    <w:pStyle w:val="5"/>
                    <w:adjustRightInd w:val="0"/>
                    <w:snapToGrid w:val="0"/>
                    <w:ind w:firstLine="0" w:firstLineChars="0"/>
                    <w:jc w:val="center"/>
                    <w:rPr>
                      <w:b/>
                      <w:bCs/>
                      <w:szCs w:val="21"/>
                    </w:rPr>
                  </w:pPr>
                  <w:r>
                    <w:rPr>
                      <w:b/>
                      <w:bCs/>
                      <w:szCs w:val="21"/>
                    </w:rPr>
                    <w:t>执行标准（mg/L）</w:t>
                  </w:r>
                </w:p>
              </w:tc>
              <w:tc>
                <w:tcPr>
                  <w:tcW w:w="1039" w:type="dxa"/>
                  <w:vAlign w:val="center"/>
                </w:tcPr>
                <w:p w14:paraId="75E29741">
                  <w:pPr>
                    <w:widowControl/>
                    <w:adjustRightInd w:val="0"/>
                    <w:jc w:val="center"/>
                    <w:rPr>
                      <w:b/>
                      <w:bCs/>
                      <w:szCs w:val="21"/>
                    </w:rPr>
                  </w:pPr>
                  <w:r>
                    <w:rPr>
                      <w:b/>
                      <w:bCs/>
                      <w:szCs w:val="21"/>
                    </w:rPr>
                    <w:t>达标情况</w:t>
                  </w:r>
                </w:p>
              </w:tc>
              <w:tc>
                <w:tcPr>
                  <w:tcW w:w="1108" w:type="dxa"/>
                  <w:vAlign w:val="center"/>
                </w:tcPr>
                <w:p w14:paraId="2EFA9F1A">
                  <w:pPr>
                    <w:widowControl/>
                    <w:adjustRightInd w:val="0"/>
                    <w:jc w:val="center"/>
                    <w:rPr>
                      <w:b/>
                      <w:bCs/>
                      <w:szCs w:val="21"/>
                    </w:rPr>
                  </w:pPr>
                  <w:r>
                    <w:rPr>
                      <w:b/>
                      <w:bCs/>
                      <w:szCs w:val="21"/>
                    </w:rPr>
                    <w:t>接管标准（mg/L）</w:t>
                  </w:r>
                </w:p>
              </w:tc>
            </w:tr>
            <w:tr w14:paraId="74A15A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3" w:type="dxa"/>
                  <w:vMerge w:val="restart"/>
                  <w:vAlign w:val="center"/>
                </w:tcPr>
                <w:p w14:paraId="17EB9CA9">
                  <w:pPr>
                    <w:pStyle w:val="5"/>
                    <w:adjustRightInd w:val="0"/>
                    <w:snapToGrid w:val="0"/>
                    <w:ind w:firstLine="0" w:firstLineChars="0"/>
                    <w:jc w:val="center"/>
                    <w:rPr>
                      <w:szCs w:val="21"/>
                    </w:rPr>
                  </w:pPr>
                  <w:r>
                    <w:rPr>
                      <w:szCs w:val="21"/>
                    </w:rPr>
                    <w:t>污水排放口</w:t>
                  </w:r>
                </w:p>
              </w:tc>
              <w:tc>
                <w:tcPr>
                  <w:tcW w:w="994" w:type="dxa"/>
                  <w:vMerge w:val="restart"/>
                  <w:vAlign w:val="center"/>
                </w:tcPr>
                <w:p w14:paraId="31E695AF">
                  <w:pPr>
                    <w:pStyle w:val="5"/>
                    <w:adjustRightInd w:val="0"/>
                    <w:snapToGrid w:val="0"/>
                    <w:ind w:firstLine="0" w:firstLineChars="0"/>
                    <w:jc w:val="center"/>
                    <w:rPr>
                      <w:szCs w:val="21"/>
                    </w:rPr>
                  </w:pPr>
                  <w:r>
                    <w:rPr>
                      <w:szCs w:val="21"/>
                    </w:rPr>
                    <w:t>2024.</w:t>
                  </w:r>
                  <w:r>
                    <w:rPr>
                      <w:rFonts w:hint="eastAsia"/>
                      <w:szCs w:val="21"/>
                    </w:rPr>
                    <w:t>11.13</w:t>
                  </w:r>
                </w:p>
              </w:tc>
              <w:tc>
                <w:tcPr>
                  <w:tcW w:w="837" w:type="dxa"/>
                  <w:vMerge w:val="restart"/>
                  <w:vAlign w:val="center"/>
                </w:tcPr>
                <w:p w14:paraId="05ECAD2A">
                  <w:pPr>
                    <w:pStyle w:val="5"/>
                    <w:adjustRightInd w:val="0"/>
                    <w:snapToGrid w:val="0"/>
                    <w:ind w:firstLine="0" w:firstLineChars="0"/>
                    <w:jc w:val="center"/>
                    <w:rPr>
                      <w:szCs w:val="21"/>
                    </w:rPr>
                  </w:pPr>
                  <w:r>
                    <w:rPr>
                      <w:szCs w:val="21"/>
                    </w:rPr>
                    <w:t>浅黄</w:t>
                  </w:r>
                  <w:r>
                    <w:rPr>
                      <w:rFonts w:hint="eastAsia"/>
                      <w:szCs w:val="21"/>
                    </w:rPr>
                    <w:t>/弱</w:t>
                  </w:r>
                </w:p>
              </w:tc>
              <w:tc>
                <w:tcPr>
                  <w:tcW w:w="1715" w:type="dxa"/>
                  <w:vAlign w:val="center"/>
                </w:tcPr>
                <w:p w14:paraId="65E320AD">
                  <w:pPr>
                    <w:pStyle w:val="5"/>
                    <w:adjustRightInd w:val="0"/>
                    <w:snapToGrid w:val="0"/>
                    <w:ind w:firstLine="0" w:firstLineChars="0"/>
                    <w:jc w:val="center"/>
                    <w:rPr>
                      <w:szCs w:val="21"/>
                    </w:rPr>
                  </w:pPr>
                  <w:r>
                    <w:rPr>
                      <w:szCs w:val="21"/>
                    </w:rPr>
                    <w:t>pH值（无量纲）</w:t>
                  </w:r>
                </w:p>
              </w:tc>
              <w:tc>
                <w:tcPr>
                  <w:tcW w:w="975" w:type="dxa"/>
                  <w:vAlign w:val="center"/>
                </w:tcPr>
                <w:p w14:paraId="2092F6CB">
                  <w:pPr>
                    <w:pStyle w:val="5"/>
                    <w:adjustRightInd w:val="0"/>
                    <w:snapToGrid w:val="0"/>
                    <w:ind w:firstLine="0" w:firstLineChars="0"/>
                    <w:jc w:val="center"/>
                    <w:rPr>
                      <w:szCs w:val="21"/>
                    </w:rPr>
                  </w:pPr>
                  <w:r>
                    <w:rPr>
                      <w:rFonts w:hint="eastAsia"/>
                      <w:szCs w:val="21"/>
                    </w:rPr>
                    <w:t>7.6</w:t>
                  </w:r>
                </w:p>
              </w:tc>
              <w:tc>
                <w:tcPr>
                  <w:tcW w:w="1107" w:type="dxa"/>
                  <w:vAlign w:val="center"/>
                </w:tcPr>
                <w:p w14:paraId="628816DA">
                  <w:pPr>
                    <w:pStyle w:val="5"/>
                    <w:adjustRightInd w:val="0"/>
                    <w:snapToGrid w:val="0"/>
                    <w:ind w:firstLine="0" w:firstLineChars="0"/>
                    <w:jc w:val="center"/>
                    <w:rPr>
                      <w:szCs w:val="21"/>
                    </w:rPr>
                  </w:pPr>
                  <w:r>
                    <w:rPr>
                      <w:szCs w:val="21"/>
                    </w:rPr>
                    <w:t>6-9</w:t>
                  </w:r>
                </w:p>
              </w:tc>
              <w:tc>
                <w:tcPr>
                  <w:tcW w:w="1039" w:type="dxa"/>
                  <w:vAlign w:val="center"/>
                </w:tcPr>
                <w:p w14:paraId="6CC98AE0">
                  <w:pPr>
                    <w:widowControl/>
                    <w:adjustRightInd w:val="0"/>
                    <w:jc w:val="center"/>
                    <w:rPr>
                      <w:bCs/>
                      <w:szCs w:val="21"/>
                    </w:rPr>
                  </w:pPr>
                  <w:r>
                    <w:rPr>
                      <w:bCs/>
                      <w:szCs w:val="21"/>
                    </w:rPr>
                    <w:t>达标</w:t>
                  </w:r>
                </w:p>
              </w:tc>
              <w:tc>
                <w:tcPr>
                  <w:tcW w:w="1108" w:type="dxa"/>
                  <w:vAlign w:val="center"/>
                </w:tcPr>
                <w:p w14:paraId="5ABF3C7C">
                  <w:pPr>
                    <w:widowControl/>
                    <w:adjustRightInd w:val="0"/>
                    <w:jc w:val="center"/>
                    <w:rPr>
                      <w:bCs/>
                      <w:szCs w:val="21"/>
                    </w:rPr>
                  </w:pPr>
                  <w:r>
                    <w:rPr>
                      <w:bCs/>
                      <w:szCs w:val="21"/>
                    </w:rPr>
                    <w:t>6-9</w:t>
                  </w:r>
                </w:p>
              </w:tc>
            </w:tr>
            <w:tr w14:paraId="199D81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3" w:type="dxa"/>
                  <w:vMerge w:val="continue"/>
                  <w:vAlign w:val="center"/>
                </w:tcPr>
                <w:p w14:paraId="3FA4568A">
                  <w:pPr>
                    <w:pStyle w:val="5"/>
                    <w:adjustRightInd w:val="0"/>
                    <w:snapToGrid w:val="0"/>
                    <w:ind w:firstLine="0" w:firstLineChars="0"/>
                    <w:jc w:val="center"/>
                    <w:rPr>
                      <w:szCs w:val="21"/>
                    </w:rPr>
                  </w:pPr>
                </w:p>
              </w:tc>
              <w:tc>
                <w:tcPr>
                  <w:tcW w:w="994" w:type="dxa"/>
                  <w:vMerge w:val="continue"/>
                  <w:vAlign w:val="center"/>
                </w:tcPr>
                <w:p w14:paraId="12976ADD">
                  <w:pPr>
                    <w:pStyle w:val="5"/>
                    <w:adjustRightInd w:val="0"/>
                    <w:snapToGrid w:val="0"/>
                    <w:ind w:firstLine="0" w:firstLineChars="0"/>
                    <w:jc w:val="center"/>
                    <w:rPr>
                      <w:szCs w:val="21"/>
                    </w:rPr>
                  </w:pPr>
                </w:p>
              </w:tc>
              <w:tc>
                <w:tcPr>
                  <w:tcW w:w="837" w:type="dxa"/>
                  <w:vMerge w:val="continue"/>
                  <w:vAlign w:val="center"/>
                </w:tcPr>
                <w:p w14:paraId="0354B03A">
                  <w:pPr>
                    <w:pStyle w:val="5"/>
                    <w:adjustRightInd w:val="0"/>
                    <w:snapToGrid w:val="0"/>
                    <w:ind w:firstLine="0" w:firstLineChars="0"/>
                    <w:jc w:val="center"/>
                    <w:rPr>
                      <w:szCs w:val="21"/>
                    </w:rPr>
                  </w:pPr>
                </w:p>
              </w:tc>
              <w:tc>
                <w:tcPr>
                  <w:tcW w:w="1715" w:type="dxa"/>
                  <w:vAlign w:val="center"/>
                </w:tcPr>
                <w:p w14:paraId="1E2790FA">
                  <w:pPr>
                    <w:pStyle w:val="5"/>
                    <w:adjustRightInd w:val="0"/>
                    <w:snapToGrid w:val="0"/>
                    <w:ind w:firstLine="0" w:firstLineChars="0"/>
                    <w:jc w:val="center"/>
                    <w:rPr>
                      <w:szCs w:val="21"/>
                    </w:rPr>
                  </w:pPr>
                  <w:r>
                    <w:rPr>
                      <w:szCs w:val="21"/>
                    </w:rPr>
                    <w:t>化学需氧量</w:t>
                  </w:r>
                </w:p>
              </w:tc>
              <w:tc>
                <w:tcPr>
                  <w:tcW w:w="975" w:type="dxa"/>
                  <w:vAlign w:val="center"/>
                </w:tcPr>
                <w:p w14:paraId="55FB2CA2">
                  <w:pPr>
                    <w:pStyle w:val="5"/>
                    <w:adjustRightInd w:val="0"/>
                    <w:snapToGrid w:val="0"/>
                    <w:ind w:firstLine="0" w:firstLineChars="0"/>
                    <w:jc w:val="center"/>
                    <w:rPr>
                      <w:szCs w:val="21"/>
                    </w:rPr>
                  </w:pPr>
                  <w:r>
                    <w:rPr>
                      <w:rFonts w:hint="eastAsia"/>
                      <w:szCs w:val="21"/>
                    </w:rPr>
                    <w:t>345</w:t>
                  </w:r>
                </w:p>
              </w:tc>
              <w:tc>
                <w:tcPr>
                  <w:tcW w:w="1107" w:type="dxa"/>
                  <w:vAlign w:val="center"/>
                </w:tcPr>
                <w:p w14:paraId="6A61F4C7">
                  <w:pPr>
                    <w:pStyle w:val="5"/>
                    <w:adjustRightInd w:val="0"/>
                    <w:snapToGrid w:val="0"/>
                    <w:ind w:firstLine="0" w:firstLineChars="0"/>
                    <w:jc w:val="center"/>
                    <w:rPr>
                      <w:szCs w:val="21"/>
                    </w:rPr>
                  </w:pPr>
                  <w:r>
                    <w:rPr>
                      <w:rFonts w:hint="eastAsia"/>
                      <w:szCs w:val="21"/>
                    </w:rPr>
                    <w:t>300</w:t>
                  </w:r>
                </w:p>
              </w:tc>
              <w:tc>
                <w:tcPr>
                  <w:tcW w:w="1039" w:type="dxa"/>
                  <w:vAlign w:val="center"/>
                </w:tcPr>
                <w:p w14:paraId="0CF16DA5">
                  <w:pPr>
                    <w:widowControl/>
                    <w:adjustRightInd w:val="0"/>
                    <w:jc w:val="center"/>
                    <w:rPr>
                      <w:bCs/>
                      <w:szCs w:val="21"/>
                    </w:rPr>
                  </w:pPr>
                  <w:r>
                    <w:rPr>
                      <w:bCs/>
                      <w:szCs w:val="21"/>
                    </w:rPr>
                    <w:t>达标</w:t>
                  </w:r>
                </w:p>
              </w:tc>
              <w:tc>
                <w:tcPr>
                  <w:tcW w:w="1108" w:type="dxa"/>
                  <w:vAlign w:val="center"/>
                </w:tcPr>
                <w:p w14:paraId="6689E917">
                  <w:pPr>
                    <w:widowControl/>
                    <w:adjustRightInd w:val="0"/>
                    <w:jc w:val="center"/>
                    <w:rPr>
                      <w:bCs/>
                      <w:szCs w:val="21"/>
                    </w:rPr>
                  </w:pPr>
                  <w:r>
                    <w:rPr>
                      <w:bCs/>
                      <w:szCs w:val="21"/>
                    </w:rPr>
                    <w:t>500</w:t>
                  </w:r>
                </w:p>
              </w:tc>
            </w:tr>
            <w:tr w14:paraId="21F83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43" w:type="dxa"/>
                  <w:vMerge w:val="continue"/>
                  <w:vAlign w:val="center"/>
                </w:tcPr>
                <w:p w14:paraId="79C6A44C">
                  <w:pPr>
                    <w:pStyle w:val="5"/>
                    <w:adjustRightInd w:val="0"/>
                    <w:snapToGrid w:val="0"/>
                    <w:ind w:firstLine="0" w:firstLineChars="0"/>
                    <w:jc w:val="center"/>
                    <w:rPr>
                      <w:szCs w:val="21"/>
                    </w:rPr>
                  </w:pPr>
                </w:p>
              </w:tc>
              <w:tc>
                <w:tcPr>
                  <w:tcW w:w="994" w:type="dxa"/>
                  <w:vMerge w:val="continue"/>
                  <w:vAlign w:val="center"/>
                </w:tcPr>
                <w:p w14:paraId="0712FB2D">
                  <w:pPr>
                    <w:pStyle w:val="5"/>
                    <w:adjustRightInd w:val="0"/>
                    <w:snapToGrid w:val="0"/>
                    <w:ind w:firstLine="0" w:firstLineChars="0"/>
                    <w:jc w:val="center"/>
                    <w:rPr>
                      <w:szCs w:val="21"/>
                    </w:rPr>
                  </w:pPr>
                </w:p>
              </w:tc>
              <w:tc>
                <w:tcPr>
                  <w:tcW w:w="837" w:type="dxa"/>
                  <w:vMerge w:val="continue"/>
                  <w:vAlign w:val="center"/>
                </w:tcPr>
                <w:p w14:paraId="03414BC8">
                  <w:pPr>
                    <w:pStyle w:val="5"/>
                    <w:adjustRightInd w:val="0"/>
                    <w:snapToGrid w:val="0"/>
                    <w:ind w:firstLine="0" w:firstLineChars="0"/>
                    <w:jc w:val="center"/>
                    <w:rPr>
                      <w:szCs w:val="21"/>
                    </w:rPr>
                  </w:pPr>
                </w:p>
              </w:tc>
              <w:tc>
                <w:tcPr>
                  <w:tcW w:w="1715" w:type="dxa"/>
                  <w:vAlign w:val="center"/>
                </w:tcPr>
                <w:p w14:paraId="1BC8F91C">
                  <w:pPr>
                    <w:pStyle w:val="5"/>
                    <w:adjustRightInd w:val="0"/>
                    <w:snapToGrid w:val="0"/>
                    <w:ind w:firstLine="0" w:firstLineChars="0"/>
                    <w:jc w:val="center"/>
                    <w:rPr>
                      <w:szCs w:val="21"/>
                    </w:rPr>
                  </w:pPr>
                  <w:r>
                    <w:rPr>
                      <w:szCs w:val="21"/>
                    </w:rPr>
                    <w:t>氨氮</w:t>
                  </w:r>
                </w:p>
              </w:tc>
              <w:tc>
                <w:tcPr>
                  <w:tcW w:w="975" w:type="dxa"/>
                  <w:vAlign w:val="center"/>
                </w:tcPr>
                <w:p w14:paraId="69A71520">
                  <w:pPr>
                    <w:pStyle w:val="5"/>
                    <w:adjustRightInd w:val="0"/>
                    <w:snapToGrid w:val="0"/>
                    <w:ind w:firstLine="0" w:firstLineChars="0"/>
                    <w:jc w:val="center"/>
                    <w:rPr>
                      <w:szCs w:val="21"/>
                    </w:rPr>
                  </w:pPr>
                  <w:r>
                    <w:rPr>
                      <w:rFonts w:hint="eastAsia"/>
                      <w:szCs w:val="21"/>
                    </w:rPr>
                    <w:t>2.68</w:t>
                  </w:r>
                </w:p>
              </w:tc>
              <w:tc>
                <w:tcPr>
                  <w:tcW w:w="1107" w:type="dxa"/>
                  <w:vAlign w:val="center"/>
                </w:tcPr>
                <w:p w14:paraId="17EA29EE">
                  <w:pPr>
                    <w:pStyle w:val="5"/>
                    <w:adjustRightInd w:val="0"/>
                    <w:snapToGrid w:val="0"/>
                    <w:ind w:firstLine="0" w:firstLineChars="0"/>
                    <w:jc w:val="center"/>
                    <w:rPr>
                      <w:szCs w:val="21"/>
                    </w:rPr>
                  </w:pPr>
                  <w:r>
                    <w:rPr>
                      <w:rFonts w:hint="eastAsia"/>
                      <w:szCs w:val="21"/>
                    </w:rPr>
                    <w:t>30</w:t>
                  </w:r>
                </w:p>
              </w:tc>
              <w:tc>
                <w:tcPr>
                  <w:tcW w:w="1039" w:type="dxa"/>
                  <w:vAlign w:val="center"/>
                </w:tcPr>
                <w:p w14:paraId="36B994B8">
                  <w:pPr>
                    <w:widowControl/>
                    <w:adjustRightInd w:val="0"/>
                    <w:jc w:val="center"/>
                    <w:rPr>
                      <w:bCs/>
                      <w:szCs w:val="21"/>
                    </w:rPr>
                  </w:pPr>
                  <w:r>
                    <w:rPr>
                      <w:bCs/>
                      <w:szCs w:val="21"/>
                    </w:rPr>
                    <w:t>达标</w:t>
                  </w:r>
                </w:p>
              </w:tc>
              <w:tc>
                <w:tcPr>
                  <w:tcW w:w="1108" w:type="dxa"/>
                  <w:vAlign w:val="center"/>
                </w:tcPr>
                <w:p w14:paraId="710BB7C4">
                  <w:pPr>
                    <w:widowControl/>
                    <w:adjustRightInd w:val="0"/>
                    <w:jc w:val="center"/>
                    <w:rPr>
                      <w:bCs/>
                      <w:szCs w:val="21"/>
                    </w:rPr>
                  </w:pPr>
                  <w:r>
                    <w:rPr>
                      <w:bCs/>
                      <w:szCs w:val="21"/>
                    </w:rPr>
                    <w:t>35</w:t>
                  </w:r>
                </w:p>
              </w:tc>
            </w:tr>
            <w:tr w14:paraId="70327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43" w:type="dxa"/>
                  <w:vMerge w:val="continue"/>
                  <w:vAlign w:val="center"/>
                </w:tcPr>
                <w:p w14:paraId="78A0C0D5">
                  <w:pPr>
                    <w:pStyle w:val="5"/>
                    <w:adjustRightInd w:val="0"/>
                    <w:snapToGrid w:val="0"/>
                    <w:ind w:firstLine="0" w:firstLineChars="0"/>
                    <w:jc w:val="center"/>
                    <w:rPr>
                      <w:szCs w:val="21"/>
                    </w:rPr>
                  </w:pPr>
                </w:p>
              </w:tc>
              <w:tc>
                <w:tcPr>
                  <w:tcW w:w="994" w:type="dxa"/>
                  <w:vMerge w:val="continue"/>
                  <w:vAlign w:val="center"/>
                </w:tcPr>
                <w:p w14:paraId="567D178E">
                  <w:pPr>
                    <w:pStyle w:val="5"/>
                    <w:adjustRightInd w:val="0"/>
                    <w:snapToGrid w:val="0"/>
                    <w:ind w:firstLine="0" w:firstLineChars="0"/>
                    <w:jc w:val="center"/>
                    <w:rPr>
                      <w:szCs w:val="21"/>
                    </w:rPr>
                  </w:pPr>
                </w:p>
              </w:tc>
              <w:tc>
                <w:tcPr>
                  <w:tcW w:w="837" w:type="dxa"/>
                  <w:vMerge w:val="continue"/>
                  <w:vAlign w:val="center"/>
                </w:tcPr>
                <w:p w14:paraId="1F312A2D">
                  <w:pPr>
                    <w:pStyle w:val="5"/>
                    <w:adjustRightInd w:val="0"/>
                    <w:snapToGrid w:val="0"/>
                    <w:ind w:firstLine="0" w:firstLineChars="0"/>
                    <w:jc w:val="center"/>
                    <w:rPr>
                      <w:szCs w:val="21"/>
                    </w:rPr>
                  </w:pPr>
                </w:p>
              </w:tc>
              <w:tc>
                <w:tcPr>
                  <w:tcW w:w="1715" w:type="dxa"/>
                  <w:vAlign w:val="center"/>
                </w:tcPr>
                <w:p w14:paraId="2CA2A442">
                  <w:pPr>
                    <w:pStyle w:val="5"/>
                    <w:adjustRightInd w:val="0"/>
                    <w:snapToGrid w:val="0"/>
                    <w:ind w:firstLine="0" w:firstLineChars="0"/>
                    <w:jc w:val="center"/>
                    <w:rPr>
                      <w:szCs w:val="21"/>
                    </w:rPr>
                  </w:pPr>
                  <w:r>
                    <w:rPr>
                      <w:szCs w:val="21"/>
                    </w:rPr>
                    <w:t>总磷</w:t>
                  </w:r>
                </w:p>
              </w:tc>
              <w:tc>
                <w:tcPr>
                  <w:tcW w:w="975" w:type="dxa"/>
                  <w:vAlign w:val="center"/>
                </w:tcPr>
                <w:p w14:paraId="3C010E96">
                  <w:pPr>
                    <w:pStyle w:val="5"/>
                    <w:adjustRightInd w:val="0"/>
                    <w:snapToGrid w:val="0"/>
                    <w:ind w:firstLine="0" w:firstLineChars="0"/>
                    <w:jc w:val="center"/>
                    <w:rPr>
                      <w:szCs w:val="21"/>
                    </w:rPr>
                  </w:pPr>
                  <w:r>
                    <w:rPr>
                      <w:rFonts w:hint="eastAsia"/>
                      <w:szCs w:val="21"/>
                    </w:rPr>
                    <w:t>3.06</w:t>
                  </w:r>
                </w:p>
              </w:tc>
              <w:tc>
                <w:tcPr>
                  <w:tcW w:w="1107" w:type="dxa"/>
                  <w:vAlign w:val="center"/>
                </w:tcPr>
                <w:p w14:paraId="360BA8E5">
                  <w:pPr>
                    <w:pStyle w:val="5"/>
                    <w:adjustRightInd w:val="0"/>
                    <w:snapToGrid w:val="0"/>
                    <w:ind w:firstLine="0" w:firstLineChars="0"/>
                    <w:jc w:val="center"/>
                    <w:rPr>
                      <w:szCs w:val="21"/>
                    </w:rPr>
                  </w:pPr>
                  <w:r>
                    <w:rPr>
                      <w:rFonts w:hint="eastAsia"/>
                      <w:szCs w:val="21"/>
                    </w:rPr>
                    <w:t>1.0</w:t>
                  </w:r>
                </w:p>
              </w:tc>
              <w:tc>
                <w:tcPr>
                  <w:tcW w:w="1039" w:type="dxa"/>
                  <w:vAlign w:val="center"/>
                </w:tcPr>
                <w:p w14:paraId="748DDA35">
                  <w:pPr>
                    <w:widowControl/>
                    <w:jc w:val="center"/>
                    <w:rPr>
                      <w:szCs w:val="21"/>
                    </w:rPr>
                  </w:pPr>
                  <w:r>
                    <w:rPr>
                      <w:bCs/>
                      <w:szCs w:val="21"/>
                    </w:rPr>
                    <w:t>达标</w:t>
                  </w:r>
                </w:p>
              </w:tc>
              <w:tc>
                <w:tcPr>
                  <w:tcW w:w="1108" w:type="dxa"/>
                  <w:vAlign w:val="center"/>
                </w:tcPr>
                <w:p w14:paraId="6791D925">
                  <w:pPr>
                    <w:widowControl/>
                    <w:jc w:val="center"/>
                    <w:rPr>
                      <w:bCs/>
                      <w:szCs w:val="21"/>
                    </w:rPr>
                  </w:pPr>
                  <w:r>
                    <w:rPr>
                      <w:bCs/>
                      <w:szCs w:val="21"/>
                    </w:rPr>
                    <w:t>3</w:t>
                  </w:r>
                </w:p>
              </w:tc>
            </w:tr>
            <w:tr w14:paraId="7053FD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43" w:type="dxa"/>
                  <w:vMerge w:val="continue"/>
                  <w:vAlign w:val="center"/>
                </w:tcPr>
                <w:p w14:paraId="10F3EF39">
                  <w:pPr>
                    <w:pStyle w:val="5"/>
                    <w:adjustRightInd w:val="0"/>
                    <w:snapToGrid w:val="0"/>
                    <w:ind w:firstLine="0" w:firstLineChars="0"/>
                    <w:jc w:val="center"/>
                    <w:rPr>
                      <w:szCs w:val="21"/>
                    </w:rPr>
                  </w:pPr>
                </w:p>
              </w:tc>
              <w:tc>
                <w:tcPr>
                  <w:tcW w:w="994" w:type="dxa"/>
                  <w:vMerge w:val="continue"/>
                  <w:vAlign w:val="center"/>
                </w:tcPr>
                <w:p w14:paraId="3AE350FA">
                  <w:pPr>
                    <w:pStyle w:val="5"/>
                    <w:adjustRightInd w:val="0"/>
                    <w:snapToGrid w:val="0"/>
                    <w:ind w:firstLine="0" w:firstLineChars="0"/>
                    <w:jc w:val="center"/>
                    <w:rPr>
                      <w:szCs w:val="21"/>
                    </w:rPr>
                  </w:pPr>
                </w:p>
              </w:tc>
              <w:tc>
                <w:tcPr>
                  <w:tcW w:w="837" w:type="dxa"/>
                  <w:vMerge w:val="continue"/>
                  <w:vAlign w:val="center"/>
                </w:tcPr>
                <w:p w14:paraId="2820A331">
                  <w:pPr>
                    <w:pStyle w:val="5"/>
                    <w:adjustRightInd w:val="0"/>
                    <w:snapToGrid w:val="0"/>
                    <w:ind w:firstLine="0" w:firstLineChars="0"/>
                    <w:jc w:val="center"/>
                    <w:rPr>
                      <w:szCs w:val="21"/>
                    </w:rPr>
                  </w:pPr>
                </w:p>
              </w:tc>
              <w:tc>
                <w:tcPr>
                  <w:tcW w:w="1715" w:type="dxa"/>
                  <w:vAlign w:val="center"/>
                </w:tcPr>
                <w:p w14:paraId="21D414C8">
                  <w:pPr>
                    <w:pStyle w:val="5"/>
                    <w:adjustRightInd w:val="0"/>
                    <w:snapToGrid w:val="0"/>
                    <w:ind w:firstLine="0" w:firstLineChars="0"/>
                    <w:jc w:val="center"/>
                    <w:rPr>
                      <w:szCs w:val="21"/>
                    </w:rPr>
                  </w:pPr>
                  <w:r>
                    <w:rPr>
                      <w:szCs w:val="21"/>
                    </w:rPr>
                    <w:t>总氮</w:t>
                  </w:r>
                </w:p>
              </w:tc>
              <w:tc>
                <w:tcPr>
                  <w:tcW w:w="975" w:type="dxa"/>
                  <w:vAlign w:val="center"/>
                </w:tcPr>
                <w:p w14:paraId="51039221">
                  <w:pPr>
                    <w:pStyle w:val="5"/>
                    <w:adjustRightInd w:val="0"/>
                    <w:snapToGrid w:val="0"/>
                    <w:ind w:firstLine="0" w:firstLineChars="0"/>
                    <w:jc w:val="center"/>
                    <w:rPr>
                      <w:szCs w:val="21"/>
                    </w:rPr>
                  </w:pPr>
                  <w:r>
                    <w:rPr>
                      <w:rFonts w:hint="eastAsia"/>
                      <w:szCs w:val="21"/>
                    </w:rPr>
                    <w:t>27.8</w:t>
                  </w:r>
                </w:p>
              </w:tc>
              <w:tc>
                <w:tcPr>
                  <w:tcW w:w="1107" w:type="dxa"/>
                  <w:vAlign w:val="center"/>
                </w:tcPr>
                <w:p w14:paraId="5CE988F8">
                  <w:pPr>
                    <w:pStyle w:val="5"/>
                    <w:adjustRightInd w:val="0"/>
                    <w:snapToGrid w:val="0"/>
                    <w:ind w:firstLine="0" w:firstLineChars="0"/>
                    <w:jc w:val="center"/>
                    <w:rPr>
                      <w:szCs w:val="21"/>
                    </w:rPr>
                  </w:pPr>
                  <w:r>
                    <w:rPr>
                      <w:rFonts w:hint="eastAsia"/>
                      <w:szCs w:val="21"/>
                    </w:rPr>
                    <w:t>40</w:t>
                  </w:r>
                </w:p>
              </w:tc>
              <w:tc>
                <w:tcPr>
                  <w:tcW w:w="1039" w:type="dxa"/>
                  <w:vAlign w:val="center"/>
                </w:tcPr>
                <w:p w14:paraId="37A10D5D">
                  <w:pPr>
                    <w:widowControl/>
                    <w:adjustRightInd w:val="0"/>
                    <w:snapToGrid w:val="0"/>
                    <w:jc w:val="center"/>
                    <w:rPr>
                      <w:szCs w:val="21"/>
                    </w:rPr>
                  </w:pPr>
                  <w:r>
                    <w:rPr>
                      <w:bCs/>
                      <w:szCs w:val="21"/>
                    </w:rPr>
                    <w:t>达标</w:t>
                  </w:r>
                </w:p>
              </w:tc>
              <w:tc>
                <w:tcPr>
                  <w:tcW w:w="1108" w:type="dxa"/>
                  <w:vAlign w:val="center"/>
                </w:tcPr>
                <w:p w14:paraId="09B7854F">
                  <w:pPr>
                    <w:widowControl/>
                    <w:adjustRightInd w:val="0"/>
                    <w:snapToGrid w:val="0"/>
                    <w:jc w:val="center"/>
                    <w:rPr>
                      <w:bCs/>
                      <w:szCs w:val="21"/>
                    </w:rPr>
                  </w:pPr>
                  <w:r>
                    <w:rPr>
                      <w:bCs/>
                      <w:szCs w:val="21"/>
                    </w:rPr>
                    <w:t>50</w:t>
                  </w:r>
                </w:p>
              </w:tc>
            </w:tr>
          </w:tbl>
          <w:p w14:paraId="7658CC2D">
            <w:pPr>
              <w:pStyle w:val="5"/>
              <w:adjustRightInd w:val="0"/>
              <w:snapToGrid w:val="0"/>
              <w:spacing w:line="360" w:lineRule="auto"/>
              <w:ind w:firstLine="420"/>
              <w:rPr>
                <w:szCs w:val="21"/>
              </w:rPr>
            </w:pPr>
            <w:r>
              <w:rPr>
                <w:szCs w:val="21"/>
              </w:rPr>
              <w:t>由以上监测结果可知，现有项目厂区污水排放口</w:t>
            </w:r>
            <w:r>
              <w:rPr>
                <w:rFonts w:hint="eastAsia"/>
                <w:szCs w:val="21"/>
              </w:rPr>
              <w:t>化学需氧量和总磷指标不能满足《橡胶制品工业污染物排放标准》（GB27632-2011）中表2新建企业水污染物排放限值，其余</w:t>
            </w:r>
            <w:r>
              <w:rPr>
                <w:szCs w:val="21"/>
              </w:rPr>
              <w:t>污染物浓度能够满足</w:t>
            </w:r>
            <w:r>
              <w:rPr>
                <w:rFonts w:hint="eastAsia"/>
                <w:szCs w:val="21"/>
              </w:rPr>
              <w:t>《橡胶制品工业污染物排放标准》（GB27632-2011）中表2新建企业水污染物排放限值</w:t>
            </w:r>
            <w:r>
              <w:rPr>
                <w:szCs w:val="21"/>
              </w:rPr>
              <w:t>及常州金坛区第二污水处理有限公司接管标准要求。</w:t>
            </w:r>
          </w:p>
          <w:p w14:paraId="273FC720">
            <w:pPr>
              <w:pStyle w:val="5"/>
              <w:adjustRightInd w:val="0"/>
              <w:snapToGrid w:val="0"/>
              <w:spacing w:line="360" w:lineRule="auto"/>
              <w:ind w:firstLine="420"/>
              <w:rPr>
                <w:szCs w:val="21"/>
              </w:rPr>
            </w:pPr>
            <w:r>
              <w:rPr>
                <w:rFonts w:hint="eastAsia"/>
                <w:szCs w:val="21"/>
              </w:rPr>
              <w:t>超标原因为采样时隔油池有沉积，常州朗博密封科技股份有限公司应定期清理隔油池，确保生活污水能够达标接管。</w:t>
            </w:r>
          </w:p>
          <w:p w14:paraId="349953B1">
            <w:pPr>
              <w:pStyle w:val="5"/>
              <w:adjustRightInd w:val="0"/>
              <w:snapToGrid w:val="0"/>
              <w:spacing w:line="360" w:lineRule="auto"/>
              <w:ind w:firstLine="422"/>
              <w:rPr>
                <w:snapToGrid w:val="0"/>
                <w:kern w:val="0"/>
                <w:szCs w:val="21"/>
              </w:rPr>
            </w:pPr>
            <w:r>
              <w:rPr>
                <w:rFonts w:hint="eastAsia"/>
                <w:b/>
                <w:bCs/>
                <w:snapToGrid w:val="0"/>
                <w:kern w:val="0"/>
                <w:szCs w:val="21"/>
              </w:rPr>
              <w:t>②基准排水量下污水排放情况</w:t>
            </w:r>
          </w:p>
          <w:p w14:paraId="08D85D2C">
            <w:pPr>
              <w:pStyle w:val="5"/>
              <w:adjustRightInd w:val="0"/>
              <w:snapToGrid w:val="0"/>
              <w:spacing w:line="360" w:lineRule="auto"/>
              <w:ind w:firstLine="420"/>
              <w:rPr>
                <w:szCs w:val="21"/>
              </w:rPr>
            </w:pPr>
            <w:r>
              <w:rPr>
                <w:rFonts w:hint="eastAsia"/>
                <w:szCs w:val="21"/>
              </w:rPr>
              <w:t>水污染物基准水量排放浓度的换算公式为：</w:t>
            </w:r>
          </w:p>
          <w:p w14:paraId="1902D055">
            <w:pPr>
              <w:pStyle w:val="5"/>
              <w:adjustRightInd w:val="0"/>
              <w:snapToGrid w:val="0"/>
              <w:spacing w:line="360" w:lineRule="auto"/>
              <w:ind w:firstLine="0" w:firstLineChars="0"/>
              <w:jc w:val="center"/>
            </w:pPr>
            <w:r>
              <w:drawing>
                <wp:inline distT="0" distB="0" distL="0" distR="0">
                  <wp:extent cx="1171575" cy="428625"/>
                  <wp:effectExtent l="19050" t="0" r="9525" b="0"/>
                  <wp:docPr id="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pic:cNvPicPr>
                            <a:picLocks noChangeAspect="1" noChangeArrowheads="1"/>
                          </pic:cNvPicPr>
                        </pic:nvPicPr>
                        <pic:blipFill>
                          <a:blip r:embed="rId10"/>
                          <a:srcRect l="9880" r="28539" b="15337"/>
                          <a:stretch>
                            <a:fillRect/>
                          </a:stretch>
                        </pic:blipFill>
                        <pic:spPr>
                          <a:xfrm>
                            <a:off x="0" y="0"/>
                            <a:ext cx="1171575" cy="428625"/>
                          </a:xfrm>
                          <a:prstGeom prst="rect">
                            <a:avLst/>
                          </a:prstGeom>
                          <a:noFill/>
                          <a:ln w="9525">
                            <a:noFill/>
                            <a:miter lim="800000"/>
                            <a:headEnd/>
                            <a:tailEnd/>
                          </a:ln>
                        </pic:spPr>
                      </pic:pic>
                    </a:graphicData>
                  </a:graphic>
                </wp:inline>
              </w:drawing>
            </w:r>
          </w:p>
          <w:p w14:paraId="10B71BE4">
            <w:pPr>
              <w:pStyle w:val="5"/>
              <w:adjustRightInd w:val="0"/>
              <w:snapToGrid w:val="0"/>
              <w:spacing w:line="360" w:lineRule="auto"/>
              <w:ind w:firstLine="420"/>
            </w:pPr>
            <w:r>
              <w:rPr>
                <w:rFonts w:hint="eastAsia"/>
              </w:rPr>
              <w:t>式中：</w:t>
            </w:r>
          </w:p>
          <w:p w14:paraId="6E881E8B">
            <w:pPr>
              <w:pStyle w:val="5"/>
              <w:adjustRightInd w:val="0"/>
              <w:snapToGrid w:val="0"/>
              <w:spacing w:line="360" w:lineRule="auto"/>
              <w:ind w:firstLine="420"/>
            </w:pPr>
            <w:r>
              <w:t>ρ基——</w:t>
            </w:r>
            <w:r>
              <w:rPr>
                <w:rFonts w:hint="eastAsia"/>
              </w:rPr>
              <w:t>水</w:t>
            </w:r>
            <w:r>
              <w:t>污染物基准</w:t>
            </w:r>
            <w:r>
              <w:rPr>
                <w:rFonts w:hint="eastAsia"/>
              </w:rPr>
              <w:t>水</w:t>
            </w:r>
            <w:r>
              <w:t>量排放浓度，mg/</w:t>
            </w:r>
            <w:r>
              <w:rPr>
                <w:rFonts w:hint="eastAsia"/>
              </w:rPr>
              <w:t>L</w:t>
            </w:r>
            <w:r>
              <w:t>；</w:t>
            </w:r>
          </w:p>
          <w:p w14:paraId="52BB00E6">
            <w:pPr>
              <w:pStyle w:val="5"/>
              <w:adjustRightInd w:val="0"/>
              <w:snapToGrid w:val="0"/>
              <w:spacing w:line="360" w:lineRule="auto"/>
              <w:ind w:firstLine="420"/>
            </w:pPr>
            <w:r>
              <w:t>Q总——实测排</w:t>
            </w:r>
            <w:r>
              <w:rPr>
                <w:rFonts w:hint="eastAsia"/>
              </w:rPr>
              <w:t>水</w:t>
            </w:r>
            <w:r>
              <w:t>总量，m</w:t>
            </w:r>
            <w:r>
              <w:rPr>
                <w:vertAlign w:val="superscript"/>
              </w:rPr>
              <w:t>3</w:t>
            </w:r>
            <w:r>
              <w:t>；</w:t>
            </w:r>
          </w:p>
          <w:p w14:paraId="1C87AF35">
            <w:pPr>
              <w:pStyle w:val="5"/>
              <w:adjustRightInd w:val="0"/>
              <w:snapToGrid w:val="0"/>
              <w:spacing w:line="360" w:lineRule="auto"/>
              <w:ind w:firstLine="420"/>
            </w:pPr>
            <w:r>
              <w:t>Y</w:t>
            </w:r>
            <w:r>
              <w:rPr>
                <w:vertAlign w:val="subscript"/>
              </w:rPr>
              <w:t>i</w:t>
            </w:r>
            <w:r>
              <w:t>——第i种产品胶料消耗量</w:t>
            </w:r>
            <w:r>
              <w:rPr>
                <w:rFonts w:hint="eastAsia"/>
              </w:rPr>
              <w:t>，</w:t>
            </w:r>
            <w:r>
              <w:t>t；</w:t>
            </w:r>
          </w:p>
          <w:p w14:paraId="44A00C84">
            <w:pPr>
              <w:pStyle w:val="5"/>
              <w:adjustRightInd w:val="0"/>
              <w:snapToGrid w:val="0"/>
              <w:spacing w:line="360" w:lineRule="auto"/>
              <w:ind w:firstLine="420"/>
            </w:pPr>
            <w:r>
              <w:t>Q</w:t>
            </w:r>
            <w:r>
              <w:rPr>
                <w:vertAlign w:val="subscript"/>
              </w:rPr>
              <w:t>i基</w:t>
            </w:r>
            <w:r>
              <w:t>——第i种产品的单位胶料基准排</w:t>
            </w:r>
            <w:r>
              <w:rPr>
                <w:rFonts w:hint="eastAsia"/>
              </w:rPr>
              <w:t>水</w:t>
            </w:r>
            <w:r>
              <w:t>量，m</w:t>
            </w:r>
            <w:r>
              <w:rPr>
                <w:vertAlign w:val="superscript"/>
              </w:rPr>
              <w:t>3</w:t>
            </w:r>
            <w:r>
              <w:t>/t胶；</w:t>
            </w:r>
          </w:p>
          <w:p w14:paraId="4959C3A1">
            <w:pPr>
              <w:pStyle w:val="5"/>
              <w:adjustRightInd w:val="0"/>
              <w:snapToGrid w:val="0"/>
              <w:spacing w:line="360" w:lineRule="auto"/>
              <w:ind w:firstLine="420"/>
            </w:pPr>
            <w:r>
              <w:t>ρ实——实测</w:t>
            </w:r>
            <w:r>
              <w:rPr>
                <w:rFonts w:hint="eastAsia"/>
              </w:rPr>
              <w:t>水</w:t>
            </w:r>
            <w:r>
              <w:t>污染物排放浓度，mg/</w:t>
            </w:r>
            <w:r>
              <w:rPr>
                <w:rFonts w:hint="eastAsia"/>
              </w:rPr>
              <w:t>L</w:t>
            </w:r>
            <w:r>
              <w:t>。</w:t>
            </w:r>
          </w:p>
          <w:p w14:paraId="741073BF">
            <w:pPr>
              <w:pStyle w:val="5"/>
              <w:adjustRightInd w:val="0"/>
              <w:snapToGrid w:val="0"/>
              <w:spacing w:line="360" w:lineRule="auto"/>
              <w:ind w:left="420" w:leftChars="200" w:firstLine="0" w:firstLineChars="0"/>
            </w:pPr>
            <w:r>
              <w:rPr>
                <w:rFonts w:hint="eastAsia"/>
              </w:rPr>
              <w:t>现有项目排水总量为3600m</w:t>
            </w:r>
            <w:r>
              <w:rPr>
                <w:rFonts w:hint="eastAsia"/>
                <w:vertAlign w:val="superscript"/>
              </w:rPr>
              <w:t>3</w:t>
            </w:r>
            <w:r>
              <w:rPr>
                <w:rFonts w:hint="eastAsia"/>
              </w:rPr>
              <w:t>，胶料消耗量为950t，单位胶料基准排水量为7</w:t>
            </w:r>
            <w:r>
              <w:t>m</w:t>
            </w:r>
            <w:r>
              <w:rPr>
                <w:vertAlign w:val="superscript"/>
              </w:rPr>
              <w:t>3</w:t>
            </w:r>
            <w:r>
              <w:t>/t胶</w:t>
            </w:r>
            <w:r>
              <w:rPr>
                <w:rFonts w:hint="eastAsia"/>
              </w:rPr>
              <w:t>，</w:t>
            </w:r>
          </w:p>
          <w:p w14:paraId="115C1780">
            <w:pPr>
              <w:pStyle w:val="5"/>
              <w:adjustRightInd w:val="0"/>
              <w:snapToGrid w:val="0"/>
              <w:spacing w:line="360" w:lineRule="auto"/>
              <w:ind w:firstLine="0" w:firstLineChars="0"/>
              <w:jc w:val="left"/>
            </w:pPr>
            <w:r>
              <w:t>Q</w:t>
            </w:r>
            <w:r>
              <w:rPr>
                <w:rFonts w:hint="eastAsia"/>
                <w:vertAlign w:val="subscript"/>
              </w:rPr>
              <w:t>总</w:t>
            </w:r>
            <w:r>
              <w:rPr>
                <w:rFonts w:hint="eastAsia"/>
              </w:rPr>
              <w:t>与∑</w:t>
            </w:r>
            <w:r>
              <w:t>Y</w:t>
            </w:r>
            <w:r>
              <w:rPr>
                <w:vertAlign w:val="subscript"/>
              </w:rPr>
              <w:t>i</w:t>
            </w:r>
            <w:r>
              <w:rPr>
                <w:rFonts w:hint="eastAsia"/>
                <w:vertAlign w:val="subscript"/>
              </w:rPr>
              <w:t>*</w:t>
            </w:r>
            <w:r>
              <w:t>Q</w:t>
            </w:r>
            <w:r>
              <w:rPr>
                <w:vertAlign w:val="subscript"/>
              </w:rPr>
              <w:t>i基</w:t>
            </w:r>
            <w:r>
              <w:rPr>
                <w:rFonts w:hint="eastAsia"/>
              </w:rPr>
              <w:t>的比值小于1，则以水污染物实测浓度作为判定排放是否达标的依据。</w:t>
            </w:r>
          </w:p>
          <w:p w14:paraId="3DD2E553">
            <w:pPr>
              <w:pStyle w:val="5"/>
              <w:adjustRightInd w:val="0"/>
              <w:snapToGrid w:val="0"/>
              <w:spacing w:line="360" w:lineRule="auto"/>
              <w:ind w:firstLine="422"/>
              <w:rPr>
                <w:b/>
                <w:bCs/>
                <w:szCs w:val="21"/>
              </w:rPr>
            </w:pPr>
            <w:r>
              <w:rPr>
                <w:b/>
                <w:bCs/>
                <w:szCs w:val="21"/>
              </w:rPr>
              <w:t>（3）噪声</w:t>
            </w:r>
          </w:p>
          <w:p w14:paraId="62244798">
            <w:pPr>
              <w:pStyle w:val="5"/>
              <w:adjustRightInd w:val="0"/>
              <w:snapToGrid w:val="0"/>
              <w:ind w:firstLine="0" w:firstLineChars="0"/>
              <w:jc w:val="center"/>
              <w:rPr>
                <w:b/>
                <w:bCs/>
                <w:szCs w:val="21"/>
              </w:rPr>
            </w:pPr>
            <w:r>
              <w:rPr>
                <w:b/>
                <w:bCs/>
                <w:szCs w:val="21"/>
              </w:rPr>
              <w:t>表2-17  噪声监测结果表</w:t>
            </w:r>
          </w:p>
          <w:tbl>
            <w:tblPr>
              <w:tblStyle w:val="25"/>
              <w:tblW w:w="8389" w:type="dxa"/>
              <w:jc w:val="center"/>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950"/>
              <w:gridCol w:w="1604"/>
              <w:gridCol w:w="1185"/>
              <w:gridCol w:w="1154"/>
              <w:gridCol w:w="1185"/>
              <w:gridCol w:w="1154"/>
              <w:gridCol w:w="1157"/>
            </w:tblGrid>
            <w:tr w14:paraId="6EC6C03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restart"/>
                  <w:vAlign w:val="center"/>
                </w:tcPr>
                <w:p w14:paraId="269152D8">
                  <w:pPr>
                    <w:pStyle w:val="69"/>
                    <w:adjustRightInd w:val="0"/>
                    <w:snapToGrid w:val="0"/>
                    <w:jc w:val="center"/>
                    <w:rPr>
                      <w:rFonts w:ascii="Times New Roman" w:cs="Times New Roman"/>
                      <w:b/>
                      <w:snapToGrid w:val="0"/>
                      <w:kern w:val="0"/>
                      <w:sz w:val="21"/>
                      <w:szCs w:val="21"/>
                    </w:rPr>
                  </w:pPr>
                  <w:r>
                    <w:rPr>
                      <w:rFonts w:ascii="Times New Roman" w:cs="Times New Roman"/>
                      <w:b/>
                      <w:snapToGrid w:val="0"/>
                      <w:kern w:val="0"/>
                      <w:sz w:val="21"/>
                      <w:szCs w:val="21"/>
                    </w:rPr>
                    <w:t>日期</w:t>
                  </w:r>
                </w:p>
              </w:tc>
              <w:tc>
                <w:tcPr>
                  <w:tcW w:w="1610" w:type="dxa"/>
                  <w:vMerge w:val="restart"/>
                  <w:vAlign w:val="center"/>
                </w:tcPr>
                <w:p w14:paraId="6DF99C7D">
                  <w:pPr>
                    <w:pStyle w:val="69"/>
                    <w:adjustRightInd w:val="0"/>
                    <w:snapToGrid w:val="0"/>
                    <w:jc w:val="center"/>
                    <w:rPr>
                      <w:rFonts w:ascii="Times New Roman" w:cs="Times New Roman"/>
                      <w:b/>
                      <w:snapToGrid w:val="0"/>
                      <w:kern w:val="0"/>
                      <w:sz w:val="21"/>
                      <w:szCs w:val="21"/>
                    </w:rPr>
                  </w:pPr>
                  <w:r>
                    <w:rPr>
                      <w:rFonts w:ascii="Times New Roman" w:cs="Times New Roman"/>
                      <w:b/>
                      <w:snapToGrid w:val="0"/>
                      <w:kern w:val="0"/>
                      <w:sz w:val="21"/>
                      <w:szCs w:val="21"/>
                    </w:rPr>
                    <w:t>检测点位</w:t>
                  </w:r>
                </w:p>
              </w:tc>
              <w:tc>
                <w:tcPr>
                  <w:tcW w:w="5854" w:type="dxa"/>
                  <w:gridSpan w:val="5"/>
                  <w:vAlign w:val="center"/>
                </w:tcPr>
                <w:p w14:paraId="698415ED">
                  <w:pPr>
                    <w:pStyle w:val="69"/>
                    <w:adjustRightInd w:val="0"/>
                    <w:snapToGrid w:val="0"/>
                    <w:jc w:val="center"/>
                    <w:rPr>
                      <w:rFonts w:ascii="Times New Roman" w:cs="Times New Roman"/>
                      <w:b/>
                      <w:snapToGrid w:val="0"/>
                      <w:kern w:val="0"/>
                      <w:sz w:val="21"/>
                      <w:szCs w:val="21"/>
                    </w:rPr>
                  </w:pPr>
                  <w:r>
                    <w:rPr>
                      <w:rFonts w:ascii="Times New Roman" w:cs="Times New Roman"/>
                      <w:b/>
                      <w:snapToGrid w:val="0"/>
                      <w:kern w:val="0"/>
                      <w:sz w:val="21"/>
                      <w:szCs w:val="21"/>
                    </w:rPr>
                    <w:t>厂界噪声（dB（A））</w:t>
                  </w:r>
                </w:p>
              </w:tc>
            </w:tr>
            <w:tr w14:paraId="20DA3F1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continue"/>
                  <w:vAlign w:val="center"/>
                </w:tcPr>
                <w:p w14:paraId="359D0113">
                  <w:pPr>
                    <w:autoSpaceDE w:val="0"/>
                    <w:autoSpaceDN w:val="0"/>
                    <w:adjustRightInd w:val="0"/>
                    <w:snapToGrid w:val="0"/>
                    <w:jc w:val="center"/>
                    <w:rPr>
                      <w:snapToGrid w:val="0"/>
                      <w:kern w:val="0"/>
                      <w:szCs w:val="21"/>
                    </w:rPr>
                  </w:pPr>
                </w:p>
              </w:tc>
              <w:tc>
                <w:tcPr>
                  <w:tcW w:w="1610" w:type="dxa"/>
                  <w:vMerge w:val="continue"/>
                  <w:vAlign w:val="center"/>
                </w:tcPr>
                <w:p w14:paraId="786F35A6">
                  <w:pPr>
                    <w:autoSpaceDE w:val="0"/>
                    <w:autoSpaceDN w:val="0"/>
                    <w:adjustRightInd w:val="0"/>
                    <w:snapToGrid w:val="0"/>
                    <w:jc w:val="center"/>
                    <w:rPr>
                      <w:snapToGrid w:val="0"/>
                      <w:kern w:val="0"/>
                      <w:szCs w:val="21"/>
                    </w:rPr>
                  </w:pPr>
                </w:p>
              </w:tc>
              <w:tc>
                <w:tcPr>
                  <w:tcW w:w="1189" w:type="dxa"/>
                  <w:vAlign w:val="center"/>
                </w:tcPr>
                <w:p w14:paraId="330BD1E7">
                  <w:pPr>
                    <w:pStyle w:val="69"/>
                    <w:adjustRightInd w:val="0"/>
                    <w:snapToGrid w:val="0"/>
                    <w:jc w:val="center"/>
                    <w:rPr>
                      <w:rFonts w:ascii="Times New Roman" w:cs="Times New Roman"/>
                      <w:b/>
                      <w:snapToGrid w:val="0"/>
                      <w:kern w:val="0"/>
                      <w:sz w:val="21"/>
                      <w:szCs w:val="21"/>
                    </w:rPr>
                  </w:pPr>
                  <w:r>
                    <w:rPr>
                      <w:rFonts w:ascii="Times New Roman" w:cs="Times New Roman"/>
                      <w:b/>
                      <w:snapToGrid w:val="0"/>
                      <w:kern w:val="0"/>
                      <w:sz w:val="21"/>
                      <w:szCs w:val="21"/>
                    </w:rPr>
                    <w:t>昼间检测值</w:t>
                  </w:r>
                </w:p>
              </w:tc>
              <w:tc>
                <w:tcPr>
                  <w:tcW w:w="1158" w:type="dxa"/>
                  <w:vAlign w:val="center"/>
                </w:tcPr>
                <w:p w14:paraId="19C42246">
                  <w:pPr>
                    <w:pStyle w:val="69"/>
                    <w:adjustRightInd w:val="0"/>
                    <w:snapToGrid w:val="0"/>
                    <w:jc w:val="center"/>
                    <w:rPr>
                      <w:rFonts w:ascii="Times New Roman" w:cs="Times New Roman"/>
                      <w:b/>
                      <w:snapToGrid w:val="0"/>
                      <w:kern w:val="0"/>
                      <w:sz w:val="21"/>
                      <w:szCs w:val="21"/>
                    </w:rPr>
                  </w:pPr>
                  <w:r>
                    <w:rPr>
                      <w:rFonts w:ascii="Times New Roman" w:cs="Times New Roman"/>
                      <w:b/>
                      <w:snapToGrid w:val="0"/>
                      <w:kern w:val="0"/>
                      <w:sz w:val="21"/>
                      <w:szCs w:val="21"/>
                    </w:rPr>
                    <w:t>标准值</w:t>
                  </w:r>
                </w:p>
              </w:tc>
              <w:tc>
                <w:tcPr>
                  <w:tcW w:w="1189" w:type="dxa"/>
                  <w:vAlign w:val="center"/>
                </w:tcPr>
                <w:p w14:paraId="02CA5BCE">
                  <w:pPr>
                    <w:pStyle w:val="69"/>
                    <w:adjustRightInd w:val="0"/>
                    <w:snapToGrid w:val="0"/>
                    <w:jc w:val="center"/>
                    <w:rPr>
                      <w:rFonts w:ascii="Times New Roman" w:cs="Times New Roman"/>
                      <w:b/>
                      <w:snapToGrid w:val="0"/>
                      <w:kern w:val="0"/>
                      <w:sz w:val="21"/>
                      <w:szCs w:val="21"/>
                    </w:rPr>
                  </w:pPr>
                  <w:r>
                    <w:rPr>
                      <w:rFonts w:ascii="Times New Roman" w:cs="Times New Roman"/>
                      <w:b/>
                      <w:snapToGrid w:val="0"/>
                      <w:kern w:val="0"/>
                      <w:sz w:val="21"/>
                      <w:szCs w:val="21"/>
                    </w:rPr>
                    <w:t>夜间检测值</w:t>
                  </w:r>
                </w:p>
              </w:tc>
              <w:tc>
                <w:tcPr>
                  <w:tcW w:w="1158" w:type="dxa"/>
                  <w:vAlign w:val="center"/>
                </w:tcPr>
                <w:p w14:paraId="65836C5F">
                  <w:pPr>
                    <w:pStyle w:val="69"/>
                    <w:adjustRightInd w:val="0"/>
                    <w:snapToGrid w:val="0"/>
                    <w:jc w:val="center"/>
                    <w:rPr>
                      <w:rFonts w:ascii="Times New Roman" w:cs="Times New Roman"/>
                      <w:b/>
                      <w:snapToGrid w:val="0"/>
                      <w:kern w:val="0"/>
                      <w:sz w:val="21"/>
                      <w:szCs w:val="21"/>
                    </w:rPr>
                  </w:pPr>
                  <w:r>
                    <w:rPr>
                      <w:rFonts w:ascii="Times New Roman" w:cs="Times New Roman"/>
                      <w:b/>
                      <w:snapToGrid w:val="0"/>
                      <w:kern w:val="0"/>
                      <w:sz w:val="21"/>
                      <w:szCs w:val="21"/>
                    </w:rPr>
                    <w:t>标准值</w:t>
                  </w:r>
                </w:p>
              </w:tc>
              <w:tc>
                <w:tcPr>
                  <w:tcW w:w="1160" w:type="dxa"/>
                  <w:vAlign w:val="center"/>
                </w:tcPr>
                <w:p w14:paraId="7BC870F6">
                  <w:pPr>
                    <w:widowControl/>
                    <w:adjustRightInd w:val="0"/>
                    <w:jc w:val="center"/>
                    <w:rPr>
                      <w:b/>
                      <w:bCs/>
                      <w:szCs w:val="21"/>
                    </w:rPr>
                  </w:pPr>
                  <w:r>
                    <w:rPr>
                      <w:b/>
                      <w:bCs/>
                      <w:szCs w:val="21"/>
                    </w:rPr>
                    <w:t>达标情况</w:t>
                  </w:r>
                </w:p>
              </w:tc>
            </w:tr>
            <w:tr w14:paraId="101B663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restart"/>
                  <w:vAlign w:val="center"/>
                </w:tcPr>
                <w:p w14:paraId="53A99D04">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2024.</w:t>
                  </w:r>
                  <w:r>
                    <w:rPr>
                      <w:rFonts w:hint="eastAsia" w:ascii="Times New Roman" w:cs="Times New Roman"/>
                      <w:snapToGrid w:val="0"/>
                      <w:kern w:val="0"/>
                      <w:sz w:val="21"/>
                      <w:szCs w:val="21"/>
                    </w:rPr>
                    <w:t>11.13</w:t>
                  </w:r>
                </w:p>
              </w:tc>
              <w:tc>
                <w:tcPr>
                  <w:tcW w:w="1610" w:type="dxa"/>
                  <w:vAlign w:val="center"/>
                </w:tcPr>
                <w:p w14:paraId="0747B05C">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东厂界</w:t>
                  </w:r>
                  <w:r>
                    <w:rPr>
                      <w:rFonts w:hint="eastAsia" w:ascii="Times New Roman" w:cs="Times New Roman"/>
                      <w:snapToGrid w:val="0"/>
                      <w:kern w:val="0"/>
                      <w:sz w:val="21"/>
                      <w:szCs w:val="21"/>
                    </w:rPr>
                    <w:t>1#</w:t>
                  </w:r>
                </w:p>
              </w:tc>
              <w:tc>
                <w:tcPr>
                  <w:tcW w:w="1189" w:type="dxa"/>
                  <w:vAlign w:val="center"/>
                </w:tcPr>
                <w:p w14:paraId="15A7FE66">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56</w:t>
                  </w:r>
                </w:p>
              </w:tc>
              <w:tc>
                <w:tcPr>
                  <w:tcW w:w="1158" w:type="dxa"/>
                  <w:vAlign w:val="center"/>
                </w:tcPr>
                <w:p w14:paraId="66E0905F">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65</w:t>
                  </w:r>
                </w:p>
              </w:tc>
              <w:tc>
                <w:tcPr>
                  <w:tcW w:w="1189" w:type="dxa"/>
                  <w:vAlign w:val="center"/>
                </w:tcPr>
                <w:p w14:paraId="58FA9C97">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48</w:t>
                  </w:r>
                </w:p>
              </w:tc>
              <w:tc>
                <w:tcPr>
                  <w:tcW w:w="1158" w:type="dxa"/>
                  <w:vAlign w:val="center"/>
                </w:tcPr>
                <w:p w14:paraId="6C494DD4">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55</w:t>
                  </w:r>
                </w:p>
              </w:tc>
              <w:tc>
                <w:tcPr>
                  <w:tcW w:w="1160" w:type="dxa"/>
                  <w:vAlign w:val="center"/>
                </w:tcPr>
                <w:p w14:paraId="52695DC2">
                  <w:pPr>
                    <w:widowControl/>
                    <w:adjustRightInd w:val="0"/>
                    <w:jc w:val="center"/>
                    <w:rPr>
                      <w:bCs/>
                      <w:szCs w:val="21"/>
                    </w:rPr>
                  </w:pPr>
                  <w:r>
                    <w:rPr>
                      <w:bCs/>
                      <w:szCs w:val="21"/>
                    </w:rPr>
                    <w:t>达标</w:t>
                  </w:r>
                </w:p>
              </w:tc>
            </w:tr>
            <w:tr w14:paraId="0F88A249">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continue"/>
                  <w:vAlign w:val="center"/>
                </w:tcPr>
                <w:p w14:paraId="2F32DF0C">
                  <w:pPr>
                    <w:autoSpaceDE w:val="0"/>
                    <w:autoSpaceDN w:val="0"/>
                    <w:adjustRightInd w:val="0"/>
                    <w:snapToGrid w:val="0"/>
                    <w:jc w:val="center"/>
                    <w:rPr>
                      <w:snapToGrid w:val="0"/>
                      <w:kern w:val="0"/>
                      <w:szCs w:val="21"/>
                    </w:rPr>
                  </w:pPr>
                </w:p>
              </w:tc>
              <w:tc>
                <w:tcPr>
                  <w:tcW w:w="1610" w:type="dxa"/>
                  <w:vAlign w:val="center"/>
                </w:tcPr>
                <w:p w14:paraId="7B1CC8C2">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西</w:t>
                  </w:r>
                  <w:r>
                    <w:rPr>
                      <w:rFonts w:ascii="Times New Roman" w:cs="Times New Roman"/>
                      <w:snapToGrid w:val="0"/>
                      <w:kern w:val="0"/>
                      <w:sz w:val="21"/>
                      <w:szCs w:val="21"/>
                    </w:rPr>
                    <w:t>厂界</w:t>
                  </w:r>
                  <w:r>
                    <w:rPr>
                      <w:rFonts w:hint="eastAsia" w:ascii="Times New Roman" w:cs="Times New Roman"/>
                      <w:snapToGrid w:val="0"/>
                      <w:kern w:val="0"/>
                      <w:sz w:val="21"/>
                      <w:szCs w:val="21"/>
                    </w:rPr>
                    <w:t>2#</w:t>
                  </w:r>
                </w:p>
              </w:tc>
              <w:tc>
                <w:tcPr>
                  <w:tcW w:w="1189" w:type="dxa"/>
                  <w:vAlign w:val="center"/>
                </w:tcPr>
                <w:p w14:paraId="0D56CC04">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62</w:t>
                  </w:r>
                </w:p>
              </w:tc>
              <w:tc>
                <w:tcPr>
                  <w:tcW w:w="1158" w:type="dxa"/>
                  <w:vAlign w:val="center"/>
                </w:tcPr>
                <w:p w14:paraId="6208E7F0">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65</w:t>
                  </w:r>
                </w:p>
              </w:tc>
              <w:tc>
                <w:tcPr>
                  <w:tcW w:w="1189" w:type="dxa"/>
                  <w:vAlign w:val="center"/>
                </w:tcPr>
                <w:p w14:paraId="59CE9500">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52</w:t>
                  </w:r>
                </w:p>
              </w:tc>
              <w:tc>
                <w:tcPr>
                  <w:tcW w:w="1158" w:type="dxa"/>
                  <w:vAlign w:val="center"/>
                </w:tcPr>
                <w:p w14:paraId="7FFEA592">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55</w:t>
                  </w:r>
                </w:p>
              </w:tc>
              <w:tc>
                <w:tcPr>
                  <w:tcW w:w="1160" w:type="dxa"/>
                  <w:vAlign w:val="center"/>
                </w:tcPr>
                <w:p w14:paraId="7D438074">
                  <w:pPr>
                    <w:widowControl/>
                    <w:adjustRightInd w:val="0"/>
                    <w:jc w:val="center"/>
                    <w:rPr>
                      <w:bCs/>
                      <w:szCs w:val="21"/>
                    </w:rPr>
                  </w:pPr>
                  <w:r>
                    <w:rPr>
                      <w:bCs/>
                      <w:szCs w:val="21"/>
                    </w:rPr>
                    <w:t>达标</w:t>
                  </w:r>
                </w:p>
              </w:tc>
            </w:tr>
            <w:tr w14:paraId="708AC2D8">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continue"/>
                  <w:vAlign w:val="center"/>
                </w:tcPr>
                <w:p w14:paraId="0D8C9733">
                  <w:pPr>
                    <w:pStyle w:val="69"/>
                    <w:adjustRightInd w:val="0"/>
                    <w:snapToGrid w:val="0"/>
                    <w:jc w:val="center"/>
                    <w:rPr>
                      <w:rFonts w:ascii="Times New Roman" w:cs="Times New Roman"/>
                      <w:snapToGrid w:val="0"/>
                      <w:kern w:val="0"/>
                      <w:sz w:val="21"/>
                      <w:szCs w:val="21"/>
                    </w:rPr>
                  </w:pPr>
                </w:p>
              </w:tc>
              <w:tc>
                <w:tcPr>
                  <w:tcW w:w="1610" w:type="dxa"/>
                  <w:vAlign w:val="center"/>
                </w:tcPr>
                <w:p w14:paraId="3B186509">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北</w:t>
                  </w:r>
                  <w:r>
                    <w:rPr>
                      <w:rFonts w:ascii="Times New Roman" w:cs="Times New Roman"/>
                      <w:snapToGrid w:val="0"/>
                      <w:kern w:val="0"/>
                      <w:sz w:val="21"/>
                      <w:szCs w:val="21"/>
                    </w:rPr>
                    <w:t>厂界</w:t>
                  </w:r>
                  <w:r>
                    <w:rPr>
                      <w:rFonts w:hint="eastAsia" w:ascii="Times New Roman" w:cs="Times New Roman"/>
                      <w:snapToGrid w:val="0"/>
                      <w:kern w:val="0"/>
                      <w:sz w:val="21"/>
                      <w:szCs w:val="21"/>
                    </w:rPr>
                    <w:t>3#</w:t>
                  </w:r>
                </w:p>
              </w:tc>
              <w:tc>
                <w:tcPr>
                  <w:tcW w:w="1189" w:type="dxa"/>
                  <w:vAlign w:val="center"/>
                </w:tcPr>
                <w:p w14:paraId="07379551">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60</w:t>
                  </w:r>
                </w:p>
              </w:tc>
              <w:tc>
                <w:tcPr>
                  <w:tcW w:w="1158" w:type="dxa"/>
                  <w:vAlign w:val="center"/>
                </w:tcPr>
                <w:p w14:paraId="3BD48E93">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65</w:t>
                  </w:r>
                </w:p>
              </w:tc>
              <w:tc>
                <w:tcPr>
                  <w:tcW w:w="1189" w:type="dxa"/>
                  <w:vAlign w:val="center"/>
                </w:tcPr>
                <w:p w14:paraId="25BB6717">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52</w:t>
                  </w:r>
                </w:p>
              </w:tc>
              <w:tc>
                <w:tcPr>
                  <w:tcW w:w="1158" w:type="dxa"/>
                  <w:vAlign w:val="center"/>
                </w:tcPr>
                <w:p w14:paraId="7585FC9D">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55</w:t>
                  </w:r>
                </w:p>
              </w:tc>
              <w:tc>
                <w:tcPr>
                  <w:tcW w:w="1160" w:type="dxa"/>
                  <w:vAlign w:val="center"/>
                </w:tcPr>
                <w:p w14:paraId="2937210D">
                  <w:pPr>
                    <w:widowControl/>
                    <w:adjustRightInd w:val="0"/>
                    <w:jc w:val="center"/>
                    <w:rPr>
                      <w:bCs/>
                      <w:szCs w:val="21"/>
                    </w:rPr>
                  </w:pPr>
                  <w:r>
                    <w:rPr>
                      <w:bCs/>
                      <w:szCs w:val="21"/>
                    </w:rPr>
                    <w:t>达标</w:t>
                  </w:r>
                </w:p>
              </w:tc>
            </w:tr>
            <w:tr w14:paraId="491E4F48">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continue"/>
                  <w:vAlign w:val="center"/>
                </w:tcPr>
                <w:p w14:paraId="0D423D27">
                  <w:pPr>
                    <w:autoSpaceDE w:val="0"/>
                    <w:autoSpaceDN w:val="0"/>
                    <w:adjustRightInd w:val="0"/>
                    <w:snapToGrid w:val="0"/>
                    <w:jc w:val="center"/>
                    <w:rPr>
                      <w:snapToGrid w:val="0"/>
                      <w:kern w:val="0"/>
                      <w:szCs w:val="21"/>
                    </w:rPr>
                  </w:pPr>
                </w:p>
              </w:tc>
              <w:tc>
                <w:tcPr>
                  <w:tcW w:w="1610" w:type="dxa"/>
                  <w:vAlign w:val="center"/>
                </w:tcPr>
                <w:p w14:paraId="2451D2C5">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东</w:t>
                  </w:r>
                  <w:r>
                    <w:rPr>
                      <w:rFonts w:ascii="Times New Roman" w:cs="Times New Roman"/>
                      <w:snapToGrid w:val="0"/>
                      <w:kern w:val="0"/>
                      <w:sz w:val="21"/>
                      <w:szCs w:val="21"/>
                    </w:rPr>
                    <w:t>厂界</w:t>
                  </w:r>
                  <w:r>
                    <w:rPr>
                      <w:rFonts w:hint="eastAsia" w:ascii="Times New Roman" w:cs="Times New Roman"/>
                      <w:snapToGrid w:val="0"/>
                      <w:kern w:val="0"/>
                      <w:sz w:val="21"/>
                      <w:szCs w:val="21"/>
                    </w:rPr>
                    <w:t>4#</w:t>
                  </w:r>
                </w:p>
              </w:tc>
              <w:tc>
                <w:tcPr>
                  <w:tcW w:w="1189" w:type="dxa"/>
                  <w:vAlign w:val="center"/>
                </w:tcPr>
                <w:p w14:paraId="42F52DDF">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54</w:t>
                  </w:r>
                </w:p>
              </w:tc>
              <w:tc>
                <w:tcPr>
                  <w:tcW w:w="1158" w:type="dxa"/>
                  <w:vAlign w:val="center"/>
                </w:tcPr>
                <w:p w14:paraId="5F9DBF6E">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65</w:t>
                  </w:r>
                </w:p>
              </w:tc>
              <w:tc>
                <w:tcPr>
                  <w:tcW w:w="1189" w:type="dxa"/>
                  <w:vAlign w:val="center"/>
                </w:tcPr>
                <w:p w14:paraId="7337BBD4">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49</w:t>
                  </w:r>
                </w:p>
              </w:tc>
              <w:tc>
                <w:tcPr>
                  <w:tcW w:w="1158" w:type="dxa"/>
                  <w:vAlign w:val="center"/>
                </w:tcPr>
                <w:p w14:paraId="06BCAB67">
                  <w:pPr>
                    <w:pStyle w:val="69"/>
                    <w:adjustRightInd w:val="0"/>
                    <w:snapToGrid w:val="0"/>
                    <w:jc w:val="center"/>
                    <w:rPr>
                      <w:rFonts w:ascii="Times New Roman" w:cs="Times New Roman"/>
                      <w:snapToGrid w:val="0"/>
                      <w:kern w:val="0"/>
                      <w:sz w:val="21"/>
                      <w:szCs w:val="21"/>
                    </w:rPr>
                  </w:pPr>
                  <w:r>
                    <w:rPr>
                      <w:rFonts w:ascii="Times New Roman" w:cs="Times New Roman"/>
                      <w:snapToGrid w:val="0"/>
                      <w:kern w:val="0"/>
                      <w:sz w:val="21"/>
                      <w:szCs w:val="21"/>
                    </w:rPr>
                    <w:t>55</w:t>
                  </w:r>
                </w:p>
              </w:tc>
              <w:tc>
                <w:tcPr>
                  <w:tcW w:w="1160" w:type="dxa"/>
                  <w:vAlign w:val="center"/>
                </w:tcPr>
                <w:p w14:paraId="4EF78DAB">
                  <w:pPr>
                    <w:widowControl/>
                    <w:jc w:val="center"/>
                    <w:rPr>
                      <w:szCs w:val="21"/>
                    </w:rPr>
                  </w:pPr>
                  <w:r>
                    <w:rPr>
                      <w:bCs/>
                      <w:szCs w:val="21"/>
                    </w:rPr>
                    <w:t>达标</w:t>
                  </w:r>
                </w:p>
              </w:tc>
            </w:tr>
            <w:tr w14:paraId="2F005109">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continue"/>
                  <w:vAlign w:val="center"/>
                </w:tcPr>
                <w:p w14:paraId="3F552925">
                  <w:pPr>
                    <w:autoSpaceDE w:val="0"/>
                    <w:autoSpaceDN w:val="0"/>
                    <w:adjustRightInd w:val="0"/>
                    <w:snapToGrid w:val="0"/>
                    <w:jc w:val="center"/>
                    <w:rPr>
                      <w:snapToGrid w:val="0"/>
                      <w:kern w:val="0"/>
                      <w:szCs w:val="21"/>
                    </w:rPr>
                  </w:pPr>
                </w:p>
              </w:tc>
              <w:tc>
                <w:tcPr>
                  <w:tcW w:w="1610" w:type="dxa"/>
                  <w:vAlign w:val="center"/>
                </w:tcPr>
                <w:p w14:paraId="226B00B2">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南厂界5#</w:t>
                  </w:r>
                </w:p>
              </w:tc>
              <w:tc>
                <w:tcPr>
                  <w:tcW w:w="1189" w:type="dxa"/>
                  <w:vAlign w:val="center"/>
                </w:tcPr>
                <w:p w14:paraId="26DC2368">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58</w:t>
                  </w:r>
                </w:p>
              </w:tc>
              <w:tc>
                <w:tcPr>
                  <w:tcW w:w="1158" w:type="dxa"/>
                  <w:vAlign w:val="center"/>
                </w:tcPr>
                <w:p w14:paraId="4B594CCF">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65</w:t>
                  </w:r>
                </w:p>
              </w:tc>
              <w:tc>
                <w:tcPr>
                  <w:tcW w:w="1189" w:type="dxa"/>
                  <w:vAlign w:val="center"/>
                </w:tcPr>
                <w:p w14:paraId="787F2911">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54</w:t>
                  </w:r>
                </w:p>
              </w:tc>
              <w:tc>
                <w:tcPr>
                  <w:tcW w:w="1158" w:type="dxa"/>
                  <w:vAlign w:val="center"/>
                </w:tcPr>
                <w:p w14:paraId="3940BC1C">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55</w:t>
                  </w:r>
                </w:p>
              </w:tc>
              <w:tc>
                <w:tcPr>
                  <w:tcW w:w="1160" w:type="dxa"/>
                  <w:vAlign w:val="center"/>
                </w:tcPr>
                <w:p w14:paraId="2C8C8059">
                  <w:pPr>
                    <w:widowControl/>
                    <w:adjustRightInd w:val="0"/>
                    <w:jc w:val="center"/>
                    <w:rPr>
                      <w:bCs/>
                      <w:szCs w:val="21"/>
                    </w:rPr>
                  </w:pPr>
                  <w:r>
                    <w:rPr>
                      <w:bCs/>
                      <w:szCs w:val="21"/>
                    </w:rPr>
                    <w:t>达标</w:t>
                  </w:r>
                </w:p>
              </w:tc>
            </w:tr>
            <w:tr w14:paraId="19D2E193">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25" w:type="dxa"/>
                  <w:vMerge w:val="continue"/>
                  <w:vAlign w:val="center"/>
                </w:tcPr>
                <w:p w14:paraId="0D6887FE">
                  <w:pPr>
                    <w:autoSpaceDE w:val="0"/>
                    <w:autoSpaceDN w:val="0"/>
                    <w:adjustRightInd w:val="0"/>
                    <w:snapToGrid w:val="0"/>
                    <w:jc w:val="center"/>
                    <w:rPr>
                      <w:snapToGrid w:val="0"/>
                      <w:kern w:val="0"/>
                      <w:szCs w:val="21"/>
                    </w:rPr>
                  </w:pPr>
                </w:p>
              </w:tc>
              <w:tc>
                <w:tcPr>
                  <w:tcW w:w="1610" w:type="dxa"/>
                  <w:vAlign w:val="center"/>
                </w:tcPr>
                <w:p w14:paraId="43F53F0B">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西厂界6#</w:t>
                  </w:r>
                </w:p>
              </w:tc>
              <w:tc>
                <w:tcPr>
                  <w:tcW w:w="1189" w:type="dxa"/>
                  <w:vAlign w:val="center"/>
                </w:tcPr>
                <w:p w14:paraId="1959924A">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62</w:t>
                  </w:r>
                </w:p>
              </w:tc>
              <w:tc>
                <w:tcPr>
                  <w:tcW w:w="1158" w:type="dxa"/>
                  <w:vAlign w:val="center"/>
                </w:tcPr>
                <w:p w14:paraId="285FE68E">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65</w:t>
                  </w:r>
                </w:p>
              </w:tc>
              <w:tc>
                <w:tcPr>
                  <w:tcW w:w="1189" w:type="dxa"/>
                  <w:vAlign w:val="center"/>
                </w:tcPr>
                <w:p w14:paraId="42AEAD65">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53</w:t>
                  </w:r>
                </w:p>
              </w:tc>
              <w:tc>
                <w:tcPr>
                  <w:tcW w:w="1158" w:type="dxa"/>
                  <w:vAlign w:val="center"/>
                </w:tcPr>
                <w:p w14:paraId="686F45C4">
                  <w:pPr>
                    <w:pStyle w:val="69"/>
                    <w:adjustRightInd w:val="0"/>
                    <w:snapToGrid w:val="0"/>
                    <w:jc w:val="center"/>
                    <w:rPr>
                      <w:rFonts w:ascii="Times New Roman" w:cs="Times New Roman"/>
                      <w:snapToGrid w:val="0"/>
                      <w:kern w:val="0"/>
                      <w:sz w:val="21"/>
                      <w:szCs w:val="21"/>
                    </w:rPr>
                  </w:pPr>
                  <w:r>
                    <w:rPr>
                      <w:rFonts w:hint="eastAsia" w:ascii="Times New Roman" w:cs="Times New Roman"/>
                      <w:snapToGrid w:val="0"/>
                      <w:kern w:val="0"/>
                      <w:sz w:val="21"/>
                      <w:szCs w:val="21"/>
                    </w:rPr>
                    <w:t>55</w:t>
                  </w:r>
                </w:p>
              </w:tc>
              <w:tc>
                <w:tcPr>
                  <w:tcW w:w="1160" w:type="dxa"/>
                  <w:vAlign w:val="center"/>
                </w:tcPr>
                <w:p w14:paraId="2BD6D59C">
                  <w:pPr>
                    <w:widowControl/>
                    <w:jc w:val="center"/>
                    <w:rPr>
                      <w:bCs/>
                      <w:szCs w:val="21"/>
                    </w:rPr>
                  </w:pPr>
                  <w:r>
                    <w:rPr>
                      <w:bCs/>
                      <w:szCs w:val="21"/>
                    </w:rPr>
                    <w:t>达标</w:t>
                  </w:r>
                </w:p>
              </w:tc>
            </w:tr>
          </w:tbl>
          <w:p w14:paraId="072B1594">
            <w:pPr>
              <w:pStyle w:val="5"/>
              <w:adjustRightInd w:val="0"/>
              <w:snapToGrid w:val="0"/>
              <w:spacing w:beforeLines="50" w:line="360" w:lineRule="auto"/>
              <w:ind w:firstLine="420"/>
              <w:rPr>
                <w:b/>
                <w:bCs/>
                <w:szCs w:val="21"/>
              </w:rPr>
            </w:pPr>
            <w:r>
              <w:rPr>
                <w:szCs w:val="21"/>
              </w:rPr>
              <w:t>由以上监测结果可知，现有项目厂界噪声昼间、夜间噪声值均满足《工业企业厂界环境噪声排放标准》（GB12348-2008）中3类标准要求。</w:t>
            </w:r>
          </w:p>
          <w:p w14:paraId="5753FA60">
            <w:pPr>
              <w:pStyle w:val="5"/>
              <w:adjustRightInd w:val="0"/>
              <w:snapToGrid w:val="0"/>
              <w:spacing w:line="360" w:lineRule="auto"/>
              <w:ind w:firstLine="422"/>
              <w:rPr>
                <w:b/>
                <w:bCs/>
                <w:szCs w:val="21"/>
              </w:rPr>
            </w:pPr>
            <w:r>
              <w:rPr>
                <w:b/>
                <w:bCs/>
                <w:szCs w:val="21"/>
              </w:rPr>
              <w:t>三、现有项目环境问题及整改措施</w:t>
            </w:r>
          </w:p>
          <w:p w14:paraId="6D3F64FF">
            <w:pPr>
              <w:pStyle w:val="5"/>
              <w:adjustRightInd w:val="0"/>
              <w:snapToGrid w:val="0"/>
              <w:spacing w:line="360" w:lineRule="auto"/>
              <w:ind w:firstLine="420"/>
              <w:rPr>
                <w:szCs w:val="21"/>
              </w:rPr>
            </w:pPr>
            <w:r>
              <w:rPr>
                <w:szCs w:val="21"/>
              </w:rPr>
              <w:t>（1）现有项目</w:t>
            </w:r>
            <w:r>
              <w:rPr>
                <w:rFonts w:hint="eastAsia"/>
                <w:szCs w:val="21"/>
              </w:rPr>
              <w:t>中生活污水经隔油后接管至第二污水处理厂处理，</w:t>
            </w:r>
            <w:r>
              <w:rPr>
                <w:szCs w:val="21"/>
              </w:rPr>
              <w:t>根据现有项目竣工验收监测报告及例行监测报告可知，</w:t>
            </w:r>
            <w:r>
              <w:rPr>
                <w:rFonts w:hint="eastAsia"/>
                <w:szCs w:val="21"/>
              </w:rPr>
              <w:t>COD、TP等污染物指标出现了超标现象，不能满足污染物稳定达标排放</w:t>
            </w:r>
            <w:r>
              <w:rPr>
                <w:szCs w:val="21"/>
              </w:rPr>
              <w:t>要求</w:t>
            </w:r>
            <w:r>
              <w:rPr>
                <w:rFonts w:hint="eastAsia"/>
                <w:szCs w:val="21"/>
              </w:rPr>
              <w:t>，企业应定期清理隔油池，确保生活污水能够稳定达标接管。</w:t>
            </w:r>
          </w:p>
          <w:p w14:paraId="07D365BB">
            <w:pPr>
              <w:pStyle w:val="5"/>
              <w:adjustRightInd w:val="0"/>
              <w:snapToGrid w:val="0"/>
              <w:spacing w:line="360" w:lineRule="auto"/>
              <w:ind w:firstLine="420"/>
              <w:rPr>
                <w:szCs w:val="21"/>
              </w:rPr>
            </w:pPr>
            <w:r>
              <w:rPr>
                <w:szCs w:val="21"/>
              </w:rPr>
              <w:t>（2）本次扩建项目部分工序废气依托现有</w:t>
            </w:r>
            <w:r>
              <w:rPr>
                <w:rFonts w:hint="eastAsia"/>
                <w:szCs w:val="21"/>
              </w:rPr>
              <w:t>布袋除尘+</w:t>
            </w:r>
            <w:r>
              <w:rPr>
                <w:szCs w:val="21"/>
              </w:rPr>
              <w:t>活性炭吸附装置</w:t>
            </w:r>
            <w:r>
              <w:rPr>
                <w:rFonts w:hint="eastAsia"/>
                <w:szCs w:val="21"/>
              </w:rPr>
              <w:t>、活性炭吸附装置、碱喷淋+活性炭吸附装置，已不满足现行管理要求，需对</w:t>
            </w:r>
            <w:r>
              <w:rPr>
                <w:szCs w:val="21"/>
              </w:rPr>
              <w:t>现有</w:t>
            </w:r>
            <w:r>
              <w:rPr>
                <w:rFonts w:hint="eastAsia"/>
                <w:szCs w:val="21"/>
              </w:rPr>
              <w:t>一级</w:t>
            </w:r>
            <w:r>
              <w:rPr>
                <w:szCs w:val="21"/>
              </w:rPr>
              <w:t>活性炭吸附装置进行</w:t>
            </w:r>
            <w:r>
              <w:rPr>
                <w:rFonts w:hint="eastAsia"/>
                <w:szCs w:val="21"/>
              </w:rPr>
              <w:t>提升改造，改成二级活性炭吸附装置</w:t>
            </w:r>
            <w:r>
              <w:rPr>
                <w:szCs w:val="21"/>
              </w:rPr>
              <w:t>。</w:t>
            </w:r>
          </w:p>
          <w:p w14:paraId="43141C1E">
            <w:pPr>
              <w:pStyle w:val="5"/>
              <w:adjustRightInd w:val="0"/>
              <w:snapToGrid w:val="0"/>
              <w:spacing w:line="360" w:lineRule="auto"/>
              <w:ind w:firstLine="420"/>
              <w:rPr>
                <w:szCs w:val="21"/>
              </w:rPr>
            </w:pPr>
            <w:r>
              <w:rPr>
                <w:szCs w:val="21"/>
              </w:rPr>
              <w:t>综上所述，现有项目环保手续齐全，运行过程中污染防治设施运行良好，污染物可持续达标排放，固废可分类暂存、分类处置。</w:t>
            </w:r>
          </w:p>
          <w:p w14:paraId="6C0FCDC8">
            <w:pPr>
              <w:pStyle w:val="5"/>
              <w:adjustRightInd w:val="0"/>
              <w:snapToGrid w:val="0"/>
              <w:spacing w:line="360" w:lineRule="auto"/>
              <w:ind w:firstLine="420"/>
              <w:rPr>
                <w:szCs w:val="21"/>
              </w:rPr>
            </w:pPr>
            <w:r>
              <w:rPr>
                <w:szCs w:val="21"/>
              </w:rPr>
              <w:t>建设单位需加强日常监督管理，避免生产相关废水、废液等出现跑、冒、滴、漏现象；按照监测要求履行例行监测计划。</w:t>
            </w:r>
          </w:p>
          <w:p w14:paraId="24E2DA0C">
            <w:pPr>
              <w:pStyle w:val="5"/>
              <w:adjustRightInd w:val="0"/>
              <w:snapToGrid w:val="0"/>
              <w:spacing w:line="360" w:lineRule="auto"/>
              <w:ind w:firstLine="420"/>
              <w:rPr>
                <w:szCs w:val="21"/>
              </w:rPr>
            </w:pPr>
          </w:p>
          <w:p w14:paraId="31BA1203">
            <w:pPr>
              <w:pStyle w:val="5"/>
              <w:adjustRightInd w:val="0"/>
              <w:snapToGrid w:val="0"/>
              <w:spacing w:beforeLines="50" w:line="360" w:lineRule="auto"/>
              <w:ind w:firstLine="420"/>
              <w:rPr>
                <w:szCs w:val="21"/>
              </w:rPr>
            </w:pPr>
          </w:p>
          <w:p w14:paraId="76B15075">
            <w:pPr>
              <w:pStyle w:val="5"/>
              <w:adjustRightInd w:val="0"/>
              <w:snapToGrid w:val="0"/>
              <w:spacing w:line="360" w:lineRule="auto"/>
              <w:ind w:firstLine="0" w:firstLineChars="0"/>
              <w:rPr>
                <w:szCs w:val="21"/>
              </w:rPr>
            </w:pPr>
          </w:p>
          <w:p w14:paraId="2777BD0F">
            <w:pPr>
              <w:pStyle w:val="5"/>
              <w:adjustRightInd w:val="0"/>
              <w:snapToGrid w:val="0"/>
              <w:spacing w:line="360" w:lineRule="auto"/>
              <w:ind w:firstLine="0" w:firstLineChars="0"/>
              <w:rPr>
                <w:szCs w:val="21"/>
              </w:rPr>
            </w:pPr>
          </w:p>
          <w:p w14:paraId="02FE0776">
            <w:pPr>
              <w:pStyle w:val="5"/>
              <w:adjustRightInd w:val="0"/>
              <w:snapToGrid w:val="0"/>
              <w:spacing w:line="360" w:lineRule="auto"/>
              <w:ind w:firstLine="0" w:firstLineChars="0"/>
              <w:rPr>
                <w:szCs w:val="21"/>
              </w:rPr>
            </w:pPr>
          </w:p>
          <w:p w14:paraId="4B9003B2">
            <w:pPr>
              <w:pStyle w:val="5"/>
              <w:adjustRightInd w:val="0"/>
              <w:snapToGrid w:val="0"/>
              <w:spacing w:line="360" w:lineRule="auto"/>
              <w:ind w:firstLine="0" w:firstLineChars="0"/>
              <w:rPr>
                <w:szCs w:val="21"/>
              </w:rPr>
            </w:pPr>
          </w:p>
          <w:p w14:paraId="58C254D8">
            <w:pPr>
              <w:pStyle w:val="5"/>
              <w:adjustRightInd w:val="0"/>
              <w:snapToGrid w:val="0"/>
              <w:spacing w:line="360" w:lineRule="auto"/>
              <w:ind w:firstLine="0" w:firstLineChars="0"/>
              <w:rPr>
                <w:szCs w:val="21"/>
              </w:rPr>
            </w:pPr>
          </w:p>
          <w:p w14:paraId="02AEC7E4">
            <w:pPr>
              <w:pStyle w:val="5"/>
              <w:adjustRightInd w:val="0"/>
              <w:snapToGrid w:val="0"/>
              <w:spacing w:line="360" w:lineRule="auto"/>
              <w:ind w:firstLine="0" w:firstLineChars="0"/>
              <w:rPr>
                <w:szCs w:val="21"/>
              </w:rPr>
            </w:pPr>
          </w:p>
          <w:p w14:paraId="79D5DAB1">
            <w:pPr>
              <w:pStyle w:val="5"/>
              <w:adjustRightInd w:val="0"/>
              <w:snapToGrid w:val="0"/>
              <w:spacing w:line="360" w:lineRule="auto"/>
              <w:ind w:firstLine="0" w:firstLineChars="0"/>
              <w:rPr>
                <w:szCs w:val="21"/>
              </w:rPr>
            </w:pPr>
          </w:p>
          <w:p w14:paraId="08FD7C03">
            <w:pPr>
              <w:pStyle w:val="5"/>
              <w:adjustRightInd w:val="0"/>
              <w:snapToGrid w:val="0"/>
              <w:spacing w:line="360" w:lineRule="auto"/>
              <w:ind w:firstLine="0" w:firstLineChars="0"/>
              <w:rPr>
                <w:szCs w:val="21"/>
              </w:rPr>
            </w:pPr>
          </w:p>
          <w:p w14:paraId="7F205895">
            <w:pPr>
              <w:pStyle w:val="5"/>
              <w:adjustRightInd w:val="0"/>
              <w:snapToGrid w:val="0"/>
              <w:spacing w:line="360" w:lineRule="auto"/>
              <w:ind w:firstLine="0" w:firstLineChars="0"/>
              <w:rPr>
                <w:szCs w:val="21"/>
              </w:rPr>
            </w:pPr>
          </w:p>
          <w:p w14:paraId="2561BED4">
            <w:pPr>
              <w:pStyle w:val="5"/>
              <w:adjustRightInd w:val="0"/>
              <w:snapToGrid w:val="0"/>
              <w:spacing w:line="360" w:lineRule="auto"/>
              <w:ind w:firstLine="0" w:firstLineChars="0"/>
              <w:rPr>
                <w:szCs w:val="21"/>
              </w:rPr>
            </w:pPr>
          </w:p>
          <w:p w14:paraId="15B51C87">
            <w:pPr>
              <w:pStyle w:val="5"/>
              <w:adjustRightInd w:val="0"/>
              <w:snapToGrid w:val="0"/>
              <w:spacing w:line="360" w:lineRule="auto"/>
              <w:ind w:firstLine="0" w:firstLineChars="0"/>
              <w:rPr>
                <w:szCs w:val="21"/>
              </w:rPr>
            </w:pPr>
          </w:p>
          <w:p w14:paraId="29B06D6C">
            <w:pPr>
              <w:pStyle w:val="5"/>
              <w:adjustRightInd w:val="0"/>
              <w:snapToGrid w:val="0"/>
              <w:spacing w:line="360" w:lineRule="auto"/>
              <w:ind w:firstLine="0" w:firstLineChars="0"/>
              <w:rPr>
                <w:szCs w:val="21"/>
              </w:rPr>
            </w:pPr>
          </w:p>
          <w:p w14:paraId="7679D50C">
            <w:pPr>
              <w:pStyle w:val="5"/>
              <w:adjustRightInd w:val="0"/>
              <w:snapToGrid w:val="0"/>
              <w:spacing w:line="360" w:lineRule="auto"/>
              <w:ind w:firstLine="0" w:firstLineChars="0"/>
              <w:rPr>
                <w:szCs w:val="21"/>
              </w:rPr>
            </w:pPr>
          </w:p>
          <w:p w14:paraId="265CE501">
            <w:pPr>
              <w:pStyle w:val="5"/>
              <w:adjustRightInd w:val="0"/>
              <w:snapToGrid w:val="0"/>
              <w:spacing w:line="360" w:lineRule="auto"/>
              <w:ind w:firstLine="0" w:firstLineChars="0"/>
              <w:rPr>
                <w:szCs w:val="21"/>
              </w:rPr>
            </w:pPr>
          </w:p>
          <w:p w14:paraId="52075109">
            <w:pPr>
              <w:pStyle w:val="5"/>
              <w:adjustRightInd w:val="0"/>
              <w:snapToGrid w:val="0"/>
              <w:spacing w:line="360" w:lineRule="auto"/>
              <w:ind w:firstLine="0" w:firstLineChars="0"/>
              <w:rPr>
                <w:szCs w:val="21"/>
              </w:rPr>
            </w:pPr>
          </w:p>
        </w:tc>
      </w:tr>
    </w:tbl>
    <w:p w14:paraId="1102E516">
      <w:pPr>
        <w:pStyle w:val="21"/>
        <w:jc w:val="center"/>
        <w:rPr>
          <w:rFonts w:ascii="Times New Roman" w:hAnsi="Times New Roman"/>
          <w:snapToGrid w:val="0"/>
          <w:sz w:val="21"/>
          <w:szCs w:val="21"/>
        </w:rPr>
        <w:sectPr>
          <w:pgSz w:w="11906" w:h="16838"/>
          <w:pgMar w:top="1701" w:right="1531" w:bottom="1701" w:left="1531" w:header="851" w:footer="851" w:gutter="0"/>
          <w:cols w:space="720" w:num="1"/>
          <w:docGrid w:linePitch="312" w:charSpace="0"/>
        </w:sectPr>
      </w:pPr>
    </w:p>
    <w:p w14:paraId="46273B1A">
      <w:pPr>
        <w:pStyle w:val="21"/>
        <w:jc w:val="center"/>
        <w:outlineLvl w:val="0"/>
        <w:rPr>
          <w:rFonts w:ascii="Times New Roman" w:hAnsi="Times New Roman"/>
          <w:b/>
          <w:bCs/>
          <w:snapToGrid w:val="0"/>
          <w:szCs w:val="24"/>
        </w:rPr>
      </w:pPr>
      <w:bookmarkStart w:id="99" w:name="_Toc20960"/>
      <w:r>
        <w:rPr>
          <w:rFonts w:ascii="Times New Roman" w:hAnsi="Times New Roman"/>
          <w:b/>
          <w:bCs/>
          <w:snapToGrid w:val="0"/>
          <w:szCs w:val="24"/>
        </w:rPr>
        <w:t>三、区域环境质量现状、环境保护目标及评价标准</w:t>
      </w:r>
      <w:bookmarkEnd w:id="99"/>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7"/>
        <w:gridCol w:w="8544"/>
      </w:tblGrid>
      <w:tr w14:paraId="34873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 w:type="dxa"/>
            <w:vAlign w:val="center"/>
          </w:tcPr>
          <w:p w14:paraId="04B4DF91">
            <w:pPr>
              <w:adjustRightInd w:val="0"/>
              <w:snapToGrid w:val="0"/>
              <w:jc w:val="center"/>
              <w:rPr>
                <w:szCs w:val="21"/>
              </w:rPr>
            </w:pPr>
          </w:p>
          <w:p w14:paraId="08FD8F74">
            <w:pPr>
              <w:adjustRightInd w:val="0"/>
              <w:snapToGrid w:val="0"/>
              <w:jc w:val="center"/>
              <w:rPr>
                <w:szCs w:val="21"/>
              </w:rPr>
            </w:pPr>
          </w:p>
          <w:p w14:paraId="71243B2D">
            <w:pPr>
              <w:adjustRightInd w:val="0"/>
              <w:snapToGrid w:val="0"/>
              <w:jc w:val="center"/>
              <w:rPr>
                <w:szCs w:val="21"/>
              </w:rPr>
            </w:pPr>
          </w:p>
          <w:p w14:paraId="1EBA7D88">
            <w:pPr>
              <w:adjustRightInd w:val="0"/>
              <w:snapToGrid w:val="0"/>
              <w:jc w:val="center"/>
              <w:rPr>
                <w:szCs w:val="21"/>
              </w:rPr>
            </w:pPr>
          </w:p>
          <w:p w14:paraId="5AD621CC">
            <w:pPr>
              <w:adjustRightInd w:val="0"/>
              <w:snapToGrid w:val="0"/>
              <w:jc w:val="center"/>
              <w:rPr>
                <w:szCs w:val="21"/>
              </w:rPr>
            </w:pPr>
          </w:p>
          <w:p w14:paraId="51E373DE">
            <w:pPr>
              <w:adjustRightInd w:val="0"/>
              <w:snapToGrid w:val="0"/>
              <w:jc w:val="center"/>
              <w:rPr>
                <w:szCs w:val="21"/>
              </w:rPr>
            </w:pPr>
          </w:p>
          <w:p w14:paraId="5B6BE8D8">
            <w:pPr>
              <w:adjustRightInd w:val="0"/>
              <w:snapToGrid w:val="0"/>
              <w:jc w:val="center"/>
              <w:rPr>
                <w:szCs w:val="21"/>
              </w:rPr>
            </w:pPr>
          </w:p>
          <w:p w14:paraId="21106EB7">
            <w:pPr>
              <w:adjustRightInd w:val="0"/>
              <w:snapToGrid w:val="0"/>
              <w:jc w:val="center"/>
              <w:rPr>
                <w:szCs w:val="21"/>
              </w:rPr>
            </w:pPr>
          </w:p>
          <w:p w14:paraId="3375F6A5">
            <w:pPr>
              <w:adjustRightInd w:val="0"/>
              <w:snapToGrid w:val="0"/>
              <w:jc w:val="center"/>
              <w:rPr>
                <w:szCs w:val="21"/>
              </w:rPr>
            </w:pPr>
          </w:p>
          <w:p w14:paraId="5BC700BA">
            <w:pPr>
              <w:adjustRightInd w:val="0"/>
              <w:snapToGrid w:val="0"/>
              <w:jc w:val="center"/>
              <w:rPr>
                <w:szCs w:val="21"/>
              </w:rPr>
            </w:pPr>
          </w:p>
          <w:p w14:paraId="0B6A74E8">
            <w:pPr>
              <w:adjustRightInd w:val="0"/>
              <w:snapToGrid w:val="0"/>
              <w:jc w:val="center"/>
              <w:rPr>
                <w:szCs w:val="21"/>
              </w:rPr>
            </w:pPr>
          </w:p>
          <w:p w14:paraId="157B1CE2">
            <w:pPr>
              <w:adjustRightInd w:val="0"/>
              <w:snapToGrid w:val="0"/>
              <w:jc w:val="center"/>
              <w:rPr>
                <w:szCs w:val="21"/>
              </w:rPr>
            </w:pPr>
          </w:p>
          <w:p w14:paraId="5A2C37F5">
            <w:pPr>
              <w:adjustRightInd w:val="0"/>
              <w:snapToGrid w:val="0"/>
              <w:jc w:val="center"/>
              <w:rPr>
                <w:szCs w:val="21"/>
              </w:rPr>
            </w:pPr>
          </w:p>
          <w:p w14:paraId="1FE4E26F">
            <w:pPr>
              <w:adjustRightInd w:val="0"/>
              <w:snapToGrid w:val="0"/>
              <w:jc w:val="center"/>
              <w:rPr>
                <w:szCs w:val="21"/>
              </w:rPr>
            </w:pPr>
          </w:p>
          <w:p w14:paraId="1CD302F7">
            <w:pPr>
              <w:adjustRightInd w:val="0"/>
              <w:snapToGrid w:val="0"/>
              <w:jc w:val="center"/>
              <w:rPr>
                <w:szCs w:val="21"/>
              </w:rPr>
            </w:pPr>
          </w:p>
          <w:p w14:paraId="39319019">
            <w:pPr>
              <w:adjustRightInd w:val="0"/>
              <w:snapToGrid w:val="0"/>
              <w:jc w:val="center"/>
              <w:rPr>
                <w:szCs w:val="21"/>
              </w:rPr>
            </w:pPr>
          </w:p>
          <w:p w14:paraId="0AFA0596">
            <w:pPr>
              <w:pStyle w:val="8"/>
              <w:rPr>
                <w:sz w:val="24"/>
              </w:rPr>
            </w:pPr>
          </w:p>
          <w:p w14:paraId="1D13E1CE">
            <w:pPr>
              <w:adjustRightInd w:val="0"/>
              <w:snapToGrid w:val="0"/>
              <w:jc w:val="center"/>
              <w:rPr>
                <w:szCs w:val="21"/>
              </w:rPr>
            </w:pPr>
          </w:p>
          <w:p w14:paraId="0A59D208">
            <w:pPr>
              <w:adjustRightInd w:val="0"/>
              <w:snapToGrid w:val="0"/>
              <w:jc w:val="center"/>
              <w:rPr>
                <w:szCs w:val="21"/>
              </w:rPr>
            </w:pPr>
          </w:p>
          <w:p w14:paraId="0B86A2C7">
            <w:pPr>
              <w:adjustRightInd w:val="0"/>
              <w:snapToGrid w:val="0"/>
              <w:jc w:val="center"/>
              <w:rPr>
                <w:szCs w:val="21"/>
              </w:rPr>
            </w:pPr>
          </w:p>
          <w:p w14:paraId="302FFC5A">
            <w:pPr>
              <w:adjustRightInd w:val="0"/>
              <w:snapToGrid w:val="0"/>
              <w:spacing w:line="360" w:lineRule="auto"/>
              <w:jc w:val="center"/>
              <w:rPr>
                <w:szCs w:val="21"/>
              </w:rPr>
            </w:pPr>
            <w:r>
              <w:rPr>
                <w:szCs w:val="21"/>
              </w:rPr>
              <w:t>区域环境质量现状</w:t>
            </w:r>
          </w:p>
          <w:p w14:paraId="02CA70CB">
            <w:pPr>
              <w:pStyle w:val="8"/>
              <w:rPr>
                <w:szCs w:val="21"/>
              </w:rPr>
            </w:pPr>
          </w:p>
          <w:p w14:paraId="39433B45">
            <w:pPr>
              <w:rPr>
                <w:szCs w:val="21"/>
              </w:rPr>
            </w:pPr>
          </w:p>
          <w:p w14:paraId="59E3E0F3">
            <w:pPr>
              <w:pStyle w:val="8"/>
              <w:rPr>
                <w:szCs w:val="21"/>
              </w:rPr>
            </w:pPr>
          </w:p>
          <w:p w14:paraId="070D31DF">
            <w:pPr>
              <w:rPr>
                <w:szCs w:val="21"/>
              </w:rPr>
            </w:pPr>
          </w:p>
          <w:p w14:paraId="0F4E9CAA">
            <w:pPr>
              <w:pStyle w:val="8"/>
              <w:rPr>
                <w:szCs w:val="21"/>
              </w:rPr>
            </w:pPr>
          </w:p>
          <w:p w14:paraId="590E5905">
            <w:pPr>
              <w:rPr>
                <w:szCs w:val="21"/>
              </w:rPr>
            </w:pPr>
          </w:p>
          <w:p w14:paraId="1D7873A7">
            <w:pPr>
              <w:pStyle w:val="8"/>
              <w:rPr>
                <w:szCs w:val="21"/>
              </w:rPr>
            </w:pPr>
          </w:p>
          <w:p w14:paraId="5B6F802C">
            <w:pPr>
              <w:rPr>
                <w:szCs w:val="21"/>
              </w:rPr>
            </w:pPr>
          </w:p>
          <w:p w14:paraId="79126537">
            <w:pPr>
              <w:pStyle w:val="8"/>
              <w:rPr>
                <w:szCs w:val="21"/>
              </w:rPr>
            </w:pPr>
          </w:p>
          <w:p w14:paraId="3ACFC7F3">
            <w:pPr>
              <w:rPr>
                <w:szCs w:val="21"/>
              </w:rPr>
            </w:pPr>
          </w:p>
          <w:p w14:paraId="41DADF4C">
            <w:pPr>
              <w:pStyle w:val="8"/>
              <w:rPr>
                <w:szCs w:val="21"/>
              </w:rPr>
            </w:pPr>
          </w:p>
          <w:p w14:paraId="47B5A3DC">
            <w:pPr>
              <w:rPr>
                <w:szCs w:val="21"/>
              </w:rPr>
            </w:pPr>
          </w:p>
          <w:p w14:paraId="0C18CE96">
            <w:pPr>
              <w:pStyle w:val="8"/>
              <w:rPr>
                <w:szCs w:val="21"/>
              </w:rPr>
            </w:pPr>
          </w:p>
          <w:p w14:paraId="4F610FEB">
            <w:pPr>
              <w:rPr>
                <w:szCs w:val="21"/>
              </w:rPr>
            </w:pPr>
          </w:p>
          <w:p w14:paraId="63004545">
            <w:pPr>
              <w:pStyle w:val="8"/>
              <w:rPr>
                <w:szCs w:val="21"/>
              </w:rPr>
            </w:pPr>
          </w:p>
          <w:p w14:paraId="1F4618A8">
            <w:pPr>
              <w:rPr>
                <w:szCs w:val="21"/>
              </w:rPr>
            </w:pPr>
          </w:p>
          <w:p w14:paraId="236AF287">
            <w:pPr>
              <w:pStyle w:val="8"/>
              <w:rPr>
                <w:szCs w:val="21"/>
              </w:rPr>
            </w:pPr>
          </w:p>
          <w:p w14:paraId="5181631A">
            <w:pPr>
              <w:rPr>
                <w:szCs w:val="21"/>
              </w:rPr>
            </w:pPr>
          </w:p>
          <w:p w14:paraId="566384E3">
            <w:pPr>
              <w:pStyle w:val="8"/>
              <w:rPr>
                <w:szCs w:val="21"/>
              </w:rPr>
            </w:pPr>
          </w:p>
          <w:p w14:paraId="3FD9ADD6">
            <w:pPr>
              <w:rPr>
                <w:szCs w:val="21"/>
              </w:rPr>
            </w:pPr>
          </w:p>
          <w:p w14:paraId="10FFF4CE">
            <w:pPr>
              <w:pStyle w:val="8"/>
              <w:rPr>
                <w:szCs w:val="21"/>
              </w:rPr>
            </w:pPr>
          </w:p>
          <w:p w14:paraId="00F18D37">
            <w:pPr>
              <w:rPr>
                <w:szCs w:val="21"/>
              </w:rPr>
            </w:pPr>
          </w:p>
          <w:p w14:paraId="56DF4EC2">
            <w:pPr>
              <w:pStyle w:val="8"/>
              <w:rPr>
                <w:szCs w:val="21"/>
              </w:rPr>
            </w:pPr>
          </w:p>
          <w:p w14:paraId="604CC95E">
            <w:pPr>
              <w:rPr>
                <w:szCs w:val="21"/>
              </w:rPr>
            </w:pPr>
          </w:p>
          <w:p w14:paraId="7F3D8212">
            <w:pPr>
              <w:pStyle w:val="8"/>
              <w:rPr>
                <w:szCs w:val="21"/>
              </w:rPr>
            </w:pPr>
          </w:p>
          <w:p w14:paraId="0D6A14C0">
            <w:pPr>
              <w:rPr>
                <w:szCs w:val="21"/>
              </w:rPr>
            </w:pPr>
          </w:p>
          <w:p w14:paraId="5A04C81E">
            <w:pPr>
              <w:pStyle w:val="8"/>
              <w:rPr>
                <w:szCs w:val="21"/>
              </w:rPr>
            </w:pPr>
          </w:p>
          <w:p w14:paraId="2A7CD2C1">
            <w:pPr>
              <w:pStyle w:val="9"/>
              <w:ind w:left="0" w:firstLine="0"/>
              <w:rPr>
                <w:szCs w:val="21"/>
              </w:rPr>
            </w:pPr>
          </w:p>
          <w:p w14:paraId="5165067D">
            <w:pPr>
              <w:pStyle w:val="9"/>
              <w:ind w:left="0" w:firstLine="0"/>
              <w:rPr>
                <w:szCs w:val="21"/>
              </w:rPr>
            </w:pPr>
          </w:p>
          <w:p w14:paraId="6475F389">
            <w:pPr>
              <w:pStyle w:val="9"/>
              <w:ind w:left="0" w:firstLine="0"/>
              <w:rPr>
                <w:szCs w:val="21"/>
              </w:rPr>
            </w:pPr>
          </w:p>
          <w:p w14:paraId="5DCA565F">
            <w:pPr>
              <w:pStyle w:val="9"/>
              <w:ind w:left="0" w:firstLine="0"/>
              <w:rPr>
                <w:szCs w:val="21"/>
              </w:rPr>
            </w:pPr>
          </w:p>
          <w:p w14:paraId="362DFC73">
            <w:pPr>
              <w:pStyle w:val="9"/>
              <w:ind w:left="0" w:firstLine="0"/>
              <w:rPr>
                <w:szCs w:val="21"/>
              </w:rPr>
            </w:pPr>
          </w:p>
          <w:p w14:paraId="0B5FCDEC">
            <w:pPr>
              <w:pStyle w:val="9"/>
              <w:ind w:left="0" w:firstLine="0"/>
              <w:rPr>
                <w:szCs w:val="21"/>
              </w:rPr>
            </w:pPr>
          </w:p>
          <w:p w14:paraId="5E9667A0">
            <w:pPr>
              <w:rPr>
                <w:szCs w:val="21"/>
              </w:rPr>
            </w:pPr>
          </w:p>
          <w:p w14:paraId="7D9562C0">
            <w:pPr>
              <w:rPr>
                <w:szCs w:val="21"/>
              </w:rPr>
            </w:pPr>
          </w:p>
          <w:p w14:paraId="0CDDD578">
            <w:pPr>
              <w:pStyle w:val="8"/>
              <w:spacing w:line="360" w:lineRule="auto"/>
              <w:rPr>
                <w:sz w:val="24"/>
              </w:rPr>
            </w:pPr>
          </w:p>
          <w:p w14:paraId="1BAF3F52">
            <w:pPr>
              <w:spacing w:line="360" w:lineRule="auto"/>
              <w:jc w:val="center"/>
              <w:rPr>
                <w:szCs w:val="21"/>
              </w:rPr>
            </w:pPr>
            <w:r>
              <w:rPr>
                <w:szCs w:val="21"/>
              </w:rPr>
              <w:t>区域环境质量现状</w:t>
            </w:r>
          </w:p>
          <w:p w14:paraId="5680AC30">
            <w:pPr>
              <w:pStyle w:val="8"/>
              <w:jc w:val="center"/>
              <w:rPr>
                <w:szCs w:val="21"/>
              </w:rPr>
            </w:pPr>
          </w:p>
          <w:p w14:paraId="06C2B3AD">
            <w:pPr>
              <w:rPr>
                <w:szCs w:val="21"/>
              </w:rPr>
            </w:pPr>
          </w:p>
          <w:p w14:paraId="328C4786">
            <w:pPr>
              <w:pStyle w:val="8"/>
              <w:rPr>
                <w:szCs w:val="21"/>
              </w:rPr>
            </w:pPr>
          </w:p>
          <w:p w14:paraId="28F3316D">
            <w:pPr>
              <w:rPr>
                <w:szCs w:val="21"/>
              </w:rPr>
            </w:pPr>
          </w:p>
          <w:p w14:paraId="5CCBC4FC">
            <w:pPr>
              <w:pStyle w:val="8"/>
              <w:rPr>
                <w:szCs w:val="21"/>
              </w:rPr>
            </w:pPr>
          </w:p>
          <w:p w14:paraId="3E7082BA">
            <w:pPr>
              <w:rPr>
                <w:szCs w:val="21"/>
              </w:rPr>
            </w:pPr>
          </w:p>
          <w:p w14:paraId="595E3290">
            <w:pPr>
              <w:pStyle w:val="8"/>
              <w:rPr>
                <w:szCs w:val="21"/>
              </w:rPr>
            </w:pPr>
          </w:p>
          <w:p w14:paraId="06BF5BB3">
            <w:pPr>
              <w:rPr>
                <w:szCs w:val="21"/>
              </w:rPr>
            </w:pPr>
          </w:p>
          <w:p w14:paraId="4ED08143">
            <w:pPr>
              <w:pStyle w:val="8"/>
              <w:rPr>
                <w:szCs w:val="21"/>
              </w:rPr>
            </w:pPr>
          </w:p>
          <w:p w14:paraId="78B242D4">
            <w:pPr>
              <w:rPr>
                <w:szCs w:val="21"/>
              </w:rPr>
            </w:pPr>
          </w:p>
          <w:p w14:paraId="584E2BF1">
            <w:pPr>
              <w:pStyle w:val="8"/>
              <w:rPr>
                <w:szCs w:val="21"/>
              </w:rPr>
            </w:pPr>
          </w:p>
          <w:p w14:paraId="3B351021">
            <w:pPr>
              <w:rPr>
                <w:szCs w:val="21"/>
              </w:rPr>
            </w:pPr>
          </w:p>
          <w:p w14:paraId="666884A7">
            <w:pPr>
              <w:pStyle w:val="8"/>
              <w:rPr>
                <w:szCs w:val="21"/>
              </w:rPr>
            </w:pPr>
          </w:p>
          <w:p w14:paraId="10F616DE">
            <w:pPr>
              <w:rPr>
                <w:szCs w:val="21"/>
              </w:rPr>
            </w:pPr>
          </w:p>
          <w:p w14:paraId="36483F64">
            <w:pPr>
              <w:pStyle w:val="8"/>
              <w:rPr>
                <w:szCs w:val="21"/>
              </w:rPr>
            </w:pPr>
          </w:p>
          <w:p w14:paraId="7DF16928">
            <w:pPr>
              <w:rPr>
                <w:szCs w:val="21"/>
              </w:rPr>
            </w:pPr>
          </w:p>
          <w:p w14:paraId="4C2A8B1F">
            <w:pPr>
              <w:pStyle w:val="8"/>
              <w:rPr>
                <w:szCs w:val="21"/>
              </w:rPr>
            </w:pPr>
          </w:p>
          <w:p w14:paraId="6383B36D">
            <w:pPr>
              <w:rPr>
                <w:szCs w:val="21"/>
              </w:rPr>
            </w:pPr>
          </w:p>
          <w:p w14:paraId="0AC8E5C7">
            <w:pPr>
              <w:pStyle w:val="8"/>
              <w:rPr>
                <w:szCs w:val="21"/>
              </w:rPr>
            </w:pPr>
          </w:p>
          <w:p w14:paraId="334E0C28">
            <w:pPr>
              <w:rPr>
                <w:szCs w:val="21"/>
              </w:rPr>
            </w:pPr>
          </w:p>
          <w:p w14:paraId="4D0DAD75">
            <w:pPr>
              <w:pStyle w:val="8"/>
              <w:rPr>
                <w:szCs w:val="21"/>
              </w:rPr>
            </w:pPr>
          </w:p>
          <w:p w14:paraId="55E915C3">
            <w:pPr>
              <w:rPr>
                <w:szCs w:val="21"/>
              </w:rPr>
            </w:pPr>
          </w:p>
          <w:p w14:paraId="3B161BC1">
            <w:pPr>
              <w:pStyle w:val="8"/>
              <w:rPr>
                <w:szCs w:val="21"/>
              </w:rPr>
            </w:pPr>
          </w:p>
          <w:p w14:paraId="4CA3B770">
            <w:pPr>
              <w:rPr>
                <w:szCs w:val="21"/>
              </w:rPr>
            </w:pPr>
          </w:p>
          <w:p w14:paraId="1FA3C172">
            <w:pPr>
              <w:pStyle w:val="8"/>
              <w:rPr>
                <w:szCs w:val="21"/>
              </w:rPr>
            </w:pPr>
          </w:p>
          <w:p w14:paraId="27F40D3D">
            <w:pPr>
              <w:rPr>
                <w:szCs w:val="21"/>
              </w:rPr>
            </w:pPr>
          </w:p>
          <w:p w14:paraId="612BB556">
            <w:pPr>
              <w:pStyle w:val="8"/>
              <w:rPr>
                <w:szCs w:val="21"/>
              </w:rPr>
            </w:pPr>
          </w:p>
          <w:p w14:paraId="79DA9EEC">
            <w:pPr>
              <w:rPr>
                <w:szCs w:val="21"/>
              </w:rPr>
            </w:pPr>
          </w:p>
          <w:p w14:paraId="79CABB78">
            <w:pPr>
              <w:pStyle w:val="8"/>
              <w:rPr>
                <w:szCs w:val="21"/>
              </w:rPr>
            </w:pPr>
          </w:p>
          <w:p w14:paraId="74AC43FD">
            <w:pPr>
              <w:rPr>
                <w:szCs w:val="21"/>
              </w:rPr>
            </w:pPr>
          </w:p>
          <w:p w14:paraId="0F5EACDB">
            <w:pPr>
              <w:pStyle w:val="8"/>
              <w:rPr>
                <w:szCs w:val="21"/>
              </w:rPr>
            </w:pPr>
          </w:p>
          <w:p w14:paraId="5B76809A"/>
          <w:p w14:paraId="3CEC6454">
            <w:pPr>
              <w:pStyle w:val="8"/>
              <w:rPr>
                <w:szCs w:val="21"/>
              </w:rPr>
            </w:pPr>
          </w:p>
          <w:p w14:paraId="3287C436">
            <w:pPr>
              <w:rPr>
                <w:szCs w:val="21"/>
              </w:rPr>
            </w:pPr>
          </w:p>
          <w:p w14:paraId="63E160EB">
            <w:pPr>
              <w:pStyle w:val="8"/>
              <w:rPr>
                <w:szCs w:val="21"/>
              </w:rPr>
            </w:pPr>
          </w:p>
          <w:p w14:paraId="5FABC6C4">
            <w:pPr>
              <w:rPr>
                <w:szCs w:val="21"/>
              </w:rPr>
            </w:pPr>
          </w:p>
          <w:p w14:paraId="40FCDC30">
            <w:pPr>
              <w:pStyle w:val="8"/>
              <w:rPr>
                <w:szCs w:val="21"/>
              </w:rPr>
            </w:pPr>
          </w:p>
          <w:p w14:paraId="7DCA8076">
            <w:pPr>
              <w:rPr>
                <w:szCs w:val="21"/>
              </w:rPr>
            </w:pPr>
          </w:p>
          <w:p w14:paraId="738CE20D">
            <w:pPr>
              <w:pStyle w:val="8"/>
              <w:spacing w:line="360" w:lineRule="auto"/>
              <w:jc w:val="center"/>
              <w:rPr>
                <w:szCs w:val="21"/>
              </w:rPr>
            </w:pPr>
            <w:r>
              <w:rPr>
                <w:szCs w:val="21"/>
              </w:rPr>
              <w:t>区域环境质量现状</w:t>
            </w:r>
          </w:p>
          <w:p w14:paraId="5DC943F4">
            <w:pPr>
              <w:rPr>
                <w:szCs w:val="21"/>
              </w:rPr>
            </w:pPr>
          </w:p>
          <w:p w14:paraId="4D11ADAF">
            <w:pPr>
              <w:pStyle w:val="8"/>
              <w:rPr>
                <w:szCs w:val="21"/>
              </w:rPr>
            </w:pPr>
          </w:p>
          <w:p w14:paraId="735F5205">
            <w:pPr>
              <w:rPr>
                <w:szCs w:val="21"/>
              </w:rPr>
            </w:pPr>
          </w:p>
          <w:p w14:paraId="4BB7E650">
            <w:pPr>
              <w:pStyle w:val="8"/>
              <w:rPr>
                <w:szCs w:val="21"/>
              </w:rPr>
            </w:pPr>
          </w:p>
          <w:p w14:paraId="2DAEDF85">
            <w:pPr>
              <w:rPr>
                <w:szCs w:val="21"/>
              </w:rPr>
            </w:pPr>
          </w:p>
          <w:p w14:paraId="0F1282FF">
            <w:pPr>
              <w:pStyle w:val="8"/>
              <w:rPr>
                <w:szCs w:val="21"/>
              </w:rPr>
            </w:pPr>
          </w:p>
          <w:p w14:paraId="32CCF068">
            <w:pPr>
              <w:rPr>
                <w:szCs w:val="21"/>
              </w:rPr>
            </w:pPr>
          </w:p>
          <w:p w14:paraId="231D8A98">
            <w:pPr>
              <w:pStyle w:val="8"/>
              <w:rPr>
                <w:szCs w:val="21"/>
              </w:rPr>
            </w:pPr>
          </w:p>
          <w:p w14:paraId="44E5B9AE">
            <w:pPr>
              <w:rPr>
                <w:szCs w:val="21"/>
              </w:rPr>
            </w:pPr>
          </w:p>
          <w:p w14:paraId="3A53C0BB">
            <w:pPr>
              <w:pStyle w:val="8"/>
              <w:rPr>
                <w:szCs w:val="21"/>
              </w:rPr>
            </w:pPr>
          </w:p>
          <w:p w14:paraId="4449DE87">
            <w:pPr>
              <w:rPr>
                <w:szCs w:val="21"/>
              </w:rPr>
            </w:pPr>
          </w:p>
          <w:p w14:paraId="4ED6B37D">
            <w:pPr>
              <w:pStyle w:val="8"/>
              <w:rPr>
                <w:szCs w:val="21"/>
              </w:rPr>
            </w:pPr>
          </w:p>
          <w:p w14:paraId="76C6832F">
            <w:pPr>
              <w:rPr>
                <w:szCs w:val="21"/>
              </w:rPr>
            </w:pPr>
          </w:p>
          <w:p w14:paraId="044AE920">
            <w:pPr>
              <w:pStyle w:val="8"/>
              <w:rPr>
                <w:szCs w:val="21"/>
              </w:rPr>
            </w:pPr>
          </w:p>
          <w:p w14:paraId="38AF731E">
            <w:pPr>
              <w:rPr>
                <w:szCs w:val="21"/>
              </w:rPr>
            </w:pPr>
          </w:p>
          <w:p w14:paraId="5BD989E3">
            <w:pPr>
              <w:pStyle w:val="8"/>
              <w:rPr>
                <w:szCs w:val="21"/>
              </w:rPr>
            </w:pPr>
          </w:p>
          <w:p w14:paraId="4F2E2639">
            <w:pPr>
              <w:rPr>
                <w:szCs w:val="21"/>
              </w:rPr>
            </w:pPr>
          </w:p>
          <w:p w14:paraId="6E947224">
            <w:pPr>
              <w:pStyle w:val="8"/>
              <w:rPr>
                <w:szCs w:val="21"/>
              </w:rPr>
            </w:pPr>
          </w:p>
          <w:p w14:paraId="7B9CA9BF">
            <w:pPr>
              <w:rPr>
                <w:szCs w:val="21"/>
              </w:rPr>
            </w:pPr>
          </w:p>
          <w:p w14:paraId="71643DA6">
            <w:pPr>
              <w:pStyle w:val="8"/>
              <w:rPr>
                <w:szCs w:val="21"/>
              </w:rPr>
            </w:pPr>
          </w:p>
          <w:p w14:paraId="623D5F78">
            <w:pPr>
              <w:rPr>
                <w:szCs w:val="21"/>
              </w:rPr>
            </w:pPr>
          </w:p>
          <w:p w14:paraId="6E939245">
            <w:pPr>
              <w:pStyle w:val="8"/>
              <w:rPr>
                <w:szCs w:val="21"/>
              </w:rPr>
            </w:pPr>
          </w:p>
          <w:p w14:paraId="40F3BA59">
            <w:pPr>
              <w:rPr>
                <w:szCs w:val="21"/>
              </w:rPr>
            </w:pPr>
          </w:p>
          <w:p w14:paraId="63993A6A">
            <w:pPr>
              <w:pStyle w:val="8"/>
              <w:rPr>
                <w:szCs w:val="21"/>
              </w:rPr>
            </w:pPr>
          </w:p>
          <w:p w14:paraId="0EBF7B42">
            <w:pPr>
              <w:rPr>
                <w:szCs w:val="21"/>
              </w:rPr>
            </w:pPr>
          </w:p>
          <w:p w14:paraId="38887CE4">
            <w:pPr>
              <w:pStyle w:val="8"/>
              <w:rPr>
                <w:szCs w:val="21"/>
              </w:rPr>
            </w:pPr>
          </w:p>
          <w:p w14:paraId="4E33C0EB">
            <w:pPr>
              <w:rPr>
                <w:szCs w:val="21"/>
              </w:rPr>
            </w:pPr>
          </w:p>
          <w:p w14:paraId="0A9284D4">
            <w:pPr>
              <w:pStyle w:val="8"/>
              <w:rPr>
                <w:szCs w:val="21"/>
              </w:rPr>
            </w:pPr>
          </w:p>
          <w:p w14:paraId="20963CF8">
            <w:pPr>
              <w:rPr>
                <w:szCs w:val="21"/>
              </w:rPr>
            </w:pPr>
          </w:p>
          <w:p w14:paraId="4604A418">
            <w:pPr>
              <w:pStyle w:val="8"/>
              <w:rPr>
                <w:szCs w:val="21"/>
              </w:rPr>
            </w:pPr>
          </w:p>
          <w:p w14:paraId="1624C5B4">
            <w:pPr>
              <w:rPr>
                <w:szCs w:val="21"/>
              </w:rPr>
            </w:pPr>
          </w:p>
          <w:p w14:paraId="2C436E1B">
            <w:pPr>
              <w:pStyle w:val="8"/>
              <w:rPr>
                <w:szCs w:val="21"/>
              </w:rPr>
            </w:pPr>
          </w:p>
          <w:p w14:paraId="59B39879">
            <w:pPr>
              <w:rPr>
                <w:szCs w:val="21"/>
              </w:rPr>
            </w:pPr>
          </w:p>
          <w:p w14:paraId="328BB45D">
            <w:pPr>
              <w:pStyle w:val="8"/>
              <w:rPr>
                <w:szCs w:val="21"/>
              </w:rPr>
            </w:pPr>
          </w:p>
          <w:p w14:paraId="134945FE">
            <w:pPr>
              <w:rPr>
                <w:szCs w:val="21"/>
              </w:rPr>
            </w:pPr>
          </w:p>
          <w:p w14:paraId="059BDB76">
            <w:pPr>
              <w:pStyle w:val="8"/>
              <w:rPr>
                <w:szCs w:val="21"/>
              </w:rPr>
            </w:pPr>
          </w:p>
          <w:p w14:paraId="1B2A671F">
            <w:pPr>
              <w:rPr>
                <w:szCs w:val="21"/>
              </w:rPr>
            </w:pPr>
          </w:p>
          <w:p w14:paraId="6C77E28E">
            <w:pPr>
              <w:pStyle w:val="9"/>
              <w:ind w:left="0" w:firstLine="0"/>
              <w:rPr>
                <w:szCs w:val="21"/>
              </w:rPr>
            </w:pPr>
          </w:p>
          <w:p w14:paraId="14323FDD">
            <w:pPr>
              <w:rPr>
                <w:szCs w:val="21"/>
              </w:rPr>
            </w:pPr>
          </w:p>
          <w:p w14:paraId="17241689">
            <w:pPr>
              <w:pStyle w:val="8"/>
              <w:rPr>
                <w:szCs w:val="21"/>
              </w:rPr>
            </w:pPr>
          </w:p>
          <w:p w14:paraId="0A2FDDBD">
            <w:pPr>
              <w:pStyle w:val="8"/>
              <w:adjustRightInd w:val="0"/>
              <w:snapToGrid w:val="0"/>
              <w:rPr>
                <w:szCs w:val="21"/>
              </w:rPr>
            </w:pPr>
          </w:p>
          <w:p w14:paraId="714177BC">
            <w:pPr>
              <w:pStyle w:val="9"/>
              <w:adjustRightInd w:val="0"/>
              <w:snapToGrid w:val="0"/>
              <w:ind w:left="0"/>
            </w:pPr>
          </w:p>
          <w:p w14:paraId="50418A1B">
            <w:pPr>
              <w:adjustRightInd w:val="0"/>
              <w:snapToGrid w:val="0"/>
            </w:pPr>
          </w:p>
          <w:p w14:paraId="2F065048">
            <w:pPr>
              <w:adjustRightInd w:val="0"/>
              <w:snapToGrid w:val="0"/>
              <w:spacing w:line="360" w:lineRule="auto"/>
              <w:rPr>
                <w:szCs w:val="21"/>
              </w:rPr>
            </w:pPr>
          </w:p>
          <w:p w14:paraId="5CCCFBFF">
            <w:pPr>
              <w:adjustRightInd w:val="0"/>
              <w:snapToGrid w:val="0"/>
              <w:spacing w:line="360" w:lineRule="auto"/>
              <w:rPr>
                <w:szCs w:val="21"/>
              </w:rPr>
            </w:pPr>
            <w:r>
              <w:rPr>
                <w:szCs w:val="21"/>
              </w:rPr>
              <w:t>区域环境质量现状</w:t>
            </w:r>
          </w:p>
          <w:p w14:paraId="51163DC4">
            <w:pPr>
              <w:pStyle w:val="8"/>
              <w:rPr>
                <w:szCs w:val="21"/>
              </w:rPr>
            </w:pPr>
          </w:p>
          <w:p w14:paraId="3EF4353B">
            <w:pPr>
              <w:rPr>
                <w:szCs w:val="21"/>
              </w:rPr>
            </w:pPr>
          </w:p>
          <w:p w14:paraId="1BC4E493">
            <w:pPr>
              <w:pStyle w:val="8"/>
              <w:rPr>
                <w:szCs w:val="21"/>
              </w:rPr>
            </w:pPr>
          </w:p>
          <w:p w14:paraId="1943B55A">
            <w:pPr>
              <w:rPr>
                <w:szCs w:val="21"/>
              </w:rPr>
            </w:pPr>
          </w:p>
          <w:p w14:paraId="7246314C">
            <w:pPr>
              <w:pStyle w:val="8"/>
              <w:rPr>
                <w:szCs w:val="21"/>
              </w:rPr>
            </w:pPr>
          </w:p>
          <w:p w14:paraId="6060616D">
            <w:pPr>
              <w:rPr>
                <w:szCs w:val="21"/>
              </w:rPr>
            </w:pPr>
          </w:p>
          <w:p w14:paraId="1096564A">
            <w:pPr>
              <w:pStyle w:val="8"/>
              <w:rPr>
                <w:szCs w:val="21"/>
              </w:rPr>
            </w:pPr>
          </w:p>
          <w:p w14:paraId="787B834A">
            <w:pPr>
              <w:rPr>
                <w:szCs w:val="21"/>
              </w:rPr>
            </w:pPr>
          </w:p>
          <w:p w14:paraId="0E3EA758">
            <w:pPr>
              <w:pStyle w:val="8"/>
              <w:rPr>
                <w:szCs w:val="21"/>
              </w:rPr>
            </w:pPr>
          </w:p>
          <w:p w14:paraId="36BCE5C1">
            <w:pPr>
              <w:rPr>
                <w:szCs w:val="21"/>
              </w:rPr>
            </w:pPr>
          </w:p>
          <w:p w14:paraId="718B1049">
            <w:pPr>
              <w:pStyle w:val="8"/>
              <w:rPr>
                <w:szCs w:val="21"/>
              </w:rPr>
            </w:pPr>
          </w:p>
          <w:p w14:paraId="02EF1BED">
            <w:pPr>
              <w:rPr>
                <w:szCs w:val="21"/>
              </w:rPr>
            </w:pPr>
          </w:p>
          <w:p w14:paraId="56E48628">
            <w:pPr>
              <w:pStyle w:val="8"/>
              <w:rPr>
                <w:szCs w:val="21"/>
              </w:rPr>
            </w:pPr>
          </w:p>
          <w:p w14:paraId="5C2189E1">
            <w:pPr>
              <w:rPr>
                <w:szCs w:val="21"/>
              </w:rPr>
            </w:pPr>
          </w:p>
          <w:p w14:paraId="612459D2">
            <w:pPr>
              <w:pStyle w:val="8"/>
              <w:rPr>
                <w:szCs w:val="21"/>
              </w:rPr>
            </w:pPr>
          </w:p>
          <w:p w14:paraId="0F36FEB9">
            <w:pPr>
              <w:rPr>
                <w:szCs w:val="21"/>
              </w:rPr>
            </w:pPr>
          </w:p>
          <w:p w14:paraId="0AC02384">
            <w:pPr>
              <w:pStyle w:val="8"/>
              <w:rPr>
                <w:szCs w:val="21"/>
              </w:rPr>
            </w:pPr>
          </w:p>
          <w:p w14:paraId="59A378B7">
            <w:pPr>
              <w:rPr>
                <w:szCs w:val="21"/>
              </w:rPr>
            </w:pPr>
          </w:p>
          <w:p w14:paraId="76BE1443">
            <w:pPr>
              <w:rPr>
                <w:szCs w:val="21"/>
              </w:rPr>
            </w:pPr>
          </w:p>
        </w:tc>
        <w:tc>
          <w:tcPr>
            <w:tcW w:w="8544" w:type="dxa"/>
            <w:vAlign w:val="center"/>
          </w:tcPr>
          <w:p w14:paraId="3A3A9BFF">
            <w:pPr>
              <w:pStyle w:val="65"/>
              <w:adjustRightInd w:val="0"/>
              <w:snapToGrid w:val="0"/>
              <w:spacing w:line="360" w:lineRule="auto"/>
              <w:ind w:firstLine="0" w:firstLineChars="0"/>
              <w:rPr>
                <w:b/>
                <w:bCs/>
              </w:rPr>
            </w:pPr>
            <w:r>
              <w:rPr>
                <w:b/>
                <w:bCs/>
              </w:rPr>
              <w:t>1、大气环境质量现状</w:t>
            </w:r>
          </w:p>
          <w:p w14:paraId="0A1B8B4B">
            <w:pPr>
              <w:pStyle w:val="65"/>
              <w:adjustRightInd w:val="0"/>
              <w:snapToGrid w:val="0"/>
              <w:spacing w:line="360" w:lineRule="auto"/>
              <w:ind w:firstLine="422"/>
              <w:rPr>
                <w:b/>
                <w:bCs/>
              </w:rPr>
            </w:pPr>
            <w:r>
              <w:rPr>
                <w:b/>
                <w:bCs/>
              </w:rPr>
              <w:t>（1）常规污染物环境质量现状</w:t>
            </w:r>
          </w:p>
          <w:p w14:paraId="29815A25">
            <w:pPr>
              <w:autoSpaceDE w:val="0"/>
              <w:autoSpaceDN w:val="0"/>
              <w:adjustRightInd w:val="0"/>
              <w:snapToGrid w:val="0"/>
              <w:spacing w:line="360" w:lineRule="auto"/>
              <w:ind w:firstLine="420" w:firstLineChars="200"/>
            </w:pPr>
            <w:r>
              <w:t>根据《环境影响评价技术导则 大气环境》（HJ2.2-2018）中规定：基本污染物环境质量现状数据，优先采用国家或地方生态环境主管部门公开发布的评价基准年环境质量公告或环境质量报告中的数据或结论。本次评价选取202</w:t>
            </w:r>
            <w:r>
              <w:rPr>
                <w:rFonts w:hint="eastAsia"/>
              </w:rPr>
              <w:t>4</w:t>
            </w:r>
            <w:r>
              <w:t>年作为评价基准年，根据《202</w:t>
            </w:r>
            <w:r>
              <w:rPr>
                <w:rFonts w:hint="eastAsia"/>
              </w:rPr>
              <w:t>4</w:t>
            </w:r>
            <w:r>
              <w:t>年常州市生态环境状况公报》，判定项目所在区域环境空气质量的达标情况，具体见表3-1。</w:t>
            </w:r>
          </w:p>
          <w:p w14:paraId="197FFC34">
            <w:pPr>
              <w:pStyle w:val="6"/>
              <w:keepNext/>
              <w:jc w:val="center"/>
              <w:rPr>
                <w:rFonts w:ascii="Times New Roman" w:hAnsi="Times New Roman"/>
                <w:color w:val="auto"/>
                <w:sz w:val="21"/>
                <w:szCs w:val="21"/>
              </w:rPr>
            </w:pPr>
            <w:r>
              <w:rPr>
                <w:rFonts w:ascii="Times New Roman" w:hAnsi="Times New Roman"/>
                <w:color w:val="auto"/>
                <w:sz w:val="21"/>
                <w:szCs w:val="21"/>
              </w:rPr>
              <w:t>表3-1  项目所在地环境空气质量现状</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50"/>
              <w:gridCol w:w="2752"/>
              <w:gridCol w:w="1237"/>
              <w:gridCol w:w="1179"/>
              <w:gridCol w:w="1021"/>
              <w:gridCol w:w="1189"/>
            </w:tblGrid>
            <w:tr w14:paraId="6AD099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tcBorders>
                    <w:top w:val="single" w:color="auto" w:sz="12" w:space="0"/>
                    <w:left w:val="nil"/>
                  </w:tcBorders>
                  <w:vAlign w:val="center"/>
                </w:tcPr>
                <w:p w14:paraId="389D38BA">
                  <w:pPr>
                    <w:adjustRightInd w:val="0"/>
                    <w:snapToGrid w:val="0"/>
                    <w:jc w:val="center"/>
                    <w:rPr>
                      <w:b/>
                      <w:kern w:val="0"/>
                      <w:szCs w:val="21"/>
                    </w:rPr>
                  </w:pPr>
                  <w:r>
                    <w:rPr>
                      <w:b/>
                      <w:kern w:val="0"/>
                      <w:szCs w:val="21"/>
                    </w:rPr>
                    <w:t>污染物</w:t>
                  </w:r>
                </w:p>
              </w:tc>
              <w:tc>
                <w:tcPr>
                  <w:tcW w:w="2752" w:type="dxa"/>
                  <w:tcBorders>
                    <w:top w:val="single" w:color="auto" w:sz="12" w:space="0"/>
                  </w:tcBorders>
                  <w:vAlign w:val="center"/>
                </w:tcPr>
                <w:p w14:paraId="305C895C">
                  <w:pPr>
                    <w:adjustRightInd w:val="0"/>
                    <w:snapToGrid w:val="0"/>
                    <w:jc w:val="center"/>
                    <w:rPr>
                      <w:b/>
                      <w:kern w:val="0"/>
                      <w:szCs w:val="21"/>
                    </w:rPr>
                  </w:pPr>
                  <w:r>
                    <w:rPr>
                      <w:b/>
                      <w:kern w:val="0"/>
                      <w:szCs w:val="21"/>
                    </w:rPr>
                    <w:t>年平均指标</w:t>
                  </w:r>
                </w:p>
              </w:tc>
              <w:tc>
                <w:tcPr>
                  <w:tcW w:w="1237" w:type="dxa"/>
                  <w:tcBorders>
                    <w:top w:val="single" w:color="auto" w:sz="12" w:space="0"/>
                  </w:tcBorders>
                  <w:vAlign w:val="center"/>
                </w:tcPr>
                <w:p w14:paraId="4C13FB6D">
                  <w:pPr>
                    <w:adjustRightInd w:val="0"/>
                    <w:snapToGrid w:val="0"/>
                    <w:jc w:val="center"/>
                    <w:rPr>
                      <w:b/>
                      <w:szCs w:val="21"/>
                    </w:rPr>
                  </w:pPr>
                  <w:r>
                    <w:rPr>
                      <w:b/>
                      <w:szCs w:val="21"/>
                    </w:rPr>
                    <w:t>现状浓度</w:t>
                  </w:r>
                </w:p>
                <w:p w14:paraId="0D933075">
                  <w:pPr>
                    <w:adjustRightInd w:val="0"/>
                    <w:snapToGrid w:val="0"/>
                    <w:jc w:val="center"/>
                    <w:rPr>
                      <w:b/>
                      <w:szCs w:val="21"/>
                    </w:rPr>
                  </w:pPr>
                  <w:r>
                    <w:rPr>
                      <w:b/>
                      <w:szCs w:val="21"/>
                    </w:rPr>
                    <w:t>μg/m</w:t>
                  </w:r>
                  <w:r>
                    <w:rPr>
                      <w:b/>
                      <w:szCs w:val="21"/>
                      <w:vertAlign w:val="superscript"/>
                    </w:rPr>
                    <w:t>3</w:t>
                  </w:r>
                </w:p>
              </w:tc>
              <w:tc>
                <w:tcPr>
                  <w:tcW w:w="1179" w:type="dxa"/>
                  <w:tcBorders>
                    <w:top w:val="single" w:color="auto" w:sz="12" w:space="0"/>
                  </w:tcBorders>
                  <w:vAlign w:val="center"/>
                </w:tcPr>
                <w:p w14:paraId="3F77972F">
                  <w:pPr>
                    <w:adjustRightInd w:val="0"/>
                    <w:snapToGrid w:val="0"/>
                    <w:jc w:val="center"/>
                    <w:rPr>
                      <w:b/>
                      <w:szCs w:val="21"/>
                    </w:rPr>
                  </w:pPr>
                  <w:r>
                    <w:rPr>
                      <w:b/>
                      <w:szCs w:val="21"/>
                    </w:rPr>
                    <w:t>标准限值</w:t>
                  </w:r>
                </w:p>
                <w:p w14:paraId="0602BF82">
                  <w:pPr>
                    <w:adjustRightInd w:val="0"/>
                    <w:snapToGrid w:val="0"/>
                    <w:jc w:val="center"/>
                    <w:rPr>
                      <w:b/>
                      <w:szCs w:val="21"/>
                    </w:rPr>
                  </w:pPr>
                  <w:r>
                    <w:rPr>
                      <w:b/>
                      <w:szCs w:val="21"/>
                    </w:rPr>
                    <w:t>μg/m</w:t>
                  </w:r>
                  <w:r>
                    <w:rPr>
                      <w:b/>
                      <w:szCs w:val="21"/>
                      <w:vertAlign w:val="superscript"/>
                    </w:rPr>
                    <w:t>3</w:t>
                  </w:r>
                </w:p>
              </w:tc>
              <w:tc>
                <w:tcPr>
                  <w:tcW w:w="1021" w:type="dxa"/>
                  <w:tcBorders>
                    <w:top w:val="single" w:color="auto" w:sz="12" w:space="0"/>
                  </w:tcBorders>
                  <w:vAlign w:val="center"/>
                </w:tcPr>
                <w:p w14:paraId="5AAB5223">
                  <w:pPr>
                    <w:adjustRightInd w:val="0"/>
                    <w:snapToGrid w:val="0"/>
                    <w:jc w:val="center"/>
                    <w:rPr>
                      <w:b/>
                      <w:kern w:val="0"/>
                      <w:szCs w:val="21"/>
                    </w:rPr>
                  </w:pPr>
                  <w:r>
                    <w:rPr>
                      <w:b/>
                      <w:kern w:val="0"/>
                      <w:szCs w:val="21"/>
                    </w:rPr>
                    <w:t>达标率</w:t>
                  </w:r>
                </w:p>
                <w:p w14:paraId="1620B2E5">
                  <w:pPr>
                    <w:adjustRightInd w:val="0"/>
                    <w:snapToGrid w:val="0"/>
                    <w:jc w:val="center"/>
                    <w:rPr>
                      <w:b/>
                      <w:kern w:val="0"/>
                      <w:szCs w:val="21"/>
                    </w:rPr>
                  </w:pPr>
                  <w:r>
                    <w:rPr>
                      <w:b/>
                      <w:kern w:val="0"/>
                      <w:szCs w:val="21"/>
                    </w:rPr>
                    <w:t>%</w:t>
                  </w:r>
                </w:p>
              </w:tc>
              <w:tc>
                <w:tcPr>
                  <w:tcW w:w="1189" w:type="dxa"/>
                  <w:tcBorders>
                    <w:top w:val="single" w:color="auto" w:sz="12" w:space="0"/>
                    <w:right w:val="nil"/>
                  </w:tcBorders>
                  <w:vAlign w:val="center"/>
                </w:tcPr>
                <w:p w14:paraId="655A6F07">
                  <w:pPr>
                    <w:adjustRightInd w:val="0"/>
                    <w:snapToGrid w:val="0"/>
                    <w:jc w:val="center"/>
                    <w:rPr>
                      <w:b/>
                      <w:kern w:val="0"/>
                      <w:szCs w:val="21"/>
                    </w:rPr>
                  </w:pPr>
                  <w:r>
                    <w:rPr>
                      <w:b/>
                      <w:kern w:val="0"/>
                      <w:szCs w:val="21"/>
                    </w:rPr>
                    <w:t>达标情况</w:t>
                  </w:r>
                </w:p>
              </w:tc>
            </w:tr>
            <w:tr w14:paraId="7695E3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restart"/>
                  <w:tcBorders>
                    <w:left w:val="nil"/>
                  </w:tcBorders>
                  <w:vAlign w:val="center"/>
                </w:tcPr>
                <w:p w14:paraId="59CEB16A">
                  <w:pPr>
                    <w:pStyle w:val="91"/>
                    <w:rPr>
                      <w:rFonts w:eastAsia="宋体"/>
                      <w:kern w:val="0"/>
                      <w:szCs w:val="21"/>
                    </w:rPr>
                  </w:pPr>
                  <w:r>
                    <w:rPr>
                      <w:rFonts w:eastAsia="宋体"/>
                      <w:szCs w:val="21"/>
                    </w:rPr>
                    <w:t>PM</w:t>
                  </w:r>
                  <w:r>
                    <w:rPr>
                      <w:rFonts w:eastAsia="宋体"/>
                      <w:szCs w:val="21"/>
                      <w:vertAlign w:val="subscript"/>
                    </w:rPr>
                    <w:t>10</w:t>
                  </w:r>
                </w:p>
              </w:tc>
              <w:tc>
                <w:tcPr>
                  <w:tcW w:w="2752" w:type="dxa"/>
                  <w:vAlign w:val="center"/>
                </w:tcPr>
                <w:p w14:paraId="023E92C7">
                  <w:pPr>
                    <w:pStyle w:val="91"/>
                    <w:rPr>
                      <w:rFonts w:eastAsia="宋体"/>
                      <w:kern w:val="0"/>
                      <w:szCs w:val="21"/>
                    </w:rPr>
                  </w:pPr>
                  <w:r>
                    <w:rPr>
                      <w:rFonts w:eastAsia="宋体"/>
                      <w:szCs w:val="21"/>
                    </w:rPr>
                    <w:t>年平均质量浓度</w:t>
                  </w:r>
                </w:p>
              </w:tc>
              <w:tc>
                <w:tcPr>
                  <w:tcW w:w="1237" w:type="dxa"/>
                  <w:vAlign w:val="center"/>
                </w:tcPr>
                <w:p w14:paraId="66481EB2">
                  <w:pPr>
                    <w:pStyle w:val="91"/>
                    <w:rPr>
                      <w:rFonts w:eastAsia="宋体"/>
                      <w:kern w:val="0"/>
                      <w:szCs w:val="21"/>
                    </w:rPr>
                  </w:pPr>
                  <w:r>
                    <w:rPr>
                      <w:rFonts w:eastAsia="宋体"/>
                      <w:szCs w:val="21"/>
                    </w:rPr>
                    <w:t>5</w:t>
                  </w:r>
                  <w:r>
                    <w:rPr>
                      <w:rFonts w:hint="eastAsia" w:eastAsia="宋体"/>
                      <w:szCs w:val="21"/>
                    </w:rPr>
                    <w:t>2</w:t>
                  </w:r>
                </w:p>
              </w:tc>
              <w:tc>
                <w:tcPr>
                  <w:tcW w:w="1179" w:type="dxa"/>
                  <w:vAlign w:val="center"/>
                </w:tcPr>
                <w:p w14:paraId="2CD9712B">
                  <w:pPr>
                    <w:pStyle w:val="91"/>
                    <w:rPr>
                      <w:rFonts w:eastAsia="宋体"/>
                      <w:kern w:val="0"/>
                      <w:szCs w:val="21"/>
                    </w:rPr>
                  </w:pPr>
                  <w:r>
                    <w:rPr>
                      <w:rFonts w:eastAsia="宋体"/>
                      <w:szCs w:val="21"/>
                    </w:rPr>
                    <w:t>70</w:t>
                  </w:r>
                </w:p>
              </w:tc>
              <w:tc>
                <w:tcPr>
                  <w:tcW w:w="1021" w:type="dxa"/>
                  <w:vAlign w:val="center"/>
                </w:tcPr>
                <w:p w14:paraId="74378736">
                  <w:pPr>
                    <w:pStyle w:val="91"/>
                    <w:rPr>
                      <w:rFonts w:eastAsia="宋体"/>
                      <w:szCs w:val="21"/>
                    </w:rPr>
                  </w:pPr>
                  <w:r>
                    <w:rPr>
                      <w:rFonts w:eastAsia="宋体"/>
                      <w:szCs w:val="21"/>
                    </w:rPr>
                    <w:t>100</w:t>
                  </w:r>
                </w:p>
              </w:tc>
              <w:tc>
                <w:tcPr>
                  <w:tcW w:w="1189" w:type="dxa"/>
                  <w:vMerge w:val="restart"/>
                  <w:tcBorders>
                    <w:right w:val="nil"/>
                  </w:tcBorders>
                  <w:vAlign w:val="center"/>
                </w:tcPr>
                <w:p w14:paraId="27EC6D33">
                  <w:pPr>
                    <w:pStyle w:val="91"/>
                    <w:rPr>
                      <w:rFonts w:eastAsia="宋体"/>
                      <w:kern w:val="0"/>
                      <w:szCs w:val="21"/>
                    </w:rPr>
                  </w:pPr>
                  <w:r>
                    <w:rPr>
                      <w:rFonts w:eastAsia="宋体"/>
                      <w:szCs w:val="21"/>
                    </w:rPr>
                    <w:t>达标</w:t>
                  </w:r>
                </w:p>
              </w:tc>
            </w:tr>
            <w:tr w14:paraId="2C7FE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continue"/>
                  <w:tcBorders>
                    <w:left w:val="nil"/>
                  </w:tcBorders>
                  <w:vAlign w:val="center"/>
                </w:tcPr>
                <w:p w14:paraId="18BD6284">
                  <w:pPr>
                    <w:pStyle w:val="91"/>
                    <w:rPr>
                      <w:rFonts w:eastAsia="宋体"/>
                      <w:kern w:val="0"/>
                      <w:szCs w:val="21"/>
                    </w:rPr>
                  </w:pPr>
                </w:p>
              </w:tc>
              <w:tc>
                <w:tcPr>
                  <w:tcW w:w="2752" w:type="dxa"/>
                  <w:vAlign w:val="center"/>
                </w:tcPr>
                <w:p w14:paraId="74BBC996">
                  <w:pPr>
                    <w:pStyle w:val="91"/>
                    <w:rPr>
                      <w:rFonts w:eastAsia="宋体"/>
                      <w:kern w:val="0"/>
                      <w:szCs w:val="21"/>
                    </w:rPr>
                  </w:pPr>
                  <w:r>
                    <w:rPr>
                      <w:rFonts w:eastAsia="宋体"/>
                      <w:szCs w:val="21"/>
                    </w:rPr>
                    <w:t>日平均质量浓度范围</w:t>
                  </w:r>
                </w:p>
              </w:tc>
              <w:tc>
                <w:tcPr>
                  <w:tcW w:w="1237" w:type="dxa"/>
                  <w:vAlign w:val="center"/>
                </w:tcPr>
                <w:p w14:paraId="0978BC7C">
                  <w:pPr>
                    <w:pStyle w:val="91"/>
                    <w:rPr>
                      <w:rFonts w:eastAsia="宋体"/>
                      <w:kern w:val="0"/>
                      <w:szCs w:val="21"/>
                    </w:rPr>
                  </w:pPr>
                  <w:r>
                    <w:rPr>
                      <w:rFonts w:hint="eastAsia" w:eastAsia="宋体"/>
                      <w:szCs w:val="21"/>
                    </w:rPr>
                    <w:t>9-206</w:t>
                  </w:r>
                </w:p>
              </w:tc>
              <w:tc>
                <w:tcPr>
                  <w:tcW w:w="1179" w:type="dxa"/>
                  <w:vAlign w:val="center"/>
                </w:tcPr>
                <w:p w14:paraId="1D72A157">
                  <w:pPr>
                    <w:pStyle w:val="91"/>
                    <w:rPr>
                      <w:rFonts w:eastAsia="宋体"/>
                      <w:kern w:val="0"/>
                      <w:szCs w:val="21"/>
                    </w:rPr>
                  </w:pPr>
                  <w:r>
                    <w:rPr>
                      <w:rFonts w:eastAsia="宋体"/>
                      <w:szCs w:val="21"/>
                    </w:rPr>
                    <w:t>150</w:t>
                  </w:r>
                </w:p>
              </w:tc>
              <w:tc>
                <w:tcPr>
                  <w:tcW w:w="1021" w:type="dxa"/>
                  <w:vAlign w:val="center"/>
                </w:tcPr>
                <w:p w14:paraId="0C08C850">
                  <w:pPr>
                    <w:pStyle w:val="91"/>
                    <w:rPr>
                      <w:rFonts w:eastAsia="宋体"/>
                      <w:szCs w:val="21"/>
                    </w:rPr>
                  </w:pPr>
                  <w:r>
                    <w:rPr>
                      <w:rFonts w:eastAsia="宋体"/>
                      <w:szCs w:val="21"/>
                    </w:rPr>
                    <w:t>98.</w:t>
                  </w:r>
                  <w:r>
                    <w:rPr>
                      <w:rFonts w:hint="eastAsia" w:eastAsia="宋体"/>
                      <w:szCs w:val="21"/>
                    </w:rPr>
                    <w:t>3</w:t>
                  </w:r>
                  <w:r>
                    <w:rPr>
                      <w:rFonts w:hint="eastAsia" w:eastAsia="宋体"/>
                      <w:sz w:val="24"/>
                      <w:szCs w:val="24"/>
                      <w:vertAlign w:val="superscript"/>
                    </w:rPr>
                    <w:t>②</w:t>
                  </w:r>
                </w:p>
              </w:tc>
              <w:tc>
                <w:tcPr>
                  <w:tcW w:w="1189" w:type="dxa"/>
                  <w:vMerge w:val="continue"/>
                  <w:tcBorders>
                    <w:right w:val="nil"/>
                  </w:tcBorders>
                  <w:vAlign w:val="center"/>
                </w:tcPr>
                <w:p w14:paraId="1FA4089C">
                  <w:pPr>
                    <w:adjustRightInd w:val="0"/>
                    <w:snapToGrid w:val="0"/>
                    <w:jc w:val="center"/>
                    <w:rPr>
                      <w:kern w:val="0"/>
                      <w:szCs w:val="21"/>
                    </w:rPr>
                  </w:pPr>
                </w:p>
              </w:tc>
            </w:tr>
            <w:tr w14:paraId="333216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restart"/>
                  <w:tcBorders>
                    <w:left w:val="nil"/>
                  </w:tcBorders>
                  <w:vAlign w:val="center"/>
                </w:tcPr>
                <w:p w14:paraId="019039F9">
                  <w:pPr>
                    <w:pStyle w:val="91"/>
                    <w:rPr>
                      <w:rFonts w:eastAsia="宋体"/>
                      <w:kern w:val="0"/>
                      <w:szCs w:val="21"/>
                    </w:rPr>
                  </w:pPr>
                  <w:r>
                    <w:rPr>
                      <w:rFonts w:eastAsia="宋体"/>
                      <w:szCs w:val="21"/>
                    </w:rPr>
                    <w:t>PM</w:t>
                  </w:r>
                  <w:r>
                    <w:rPr>
                      <w:rFonts w:eastAsia="宋体"/>
                      <w:szCs w:val="21"/>
                      <w:vertAlign w:val="subscript"/>
                    </w:rPr>
                    <w:t>2.5</w:t>
                  </w:r>
                </w:p>
              </w:tc>
              <w:tc>
                <w:tcPr>
                  <w:tcW w:w="2752" w:type="dxa"/>
                  <w:vAlign w:val="center"/>
                </w:tcPr>
                <w:p w14:paraId="40295D2B">
                  <w:pPr>
                    <w:pStyle w:val="91"/>
                    <w:rPr>
                      <w:rFonts w:eastAsia="宋体"/>
                      <w:kern w:val="0"/>
                      <w:szCs w:val="21"/>
                    </w:rPr>
                  </w:pPr>
                  <w:r>
                    <w:rPr>
                      <w:rFonts w:eastAsia="宋体"/>
                      <w:szCs w:val="21"/>
                    </w:rPr>
                    <w:t>年平均质量浓度</w:t>
                  </w:r>
                </w:p>
              </w:tc>
              <w:tc>
                <w:tcPr>
                  <w:tcW w:w="1237" w:type="dxa"/>
                  <w:vAlign w:val="center"/>
                </w:tcPr>
                <w:p w14:paraId="3DEB6E61">
                  <w:pPr>
                    <w:pStyle w:val="91"/>
                    <w:rPr>
                      <w:rFonts w:eastAsia="宋体"/>
                      <w:kern w:val="0"/>
                      <w:szCs w:val="21"/>
                    </w:rPr>
                  </w:pPr>
                  <w:r>
                    <w:rPr>
                      <w:rFonts w:hint="eastAsia" w:eastAsia="宋体"/>
                      <w:szCs w:val="21"/>
                    </w:rPr>
                    <w:t>32</w:t>
                  </w:r>
                </w:p>
              </w:tc>
              <w:tc>
                <w:tcPr>
                  <w:tcW w:w="1179" w:type="dxa"/>
                  <w:vAlign w:val="center"/>
                </w:tcPr>
                <w:p w14:paraId="2A8A6C44">
                  <w:pPr>
                    <w:pStyle w:val="91"/>
                    <w:rPr>
                      <w:rFonts w:eastAsia="宋体"/>
                      <w:kern w:val="0"/>
                      <w:szCs w:val="21"/>
                    </w:rPr>
                  </w:pPr>
                  <w:r>
                    <w:rPr>
                      <w:rFonts w:eastAsia="宋体"/>
                      <w:szCs w:val="21"/>
                    </w:rPr>
                    <w:t>35</w:t>
                  </w:r>
                </w:p>
              </w:tc>
              <w:tc>
                <w:tcPr>
                  <w:tcW w:w="1021" w:type="dxa"/>
                  <w:vAlign w:val="center"/>
                </w:tcPr>
                <w:p w14:paraId="7176DA67">
                  <w:pPr>
                    <w:pStyle w:val="91"/>
                    <w:rPr>
                      <w:rFonts w:eastAsia="宋体"/>
                      <w:szCs w:val="21"/>
                    </w:rPr>
                  </w:pPr>
                  <w:r>
                    <w:rPr>
                      <w:rFonts w:eastAsia="宋体"/>
                      <w:szCs w:val="21"/>
                    </w:rPr>
                    <w:t>100</w:t>
                  </w:r>
                </w:p>
              </w:tc>
              <w:tc>
                <w:tcPr>
                  <w:tcW w:w="1189" w:type="dxa"/>
                  <w:tcBorders>
                    <w:right w:val="nil"/>
                  </w:tcBorders>
                  <w:vAlign w:val="center"/>
                </w:tcPr>
                <w:p w14:paraId="21FE4675">
                  <w:pPr>
                    <w:pStyle w:val="91"/>
                    <w:rPr>
                      <w:rFonts w:eastAsia="宋体"/>
                      <w:kern w:val="0"/>
                      <w:szCs w:val="21"/>
                    </w:rPr>
                  </w:pPr>
                  <w:r>
                    <w:rPr>
                      <w:rFonts w:hint="eastAsia" w:eastAsia="宋体"/>
                      <w:szCs w:val="21"/>
                    </w:rPr>
                    <w:t>达标</w:t>
                  </w:r>
                </w:p>
              </w:tc>
            </w:tr>
            <w:tr w14:paraId="6DF9E5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continue"/>
                  <w:tcBorders>
                    <w:left w:val="nil"/>
                  </w:tcBorders>
                  <w:vAlign w:val="center"/>
                </w:tcPr>
                <w:p w14:paraId="64EE17F2">
                  <w:pPr>
                    <w:pStyle w:val="91"/>
                    <w:rPr>
                      <w:rFonts w:eastAsia="宋体"/>
                      <w:kern w:val="0"/>
                      <w:szCs w:val="21"/>
                    </w:rPr>
                  </w:pPr>
                </w:p>
              </w:tc>
              <w:tc>
                <w:tcPr>
                  <w:tcW w:w="2752" w:type="dxa"/>
                  <w:vAlign w:val="center"/>
                </w:tcPr>
                <w:p w14:paraId="69B11772">
                  <w:pPr>
                    <w:pStyle w:val="91"/>
                    <w:rPr>
                      <w:rFonts w:eastAsia="宋体"/>
                      <w:kern w:val="0"/>
                      <w:szCs w:val="21"/>
                    </w:rPr>
                  </w:pPr>
                  <w:r>
                    <w:rPr>
                      <w:rFonts w:eastAsia="宋体"/>
                      <w:szCs w:val="21"/>
                    </w:rPr>
                    <w:t>百分位数日平均质量浓度范围</w:t>
                  </w:r>
                </w:p>
              </w:tc>
              <w:tc>
                <w:tcPr>
                  <w:tcW w:w="1237" w:type="dxa"/>
                  <w:vAlign w:val="center"/>
                </w:tcPr>
                <w:p w14:paraId="38841129">
                  <w:pPr>
                    <w:pStyle w:val="91"/>
                    <w:rPr>
                      <w:rFonts w:eastAsia="宋体"/>
                      <w:kern w:val="0"/>
                      <w:szCs w:val="21"/>
                    </w:rPr>
                  </w:pPr>
                  <w:r>
                    <w:rPr>
                      <w:rFonts w:hint="eastAsia" w:eastAsia="宋体"/>
                      <w:szCs w:val="21"/>
                    </w:rPr>
                    <w:t>5-157</w:t>
                  </w:r>
                </w:p>
              </w:tc>
              <w:tc>
                <w:tcPr>
                  <w:tcW w:w="1179" w:type="dxa"/>
                  <w:vAlign w:val="center"/>
                </w:tcPr>
                <w:p w14:paraId="494DECD0">
                  <w:pPr>
                    <w:pStyle w:val="91"/>
                    <w:rPr>
                      <w:rFonts w:eastAsia="宋体"/>
                      <w:kern w:val="0"/>
                      <w:szCs w:val="21"/>
                    </w:rPr>
                  </w:pPr>
                  <w:r>
                    <w:rPr>
                      <w:rFonts w:eastAsia="宋体"/>
                      <w:szCs w:val="21"/>
                    </w:rPr>
                    <w:t>75</w:t>
                  </w:r>
                </w:p>
              </w:tc>
              <w:tc>
                <w:tcPr>
                  <w:tcW w:w="1021" w:type="dxa"/>
                  <w:vAlign w:val="center"/>
                </w:tcPr>
                <w:p w14:paraId="18B6F5C1">
                  <w:pPr>
                    <w:pStyle w:val="91"/>
                    <w:rPr>
                      <w:rFonts w:eastAsia="宋体"/>
                      <w:szCs w:val="21"/>
                    </w:rPr>
                  </w:pPr>
                  <w:r>
                    <w:rPr>
                      <w:rFonts w:eastAsia="宋体"/>
                      <w:szCs w:val="21"/>
                    </w:rPr>
                    <w:t>9</w:t>
                  </w:r>
                  <w:r>
                    <w:rPr>
                      <w:rFonts w:hint="eastAsia" w:eastAsia="宋体"/>
                      <w:szCs w:val="21"/>
                    </w:rPr>
                    <w:t>3</w:t>
                  </w:r>
                  <w:r>
                    <w:rPr>
                      <w:rFonts w:eastAsia="宋体"/>
                      <w:szCs w:val="21"/>
                    </w:rPr>
                    <w:t>.</w:t>
                  </w:r>
                  <w:r>
                    <w:rPr>
                      <w:rFonts w:hint="eastAsia" w:eastAsia="宋体"/>
                      <w:szCs w:val="21"/>
                    </w:rPr>
                    <w:t>2</w:t>
                  </w:r>
                  <w:r>
                    <w:rPr>
                      <w:rFonts w:hint="eastAsia" w:eastAsia="宋体"/>
                      <w:sz w:val="24"/>
                      <w:szCs w:val="24"/>
                      <w:vertAlign w:val="superscript"/>
                    </w:rPr>
                    <w:t>③</w:t>
                  </w:r>
                </w:p>
              </w:tc>
              <w:tc>
                <w:tcPr>
                  <w:tcW w:w="1189" w:type="dxa"/>
                  <w:tcBorders>
                    <w:right w:val="nil"/>
                  </w:tcBorders>
                  <w:vAlign w:val="center"/>
                </w:tcPr>
                <w:p w14:paraId="2EAB7CFF">
                  <w:pPr>
                    <w:pStyle w:val="91"/>
                    <w:rPr>
                      <w:rFonts w:eastAsia="宋体"/>
                      <w:kern w:val="0"/>
                      <w:szCs w:val="21"/>
                    </w:rPr>
                  </w:pPr>
                  <w:r>
                    <w:rPr>
                      <w:rFonts w:eastAsia="宋体"/>
                      <w:szCs w:val="21"/>
                    </w:rPr>
                    <w:t>不达标</w:t>
                  </w:r>
                </w:p>
              </w:tc>
            </w:tr>
            <w:tr w14:paraId="5BCE14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restart"/>
                  <w:tcBorders>
                    <w:left w:val="nil"/>
                  </w:tcBorders>
                  <w:vAlign w:val="center"/>
                </w:tcPr>
                <w:p w14:paraId="3BFA2026">
                  <w:pPr>
                    <w:pStyle w:val="91"/>
                    <w:rPr>
                      <w:rFonts w:eastAsia="宋体"/>
                      <w:kern w:val="0"/>
                      <w:szCs w:val="21"/>
                    </w:rPr>
                  </w:pPr>
                  <w:r>
                    <w:rPr>
                      <w:rFonts w:eastAsia="宋体"/>
                      <w:szCs w:val="21"/>
                    </w:rPr>
                    <w:t>SO</w:t>
                  </w:r>
                  <w:r>
                    <w:rPr>
                      <w:rFonts w:eastAsia="宋体"/>
                      <w:szCs w:val="21"/>
                      <w:vertAlign w:val="subscript"/>
                    </w:rPr>
                    <w:t>2</w:t>
                  </w:r>
                </w:p>
              </w:tc>
              <w:tc>
                <w:tcPr>
                  <w:tcW w:w="2752" w:type="dxa"/>
                  <w:vAlign w:val="center"/>
                </w:tcPr>
                <w:p w14:paraId="07C337DC">
                  <w:pPr>
                    <w:pStyle w:val="91"/>
                    <w:rPr>
                      <w:rFonts w:eastAsia="宋体"/>
                      <w:kern w:val="0"/>
                      <w:szCs w:val="21"/>
                    </w:rPr>
                  </w:pPr>
                  <w:r>
                    <w:rPr>
                      <w:rFonts w:eastAsia="宋体"/>
                      <w:szCs w:val="21"/>
                    </w:rPr>
                    <w:t>年平均质量浓度</w:t>
                  </w:r>
                </w:p>
              </w:tc>
              <w:tc>
                <w:tcPr>
                  <w:tcW w:w="1237" w:type="dxa"/>
                  <w:vAlign w:val="center"/>
                </w:tcPr>
                <w:p w14:paraId="20344025">
                  <w:pPr>
                    <w:pStyle w:val="91"/>
                    <w:rPr>
                      <w:rFonts w:eastAsia="宋体"/>
                      <w:kern w:val="0"/>
                      <w:szCs w:val="21"/>
                    </w:rPr>
                  </w:pPr>
                  <w:r>
                    <w:rPr>
                      <w:rFonts w:hint="eastAsia" w:eastAsia="宋体"/>
                      <w:szCs w:val="21"/>
                    </w:rPr>
                    <w:t>8</w:t>
                  </w:r>
                </w:p>
              </w:tc>
              <w:tc>
                <w:tcPr>
                  <w:tcW w:w="1179" w:type="dxa"/>
                  <w:vAlign w:val="center"/>
                </w:tcPr>
                <w:p w14:paraId="25BCF249">
                  <w:pPr>
                    <w:pStyle w:val="91"/>
                    <w:rPr>
                      <w:rFonts w:eastAsia="宋体"/>
                      <w:kern w:val="0"/>
                      <w:szCs w:val="21"/>
                    </w:rPr>
                  </w:pPr>
                  <w:r>
                    <w:rPr>
                      <w:rFonts w:eastAsia="宋体"/>
                      <w:szCs w:val="21"/>
                    </w:rPr>
                    <w:t>60</w:t>
                  </w:r>
                </w:p>
              </w:tc>
              <w:tc>
                <w:tcPr>
                  <w:tcW w:w="1021" w:type="dxa"/>
                  <w:vAlign w:val="center"/>
                </w:tcPr>
                <w:p w14:paraId="549DFD06">
                  <w:pPr>
                    <w:pStyle w:val="91"/>
                    <w:rPr>
                      <w:rFonts w:eastAsia="宋体"/>
                      <w:szCs w:val="21"/>
                    </w:rPr>
                  </w:pPr>
                  <w:r>
                    <w:rPr>
                      <w:rFonts w:eastAsia="宋体"/>
                      <w:szCs w:val="21"/>
                    </w:rPr>
                    <w:t>100</w:t>
                  </w:r>
                </w:p>
              </w:tc>
              <w:tc>
                <w:tcPr>
                  <w:tcW w:w="1189" w:type="dxa"/>
                  <w:vMerge w:val="restart"/>
                  <w:tcBorders>
                    <w:right w:val="nil"/>
                  </w:tcBorders>
                  <w:vAlign w:val="center"/>
                </w:tcPr>
                <w:p w14:paraId="4F4FD780">
                  <w:pPr>
                    <w:pStyle w:val="91"/>
                    <w:rPr>
                      <w:rFonts w:eastAsia="宋体"/>
                      <w:kern w:val="0"/>
                      <w:szCs w:val="21"/>
                    </w:rPr>
                  </w:pPr>
                  <w:r>
                    <w:rPr>
                      <w:rFonts w:eastAsia="宋体"/>
                      <w:szCs w:val="21"/>
                    </w:rPr>
                    <w:t>达标</w:t>
                  </w:r>
                </w:p>
              </w:tc>
            </w:tr>
            <w:tr w14:paraId="3BB30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continue"/>
                  <w:tcBorders>
                    <w:left w:val="nil"/>
                  </w:tcBorders>
                  <w:vAlign w:val="center"/>
                </w:tcPr>
                <w:p w14:paraId="77527F35">
                  <w:pPr>
                    <w:pStyle w:val="91"/>
                    <w:rPr>
                      <w:rFonts w:eastAsia="宋体"/>
                      <w:kern w:val="0"/>
                      <w:szCs w:val="21"/>
                    </w:rPr>
                  </w:pPr>
                </w:p>
              </w:tc>
              <w:tc>
                <w:tcPr>
                  <w:tcW w:w="2752" w:type="dxa"/>
                  <w:vAlign w:val="center"/>
                </w:tcPr>
                <w:p w14:paraId="25616CFE">
                  <w:pPr>
                    <w:pStyle w:val="91"/>
                    <w:rPr>
                      <w:rFonts w:eastAsia="宋体"/>
                      <w:kern w:val="0"/>
                      <w:szCs w:val="21"/>
                    </w:rPr>
                  </w:pPr>
                  <w:r>
                    <w:rPr>
                      <w:rFonts w:eastAsia="宋体"/>
                      <w:szCs w:val="21"/>
                    </w:rPr>
                    <w:t>日平均质量浓度范围</w:t>
                  </w:r>
                </w:p>
              </w:tc>
              <w:tc>
                <w:tcPr>
                  <w:tcW w:w="1237" w:type="dxa"/>
                  <w:vAlign w:val="center"/>
                </w:tcPr>
                <w:p w14:paraId="1B0BBA82">
                  <w:pPr>
                    <w:pStyle w:val="91"/>
                    <w:rPr>
                      <w:rFonts w:eastAsia="宋体"/>
                      <w:kern w:val="0"/>
                      <w:szCs w:val="21"/>
                    </w:rPr>
                  </w:pPr>
                  <w:r>
                    <w:rPr>
                      <w:rFonts w:hint="eastAsia" w:eastAsia="宋体"/>
                      <w:szCs w:val="21"/>
                    </w:rPr>
                    <w:t>5-15</w:t>
                  </w:r>
                </w:p>
              </w:tc>
              <w:tc>
                <w:tcPr>
                  <w:tcW w:w="1179" w:type="dxa"/>
                  <w:vAlign w:val="center"/>
                </w:tcPr>
                <w:p w14:paraId="3D4A683F">
                  <w:pPr>
                    <w:pStyle w:val="91"/>
                    <w:rPr>
                      <w:rFonts w:eastAsia="宋体"/>
                      <w:kern w:val="0"/>
                      <w:szCs w:val="21"/>
                    </w:rPr>
                  </w:pPr>
                  <w:r>
                    <w:rPr>
                      <w:rFonts w:eastAsia="宋体"/>
                      <w:szCs w:val="21"/>
                    </w:rPr>
                    <w:t>150</w:t>
                  </w:r>
                </w:p>
              </w:tc>
              <w:tc>
                <w:tcPr>
                  <w:tcW w:w="1021" w:type="dxa"/>
                  <w:vAlign w:val="center"/>
                </w:tcPr>
                <w:p w14:paraId="5A8435CB">
                  <w:pPr>
                    <w:pStyle w:val="91"/>
                    <w:rPr>
                      <w:rFonts w:eastAsia="宋体"/>
                      <w:kern w:val="0"/>
                      <w:szCs w:val="21"/>
                    </w:rPr>
                  </w:pPr>
                  <w:r>
                    <w:rPr>
                      <w:rFonts w:eastAsia="宋体"/>
                      <w:szCs w:val="21"/>
                    </w:rPr>
                    <w:t>100</w:t>
                  </w:r>
                </w:p>
              </w:tc>
              <w:tc>
                <w:tcPr>
                  <w:tcW w:w="1189" w:type="dxa"/>
                  <w:vMerge w:val="continue"/>
                  <w:tcBorders>
                    <w:right w:val="nil"/>
                  </w:tcBorders>
                  <w:vAlign w:val="center"/>
                </w:tcPr>
                <w:p w14:paraId="36E7BAC3">
                  <w:pPr>
                    <w:adjustRightInd w:val="0"/>
                    <w:snapToGrid w:val="0"/>
                    <w:jc w:val="center"/>
                    <w:rPr>
                      <w:kern w:val="0"/>
                      <w:szCs w:val="21"/>
                    </w:rPr>
                  </w:pPr>
                </w:p>
              </w:tc>
            </w:tr>
            <w:tr w14:paraId="54F36C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restart"/>
                  <w:tcBorders>
                    <w:left w:val="nil"/>
                  </w:tcBorders>
                  <w:vAlign w:val="center"/>
                </w:tcPr>
                <w:p w14:paraId="28F6A091">
                  <w:pPr>
                    <w:pStyle w:val="91"/>
                    <w:rPr>
                      <w:rFonts w:eastAsia="宋体"/>
                      <w:kern w:val="0"/>
                      <w:szCs w:val="21"/>
                    </w:rPr>
                  </w:pPr>
                  <w:r>
                    <w:rPr>
                      <w:rFonts w:eastAsia="宋体"/>
                      <w:szCs w:val="21"/>
                    </w:rPr>
                    <w:t>NO</w:t>
                  </w:r>
                  <w:r>
                    <w:rPr>
                      <w:rFonts w:eastAsia="宋体"/>
                      <w:szCs w:val="21"/>
                      <w:vertAlign w:val="subscript"/>
                    </w:rPr>
                    <w:t>2</w:t>
                  </w:r>
                </w:p>
              </w:tc>
              <w:tc>
                <w:tcPr>
                  <w:tcW w:w="2752" w:type="dxa"/>
                  <w:vAlign w:val="center"/>
                </w:tcPr>
                <w:p w14:paraId="359A438B">
                  <w:pPr>
                    <w:pStyle w:val="91"/>
                    <w:rPr>
                      <w:rFonts w:eastAsia="宋体"/>
                      <w:kern w:val="0"/>
                      <w:szCs w:val="21"/>
                    </w:rPr>
                  </w:pPr>
                  <w:r>
                    <w:rPr>
                      <w:rFonts w:eastAsia="宋体"/>
                      <w:szCs w:val="21"/>
                    </w:rPr>
                    <w:t>年平均质量浓度</w:t>
                  </w:r>
                </w:p>
              </w:tc>
              <w:tc>
                <w:tcPr>
                  <w:tcW w:w="1237" w:type="dxa"/>
                  <w:vAlign w:val="center"/>
                </w:tcPr>
                <w:p w14:paraId="6D875202">
                  <w:pPr>
                    <w:pStyle w:val="91"/>
                    <w:rPr>
                      <w:rFonts w:eastAsia="宋体"/>
                      <w:kern w:val="0"/>
                      <w:szCs w:val="21"/>
                    </w:rPr>
                  </w:pPr>
                  <w:r>
                    <w:rPr>
                      <w:rFonts w:hint="eastAsia" w:eastAsia="宋体"/>
                      <w:szCs w:val="21"/>
                    </w:rPr>
                    <w:t>26</w:t>
                  </w:r>
                </w:p>
              </w:tc>
              <w:tc>
                <w:tcPr>
                  <w:tcW w:w="1179" w:type="dxa"/>
                  <w:vAlign w:val="center"/>
                </w:tcPr>
                <w:p w14:paraId="2DF2DA2E">
                  <w:pPr>
                    <w:pStyle w:val="91"/>
                    <w:rPr>
                      <w:rFonts w:eastAsia="宋体"/>
                      <w:kern w:val="0"/>
                      <w:szCs w:val="21"/>
                    </w:rPr>
                  </w:pPr>
                  <w:r>
                    <w:rPr>
                      <w:rFonts w:eastAsia="宋体"/>
                      <w:szCs w:val="21"/>
                    </w:rPr>
                    <w:t>40</w:t>
                  </w:r>
                </w:p>
              </w:tc>
              <w:tc>
                <w:tcPr>
                  <w:tcW w:w="1021" w:type="dxa"/>
                  <w:vAlign w:val="center"/>
                </w:tcPr>
                <w:p w14:paraId="61E20C1A">
                  <w:pPr>
                    <w:pStyle w:val="91"/>
                    <w:rPr>
                      <w:rFonts w:eastAsia="宋体"/>
                      <w:szCs w:val="21"/>
                    </w:rPr>
                  </w:pPr>
                  <w:r>
                    <w:rPr>
                      <w:rFonts w:eastAsia="宋体"/>
                      <w:szCs w:val="21"/>
                    </w:rPr>
                    <w:t>100</w:t>
                  </w:r>
                </w:p>
              </w:tc>
              <w:tc>
                <w:tcPr>
                  <w:tcW w:w="1189" w:type="dxa"/>
                  <w:vMerge w:val="restart"/>
                  <w:tcBorders>
                    <w:right w:val="nil"/>
                  </w:tcBorders>
                  <w:vAlign w:val="center"/>
                </w:tcPr>
                <w:p w14:paraId="2C6EF83C">
                  <w:pPr>
                    <w:pStyle w:val="91"/>
                    <w:rPr>
                      <w:rFonts w:eastAsia="宋体"/>
                      <w:kern w:val="0"/>
                      <w:szCs w:val="21"/>
                    </w:rPr>
                  </w:pPr>
                  <w:r>
                    <w:rPr>
                      <w:rFonts w:eastAsia="宋体"/>
                      <w:szCs w:val="21"/>
                    </w:rPr>
                    <w:t>达标</w:t>
                  </w:r>
                </w:p>
              </w:tc>
            </w:tr>
            <w:tr w14:paraId="3CAC2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continue"/>
                  <w:tcBorders>
                    <w:left w:val="nil"/>
                  </w:tcBorders>
                  <w:vAlign w:val="center"/>
                </w:tcPr>
                <w:p w14:paraId="06878872">
                  <w:pPr>
                    <w:pStyle w:val="91"/>
                    <w:rPr>
                      <w:rFonts w:eastAsia="宋体"/>
                      <w:kern w:val="0"/>
                      <w:szCs w:val="21"/>
                    </w:rPr>
                  </w:pPr>
                </w:p>
              </w:tc>
              <w:tc>
                <w:tcPr>
                  <w:tcW w:w="2752" w:type="dxa"/>
                  <w:vAlign w:val="center"/>
                </w:tcPr>
                <w:p w14:paraId="3795CCA3">
                  <w:pPr>
                    <w:pStyle w:val="91"/>
                    <w:rPr>
                      <w:rFonts w:eastAsia="宋体"/>
                      <w:kern w:val="0"/>
                      <w:szCs w:val="21"/>
                      <w:lang w:bidi="zh-CN"/>
                    </w:rPr>
                  </w:pPr>
                  <w:r>
                    <w:rPr>
                      <w:rFonts w:eastAsia="宋体"/>
                      <w:szCs w:val="21"/>
                    </w:rPr>
                    <w:t>日平均质量浓度范围</w:t>
                  </w:r>
                </w:p>
              </w:tc>
              <w:tc>
                <w:tcPr>
                  <w:tcW w:w="1237" w:type="dxa"/>
                  <w:vAlign w:val="center"/>
                </w:tcPr>
                <w:p w14:paraId="043A5B7B">
                  <w:pPr>
                    <w:pStyle w:val="91"/>
                    <w:rPr>
                      <w:rFonts w:eastAsia="宋体"/>
                      <w:kern w:val="0"/>
                      <w:szCs w:val="21"/>
                      <w:lang w:bidi="zh-CN"/>
                    </w:rPr>
                  </w:pPr>
                  <w:r>
                    <w:rPr>
                      <w:rFonts w:hint="eastAsia" w:eastAsia="宋体"/>
                      <w:szCs w:val="21"/>
                    </w:rPr>
                    <w:t>5-92</w:t>
                  </w:r>
                </w:p>
              </w:tc>
              <w:tc>
                <w:tcPr>
                  <w:tcW w:w="1179" w:type="dxa"/>
                  <w:vAlign w:val="center"/>
                </w:tcPr>
                <w:p w14:paraId="1889B336">
                  <w:pPr>
                    <w:pStyle w:val="91"/>
                    <w:rPr>
                      <w:rFonts w:eastAsia="宋体"/>
                      <w:kern w:val="0"/>
                      <w:szCs w:val="21"/>
                    </w:rPr>
                  </w:pPr>
                  <w:r>
                    <w:rPr>
                      <w:rFonts w:eastAsia="宋体"/>
                      <w:szCs w:val="21"/>
                    </w:rPr>
                    <w:t>80</w:t>
                  </w:r>
                </w:p>
              </w:tc>
              <w:tc>
                <w:tcPr>
                  <w:tcW w:w="1021" w:type="dxa"/>
                  <w:vAlign w:val="center"/>
                </w:tcPr>
                <w:p w14:paraId="2D0019FC">
                  <w:pPr>
                    <w:pStyle w:val="91"/>
                    <w:rPr>
                      <w:rFonts w:eastAsia="宋体"/>
                      <w:szCs w:val="21"/>
                    </w:rPr>
                  </w:pPr>
                  <w:r>
                    <w:rPr>
                      <w:rFonts w:eastAsia="宋体"/>
                      <w:szCs w:val="21"/>
                    </w:rPr>
                    <w:t>9</w:t>
                  </w:r>
                  <w:r>
                    <w:rPr>
                      <w:rFonts w:hint="eastAsia" w:eastAsia="宋体"/>
                      <w:szCs w:val="21"/>
                    </w:rPr>
                    <w:t>9.2</w:t>
                  </w:r>
                  <w:r>
                    <w:rPr>
                      <w:rFonts w:hint="eastAsia" w:eastAsia="宋体"/>
                      <w:sz w:val="24"/>
                      <w:szCs w:val="24"/>
                      <w:vertAlign w:val="superscript"/>
                    </w:rPr>
                    <w:t>①</w:t>
                  </w:r>
                </w:p>
              </w:tc>
              <w:tc>
                <w:tcPr>
                  <w:tcW w:w="1189" w:type="dxa"/>
                  <w:vMerge w:val="continue"/>
                  <w:tcBorders>
                    <w:right w:val="nil"/>
                  </w:tcBorders>
                  <w:vAlign w:val="center"/>
                </w:tcPr>
                <w:p w14:paraId="6EC48E60">
                  <w:pPr>
                    <w:adjustRightInd w:val="0"/>
                    <w:snapToGrid w:val="0"/>
                    <w:jc w:val="center"/>
                    <w:rPr>
                      <w:kern w:val="0"/>
                      <w:szCs w:val="21"/>
                    </w:rPr>
                  </w:pPr>
                </w:p>
              </w:tc>
            </w:tr>
            <w:tr w14:paraId="455924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restart"/>
                  <w:tcBorders>
                    <w:left w:val="nil"/>
                  </w:tcBorders>
                  <w:vAlign w:val="center"/>
                </w:tcPr>
                <w:p w14:paraId="24E48FA8">
                  <w:pPr>
                    <w:adjustRightInd w:val="0"/>
                    <w:snapToGrid w:val="0"/>
                    <w:jc w:val="center"/>
                    <w:rPr>
                      <w:kern w:val="0"/>
                      <w:szCs w:val="21"/>
                    </w:rPr>
                  </w:pPr>
                  <w:r>
                    <w:rPr>
                      <w:kern w:val="0"/>
                      <w:szCs w:val="21"/>
                    </w:rPr>
                    <w:t>CO</w:t>
                  </w:r>
                </w:p>
              </w:tc>
              <w:tc>
                <w:tcPr>
                  <w:tcW w:w="2752" w:type="dxa"/>
                  <w:vAlign w:val="center"/>
                </w:tcPr>
                <w:p w14:paraId="35FA7522">
                  <w:pPr>
                    <w:pStyle w:val="91"/>
                    <w:rPr>
                      <w:rFonts w:eastAsia="宋体"/>
                      <w:kern w:val="0"/>
                      <w:szCs w:val="21"/>
                    </w:rPr>
                  </w:pPr>
                  <w:r>
                    <w:rPr>
                      <w:rFonts w:eastAsia="宋体"/>
                      <w:szCs w:val="21"/>
                    </w:rPr>
                    <w:t>百分位数日平均质量浓度</w:t>
                  </w:r>
                </w:p>
              </w:tc>
              <w:tc>
                <w:tcPr>
                  <w:tcW w:w="1237" w:type="dxa"/>
                  <w:vAlign w:val="center"/>
                </w:tcPr>
                <w:p w14:paraId="52BBA4E8">
                  <w:pPr>
                    <w:pStyle w:val="91"/>
                    <w:rPr>
                      <w:rFonts w:eastAsia="宋体"/>
                      <w:szCs w:val="21"/>
                    </w:rPr>
                  </w:pPr>
                  <w:r>
                    <w:rPr>
                      <w:rFonts w:eastAsia="宋体"/>
                      <w:szCs w:val="21"/>
                    </w:rPr>
                    <w:t>1</w:t>
                  </w:r>
                  <w:r>
                    <w:rPr>
                      <w:rFonts w:hint="eastAsia" w:eastAsia="宋体"/>
                      <w:szCs w:val="21"/>
                    </w:rPr>
                    <w:t>1</w:t>
                  </w:r>
                  <w:r>
                    <w:rPr>
                      <w:rFonts w:eastAsia="宋体"/>
                      <w:szCs w:val="21"/>
                    </w:rPr>
                    <w:t>00</w:t>
                  </w:r>
                </w:p>
                <w:p w14:paraId="10C38B6B">
                  <w:pPr>
                    <w:pStyle w:val="91"/>
                    <w:rPr>
                      <w:rFonts w:eastAsia="宋体"/>
                      <w:kern w:val="0"/>
                      <w:szCs w:val="21"/>
                    </w:rPr>
                  </w:pPr>
                  <w:r>
                    <w:rPr>
                      <w:rFonts w:eastAsia="宋体"/>
                      <w:szCs w:val="21"/>
                    </w:rPr>
                    <w:t>（第95百分位数）</w:t>
                  </w:r>
                </w:p>
              </w:tc>
              <w:tc>
                <w:tcPr>
                  <w:tcW w:w="1179" w:type="dxa"/>
                  <w:vAlign w:val="center"/>
                </w:tcPr>
                <w:p w14:paraId="5600DEB3">
                  <w:pPr>
                    <w:pStyle w:val="91"/>
                    <w:rPr>
                      <w:rFonts w:eastAsia="宋体"/>
                      <w:kern w:val="0"/>
                      <w:szCs w:val="21"/>
                    </w:rPr>
                  </w:pPr>
                  <w:r>
                    <w:rPr>
                      <w:rFonts w:eastAsia="宋体"/>
                      <w:szCs w:val="21"/>
                    </w:rPr>
                    <w:t>4000</w:t>
                  </w:r>
                </w:p>
              </w:tc>
              <w:tc>
                <w:tcPr>
                  <w:tcW w:w="1021" w:type="dxa"/>
                  <w:vAlign w:val="center"/>
                </w:tcPr>
                <w:p w14:paraId="531E6589">
                  <w:pPr>
                    <w:pStyle w:val="91"/>
                    <w:rPr>
                      <w:rFonts w:eastAsia="宋体"/>
                      <w:szCs w:val="21"/>
                    </w:rPr>
                  </w:pPr>
                  <w:r>
                    <w:rPr>
                      <w:rFonts w:eastAsia="宋体"/>
                      <w:szCs w:val="21"/>
                    </w:rPr>
                    <w:t>100</w:t>
                  </w:r>
                </w:p>
              </w:tc>
              <w:tc>
                <w:tcPr>
                  <w:tcW w:w="1189" w:type="dxa"/>
                  <w:vMerge w:val="restart"/>
                  <w:tcBorders>
                    <w:right w:val="nil"/>
                  </w:tcBorders>
                  <w:vAlign w:val="center"/>
                </w:tcPr>
                <w:p w14:paraId="6B08DD1C">
                  <w:pPr>
                    <w:adjustRightInd w:val="0"/>
                    <w:snapToGrid w:val="0"/>
                    <w:jc w:val="center"/>
                    <w:rPr>
                      <w:kern w:val="0"/>
                      <w:szCs w:val="21"/>
                    </w:rPr>
                  </w:pPr>
                  <w:r>
                    <w:rPr>
                      <w:kern w:val="0"/>
                      <w:szCs w:val="21"/>
                    </w:rPr>
                    <w:t>达标</w:t>
                  </w:r>
                </w:p>
              </w:tc>
            </w:tr>
            <w:tr w14:paraId="710EF7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continue"/>
                  <w:tcBorders>
                    <w:left w:val="nil"/>
                  </w:tcBorders>
                  <w:vAlign w:val="center"/>
                </w:tcPr>
                <w:p w14:paraId="4F9B1ECE">
                  <w:pPr>
                    <w:adjustRightInd w:val="0"/>
                    <w:snapToGrid w:val="0"/>
                    <w:jc w:val="center"/>
                    <w:rPr>
                      <w:kern w:val="0"/>
                      <w:szCs w:val="21"/>
                    </w:rPr>
                  </w:pPr>
                </w:p>
              </w:tc>
              <w:tc>
                <w:tcPr>
                  <w:tcW w:w="2752" w:type="dxa"/>
                  <w:vAlign w:val="center"/>
                </w:tcPr>
                <w:p w14:paraId="3C4C8D22">
                  <w:pPr>
                    <w:pStyle w:val="91"/>
                    <w:rPr>
                      <w:rFonts w:eastAsia="宋体"/>
                      <w:kern w:val="0"/>
                      <w:szCs w:val="21"/>
                    </w:rPr>
                  </w:pPr>
                  <w:r>
                    <w:rPr>
                      <w:rFonts w:eastAsia="宋体"/>
                      <w:szCs w:val="21"/>
                    </w:rPr>
                    <w:t>日平均质量浓度范围</w:t>
                  </w:r>
                </w:p>
              </w:tc>
              <w:tc>
                <w:tcPr>
                  <w:tcW w:w="1237" w:type="dxa"/>
                  <w:vAlign w:val="center"/>
                </w:tcPr>
                <w:p w14:paraId="1BF55C81">
                  <w:pPr>
                    <w:pStyle w:val="91"/>
                    <w:rPr>
                      <w:rFonts w:eastAsia="宋体"/>
                      <w:kern w:val="0"/>
                      <w:szCs w:val="21"/>
                    </w:rPr>
                  </w:pPr>
                  <w:r>
                    <w:rPr>
                      <w:rFonts w:eastAsia="宋体"/>
                      <w:szCs w:val="21"/>
                    </w:rPr>
                    <w:t>400-1</w:t>
                  </w:r>
                  <w:r>
                    <w:rPr>
                      <w:rFonts w:hint="eastAsia" w:eastAsia="宋体"/>
                      <w:szCs w:val="21"/>
                    </w:rPr>
                    <w:t>5</w:t>
                  </w:r>
                  <w:r>
                    <w:rPr>
                      <w:rFonts w:eastAsia="宋体"/>
                      <w:szCs w:val="21"/>
                    </w:rPr>
                    <w:t>00</w:t>
                  </w:r>
                </w:p>
              </w:tc>
              <w:tc>
                <w:tcPr>
                  <w:tcW w:w="1179" w:type="dxa"/>
                  <w:vAlign w:val="center"/>
                </w:tcPr>
                <w:p w14:paraId="554F79D8">
                  <w:pPr>
                    <w:pStyle w:val="91"/>
                    <w:rPr>
                      <w:rFonts w:eastAsia="宋体"/>
                      <w:kern w:val="0"/>
                      <w:szCs w:val="21"/>
                    </w:rPr>
                  </w:pPr>
                  <w:r>
                    <w:rPr>
                      <w:rFonts w:eastAsia="宋体"/>
                      <w:szCs w:val="21"/>
                    </w:rPr>
                    <w:t>4000</w:t>
                  </w:r>
                </w:p>
              </w:tc>
              <w:tc>
                <w:tcPr>
                  <w:tcW w:w="1021" w:type="dxa"/>
                  <w:vAlign w:val="center"/>
                </w:tcPr>
                <w:p w14:paraId="01C72EF2">
                  <w:pPr>
                    <w:pStyle w:val="91"/>
                    <w:rPr>
                      <w:rFonts w:eastAsia="宋体"/>
                      <w:szCs w:val="21"/>
                    </w:rPr>
                  </w:pPr>
                  <w:r>
                    <w:rPr>
                      <w:rFonts w:eastAsia="宋体"/>
                      <w:szCs w:val="21"/>
                    </w:rPr>
                    <w:t>100</w:t>
                  </w:r>
                </w:p>
              </w:tc>
              <w:tc>
                <w:tcPr>
                  <w:tcW w:w="1189" w:type="dxa"/>
                  <w:vMerge w:val="continue"/>
                  <w:tcBorders>
                    <w:right w:val="nil"/>
                  </w:tcBorders>
                  <w:vAlign w:val="center"/>
                </w:tcPr>
                <w:p w14:paraId="1E14350F">
                  <w:pPr>
                    <w:adjustRightInd w:val="0"/>
                    <w:snapToGrid w:val="0"/>
                    <w:jc w:val="center"/>
                    <w:rPr>
                      <w:kern w:val="0"/>
                      <w:szCs w:val="21"/>
                    </w:rPr>
                  </w:pPr>
                </w:p>
              </w:tc>
            </w:tr>
            <w:tr w14:paraId="139FE9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restart"/>
                  <w:tcBorders>
                    <w:left w:val="nil"/>
                  </w:tcBorders>
                  <w:vAlign w:val="center"/>
                </w:tcPr>
                <w:p w14:paraId="6B35ABEC">
                  <w:pPr>
                    <w:adjustRightInd w:val="0"/>
                    <w:snapToGrid w:val="0"/>
                    <w:jc w:val="center"/>
                    <w:rPr>
                      <w:kern w:val="0"/>
                      <w:szCs w:val="21"/>
                    </w:rPr>
                  </w:pPr>
                  <w:r>
                    <w:rPr>
                      <w:kern w:val="0"/>
                      <w:szCs w:val="21"/>
                    </w:rPr>
                    <w:t>O</w:t>
                  </w:r>
                  <w:r>
                    <w:rPr>
                      <w:kern w:val="0"/>
                      <w:szCs w:val="21"/>
                      <w:vertAlign w:val="subscript"/>
                    </w:rPr>
                    <w:t>3</w:t>
                  </w:r>
                </w:p>
              </w:tc>
              <w:tc>
                <w:tcPr>
                  <w:tcW w:w="2752" w:type="dxa"/>
                  <w:vAlign w:val="center"/>
                </w:tcPr>
                <w:p w14:paraId="10F2A1AC">
                  <w:pPr>
                    <w:adjustRightInd w:val="0"/>
                    <w:snapToGrid w:val="0"/>
                    <w:jc w:val="center"/>
                    <w:rPr>
                      <w:kern w:val="0"/>
                      <w:szCs w:val="21"/>
                    </w:rPr>
                  </w:pPr>
                  <w:r>
                    <w:rPr>
                      <w:kern w:val="0"/>
                      <w:szCs w:val="21"/>
                    </w:rPr>
                    <w:t>日最大8小时滑动平均值的第90百分位数</w:t>
                  </w:r>
                </w:p>
              </w:tc>
              <w:tc>
                <w:tcPr>
                  <w:tcW w:w="1237" w:type="dxa"/>
                  <w:vAlign w:val="center"/>
                </w:tcPr>
                <w:p w14:paraId="6D96449B">
                  <w:pPr>
                    <w:adjustRightInd w:val="0"/>
                    <w:snapToGrid w:val="0"/>
                    <w:jc w:val="center"/>
                    <w:rPr>
                      <w:kern w:val="0"/>
                      <w:szCs w:val="21"/>
                    </w:rPr>
                  </w:pPr>
                  <w:r>
                    <w:rPr>
                      <w:rFonts w:hint="eastAsia"/>
                      <w:kern w:val="0"/>
                      <w:szCs w:val="21"/>
                    </w:rPr>
                    <w:t>168</w:t>
                  </w:r>
                </w:p>
              </w:tc>
              <w:tc>
                <w:tcPr>
                  <w:tcW w:w="1179" w:type="dxa"/>
                  <w:vAlign w:val="center"/>
                </w:tcPr>
                <w:p w14:paraId="449F360E">
                  <w:pPr>
                    <w:adjustRightInd w:val="0"/>
                    <w:snapToGrid w:val="0"/>
                    <w:jc w:val="center"/>
                    <w:rPr>
                      <w:kern w:val="0"/>
                      <w:szCs w:val="21"/>
                    </w:rPr>
                  </w:pPr>
                  <w:r>
                    <w:rPr>
                      <w:kern w:val="0"/>
                      <w:szCs w:val="21"/>
                    </w:rPr>
                    <w:t>160</w:t>
                  </w:r>
                </w:p>
              </w:tc>
              <w:tc>
                <w:tcPr>
                  <w:tcW w:w="1021" w:type="dxa"/>
                  <w:vAlign w:val="center"/>
                </w:tcPr>
                <w:p w14:paraId="1CD399AB">
                  <w:pPr>
                    <w:widowControl/>
                    <w:jc w:val="center"/>
                    <w:textAlignment w:val="center"/>
                    <w:rPr>
                      <w:szCs w:val="21"/>
                    </w:rPr>
                  </w:pPr>
                  <w:r>
                    <w:rPr>
                      <w:rFonts w:hint="eastAsia"/>
                      <w:szCs w:val="21"/>
                    </w:rPr>
                    <w:t>0.05（超标倍数）</w:t>
                  </w:r>
                </w:p>
              </w:tc>
              <w:tc>
                <w:tcPr>
                  <w:tcW w:w="1189" w:type="dxa"/>
                  <w:vMerge w:val="restart"/>
                  <w:tcBorders>
                    <w:right w:val="nil"/>
                  </w:tcBorders>
                  <w:vAlign w:val="center"/>
                </w:tcPr>
                <w:p w14:paraId="4B6501EC">
                  <w:pPr>
                    <w:adjustRightInd w:val="0"/>
                    <w:snapToGrid w:val="0"/>
                    <w:jc w:val="center"/>
                    <w:rPr>
                      <w:kern w:val="0"/>
                      <w:szCs w:val="21"/>
                    </w:rPr>
                  </w:pPr>
                  <w:r>
                    <w:rPr>
                      <w:kern w:val="0"/>
                      <w:szCs w:val="21"/>
                    </w:rPr>
                    <w:t>不达标</w:t>
                  </w:r>
                </w:p>
              </w:tc>
            </w:tr>
            <w:tr w14:paraId="2FF0C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0" w:type="dxa"/>
                  <w:vMerge w:val="continue"/>
                  <w:tcBorders>
                    <w:left w:val="nil"/>
                    <w:bottom w:val="single" w:color="auto" w:sz="12" w:space="0"/>
                  </w:tcBorders>
                  <w:vAlign w:val="center"/>
                </w:tcPr>
                <w:p w14:paraId="6E19E18C">
                  <w:pPr>
                    <w:adjustRightInd w:val="0"/>
                    <w:snapToGrid w:val="0"/>
                    <w:jc w:val="center"/>
                    <w:rPr>
                      <w:kern w:val="0"/>
                      <w:szCs w:val="21"/>
                    </w:rPr>
                  </w:pPr>
                </w:p>
              </w:tc>
              <w:tc>
                <w:tcPr>
                  <w:tcW w:w="2752" w:type="dxa"/>
                  <w:tcBorders>
                    <w:bottom w:val="single" w:color="auto" w:sz="12" w:space="0"/>
                  </w:tcBorders>
                  <w:vAlign w:val="center"/>
                </w:tcPr>
                <w:p w14:paraId="31C5C440">
                  <w:pPr>
                    <w:adjustRightInd w:val="0"/>
                    <w:snapToGrid w:val="0"/>
                    <w:jc w:val="center"/>
                    <w:rPr>
                      <w:kern w:val="0"/>
                      <w:szCs w:val="21"/>
                    </w:rPr>
                  </w:pPr>
                  <w:r>
                    <w:rPr>
                      <w:kern w:val="0"/>
                      <w:szCs w:val="21"/>
                    </w:rPr>
                    <w:t>日平均值浓度范围</w:t>
                  </w:r>
                </w:p>
              </w:tc>
              <w:tc>
                <w:tcPr>
                  <w:tcW w:w="1237" w:type="dxa"/>
                  <w:tcBorders>
                    <w:bottom w:val="single" w:color="auto" w:sz="12" w:space="0"/>
                  </w:tcBorders>
                  <w:vAlign w:val="center"/>
                </w:tcPr>
                <w:p w14:paraId="6C4B4BE6">
                  <w:pPr>
                    <w:adjustRightInd w:val="0"/>
                    <w:snapToGrid w:val="0"/>
                    <w:jc w:val="center"/>
                    <w:rPr>
                      <w:kern w:val="0"/>
                      <w:szCs w:val="21"/>
                    </w:rPr>
                  </w:pPr>
                  <w:r>
                    <w:rPr>
                      <w:kern w:val="0"/>
                      <w:szCs w:val="21"/>
                    </w:rPr>
                    <w:t>1</w:t>
                  </w:r>
                  <w:r>
                    <w:rPr>
                      <w:rFonts w:hint="eastAsia"/>
                      <w:kern w:val="0"/>
                      <w:szCs w:val="21"/>
                    </w:rPr>
                    <w:t>7</w:t>
                  </w:r>
                  <w:r>
                    <w:rPr>
                      <w:kern w:val="0"/>
                      <w:szCs w:val="21"/>
                    </w:rPr>
                    <w:t>-2</w:t>
                  </w:r>
                  <w:r>
                    <w:rPr>
                      <w:rFonts w:hint="eastAsia"/>
                      <w:kern w:val="0"/>
                      <w:szCs w:val="21"/>
                    </w:rPr>
                    <w:t>53</w:t>
                  </w:r>
                </w:p>
              </w:tc>
              <w:tc>
                <w:tcPr>
                  <w:tcW w:w="1179" w:type="dxa"/>
                  <w:tcBorders>
                    <w:bottom w:val="single" w:color="auto" w:sz="12" w:space="0"/>
                  </w:tcBorders>
                  <w:vAlign w:val="center"/>
                </w:tcPr>
                <w:p w14:paraId="36073350">
                  <w:pPr>
                    <w:adjustRightInd w:val="0"/>
                    <w:snapToGrid w:val="0"/>
                    <w:jc w:val="center"/>
                    <w:rPr>
                      <w:kern w:val="0"/>
                      <w:szCs w:val="21"/>
                    </w:rPr>
                  </w:pPr>
                  <w:r>
                    <w:rPr>
                      <w:kern w:val="0"/>
                      <w:szCs w:val="21"/>
                    </w:rPr>
                    <w:t>160</w:t>
                  </w:r>
                </w:p>
              </w:tc>
              <w:tc>
                <w:tcPr>
                  <w:tcW w:w="1021" w:type="dxa"/>
                  <w:tcBorders>
                    <w:bottom w:val="single" w:color="auto" w:sz="12" w:space="0"/>
                  </w:tcBorders>
                  <w:vAlign w:val="center"/>
                </w:tcPr>
                <w:p w14:paraId="0C6CC5DD">
                  <w:pPr>
                    <w:widowControl/>
                    <w:jc w:val="center"/>
                    <w:textAlignment w:val="center"/>
                    <w:rPr>
                      <w:szCs w:val="21"/>
                    </w:rPr>
                  </w:pPr>
                  <w:r>
                    <w:rPr>
                      <w:rFonts w:hint="eastAsia"/>
                      <w:szCs w:val="21"/>
                    </w:rPr>
                    <w:t>86.3</w:t>
                  </w:r>
                </w:p>
              </w:tc>
              <w:tc>
                <w:tcPr>
                  <w:tcW w:w="1189" w:type="dxa"/>
                  <w:vMerge w:val="continue"/>
                  <w:tcBorders>
                    <w:bottom w:val="single" w:color="auto" w:sz="12" w:space="0"/>
                    <w:right w:val="nil"/>
                  </w:tcBorders>
                  <w:vAlign w:val="center"/>
                </w:tcPr>
                <w:p w14:paraId="7F4EF341">
                  <w:pPr>
                    <w:adjustRightInd w:val="0"/>
                    <w:snapToGrid w:val="0"/>
                    <w:jc w:val="center"/>
                    <w:rPr>
                      <w:kern w:val="0"/>
                      <w:szCs w:val="21"/>
                    </w:rPr>
                  </w:pPr>
                </w:p>
              </w:tc>
            </w:tr>
          </w:tbl>
          <w:p w14:paraId="3BB8A6AC">
            <w:pPr>
              <w:pStyle w:val="93"/>
              <w:spacing w:line="240" w:lineRule="auto"/>
              <w:ind w:firstLine="0" w:firstLineChars="0"/>
              <w:rPr>
                <w:kern w:val="2"/>
                <w:sz w:val="21"/>
              </w:rPr>
            </w:pPr>
            <w:r>
              <w:rPr>
                <w:rFonts w:hint="eastAsia"/>
                <w:b/>
                <w:bCs w:val="0"/>
                <w:kern w:val="2"/>
                <w:sz w:val="21"/>
              </w:rPr>
              <w:t>注：</w:t>
            </w:r>
            <w:r>
              <w:rPr>
                <w:rFonts w:hint="eastAsia"/>
                <w:kern w:val="2"/>
                <w:sz w:val="21"/>
                <w:vertAlign w:val="superscript"/>
              </w:rPr>
              <w:t>①</w:t>
            </w:r>
            <w:r>
              <w:rPr>
                <w:sz w:val="21"/>
              </w:rPr>
              <w:t>NO</w:t>
            </w:r>
            <w:r>
              <w:rPr>
                <w:sz w:val="21"/>
                <w:vertAlign w:val="subscript"/>
              </w:rPr>
              <w:t>2</w:t>
            </w:r>
            <w:r>
              <w:rPr>
                <w:rFonts w:hint="eastAsia"/>
                <w:kern w:val="2"/>
                <w:sz w:val="21"/>
              </w:rPr>
              <w:t>日平均第98百分位数达标；</w:t>
            </w:r>
            <w:r>
              <w:rPr>
                <w:rFonts w:hint="eastAsia"/>
                <w:kern w:val="2"/>
                <w:sz w:val="21"/>
                <w:vertAlign w:val="superscript"/>
              </w:rPr>
              <w:t>②</w:t>
            </w:r>
            <w:r>
              <w:rPr>
                <w:sz w:val="21"/>
              </w:rPr>
              <w:t>PM</w:t>
            </w:r>
            <w:r>
              <w:rPr>
                <w:sz w:val="21"/>
                <w:vertAlign w:val="subscript"/>
              </w:rPr>
              <w:t>10</w:t>
            </w:r>
            <w:r>
              <w:rPr>
                <w:rFonts w:hint="eastAsia"/>
                <w:kern w:val="2"/>
                <w:sz w:val="21"/>
              </w:rPr>
              <w:t>日平均第95百分位数达标；</w:t>
            </w:r>
            <w:r>
              <w:rPr>
                <w:rFonts w:hint="eastAsia"/>
                <w:kern w:val="2"/>
                <w:sz w:val="21"/>
                <w:vertAlign w:val="superscript"/>
              </w:rPr>
              <w:t>③</w:t>
            </w:r>
            <w:r>
              <w:rPr>
                <w:sz w:val="21"/>
              </w:rPr>
              <w:t>PM</w:t>
            </w:r>
            <w:r>
              <w:rPr>
                <w:sz w:val="21"/>
                <w:vertAlign w:val="subscript"/>
              </w:rPr>
              <w:t>2.5</w:t>
            </w:r>
            <w:r>
              <w:rPr>
                <w:rFonts w:hint="eastAsia"/>
                <w:kern w:val="2"/>
                <w:sz w:val="21"/>
              </w:rPr>
              <w:t>日平均第95百分位数超标。</w:t>
            </w:r>
          </w:p>
          <w:p w14:paraId="4247674B">
            <w:pPr>
              <w:adjustRightInd w:val="0"/>
              <w:snapToGrid w:val="0"/>
              <w:spacing w:beforeLines="50" w:line="360" w:lineRule="auto"/>
              <w:ind w:firstLine="420" w:firstLineChars="200"/>
              <w:rPr>
                <w:szCs w:val="21"/>
              </w:rPr>
            </w:pPr>
            <w:r>
              <w:rPr>
                <w:szCs w:val="21"/>
              </w:rPr>
              <w:t>202</w:t>
            </w:r>
            <w:r>
              <w:rPr>
                <w:rFonts w:hint="eastAsia"/>
                <w:szCs w:val="21"/>
              </w:rPr>
              <w:t>4</w:t>
            </w:r>
            <w:r>
              <w:rPr>
                <w:szCs w:val="21"/>
              </w:rPr>
              <w:t>年常州市环境空气中SO</w:t>
            </w:r>
            <w:r>
              <w:rPr>
                <w:szCs w:val="21"/>
                <w:vertAlign w:val="subscript"/>
              </w:rPr>
              <w:t>2</w:t>
            </w:r>
            <w:r>
              <w:rPr>
                <w:szCs w:val="21"/>
              </w:rPr>
              <w:t>、NO</w:t>
            </w:r>
            <w:r>
              <w:rPr>
                <w:szCs w:val="21"/>
                <w:vertAlign w:val="subscript"/>
              </w:rPr>
              <w:t>2</w:t>
            </w:r>
            <w:r>
              <w:rPr>
                <w:szCs w:val="21"/>
              </w:rPr>
              <w:t>、PM</w:t>
            </w:r>
            <w:r>
              <w:rPr>
                <w:szCs w:val="21"/>
                <w:vertAlign w:val="subscript"/>
              </w:rPr>
              <w:t>10</w:t>
            </w:r>
            <w:r>
              <w:rPr>
                <w:szCs w:val="21"/>
              </w:rPr>
              <w:t>、PM</w:t>
            </w:r>
            <w:r>
              <w:rPr>
                <w:szCs w:val="21"/>
                <w:vertAlign w:val="subscript"/>
              </w:rPr>
              <w:t>2.5</w:t>
            </w:r>
            <w:r>
              <w:rPr>
                <w:szCs w:val="21"/>
              </w:rPr>
              <w:t>年平均值及SO</w:t>
            </w:r>
            <w:r>
              <w:rPr>
                <w:szCs w:val="21"/>
                <w:vertAlign w:val="subscript"/>
              </w:rPr>
              <w:t>2</w:t>
            </w:r>
            <w:r>
              <w:rPr>
                <w:szCs w:val="21"/>
              </w:rPr>
              <w:t>日平均值均满足《环境空气质量标准》（GB3095-2012）中二级标准，NO</w:t>
            </w:r>
            <w:r>
              <w:rPr>
                <w:szCs w:val="21"/>
                <w:vertAlign w:val="subscript"/>
              </w:rPr>
              <w:t>2</w:t>
            </w:r>
            <w:r>
              <w:rPr>
                <w:szCs w:val="21"/>
              </w:rPr>
              <w:t>、PM</w:t>
            </w:r>
            <w:r>
              <w:rPr>
                <w:szCs w:val="21"/>
                <w:vertAlign w:val="subscript"/>
              </w:rPr>
              <w:t>10</w:t>
            </w:r>
            <w:r>
              <w:rPr>
                <w:szCs w:val="21"/>
              </w:rPr>
              <w:t>日平均值浓度达标率满足评价要求；CO的日均值的第95百分位数及日平均值浓度范围满足《环境空气质量标准》（GB3095-2012）中二级标准，PM</w:t>
            </w:r>
            <w:r>
              <w:rPr>
                <w:szCs w:val="21"/>
                <w:vertAlign w:val="subscript"/>
              </w:rPr>
              <w:t>2.5</w:t>
            </w:r>
            <w:r>
              <w:rPr>
                <w:szCs w:val="21"/>
              </w:rPr>
              <w:t>日均值、O</w:t>
            </w:r>
            <w:r>
              <w:rPr>
                <w:szCs w:val="21"/>
                <w:vertAlign w:val="subscript"/>
              </w:rPr>
              <w:t>3</w:t>
            </w:r>
            <w:r>
              <w:rPr>
                <w:szCs w:val="21"/>
              </w:rPr>
              <w:t>日最大8小时滑动平均值的第90百分位数及日平均值浓度范围超过《环境空气质量标准》（GB3095-2012）中二级标准，因此判定为</w:t>
            </w:r>
            <w:r>
              <w:rPr>
                <w:rFonts w:hint="eastAsia"/>
                <w:szCs w:val="21"/>
              </w:rPr>
              <w:t>不</w:t>
            </w:r>
            <w:r>
              <w:rPr>
                <w:szCs w:val="21"/>
              </w:rPr>
              <w:t>达标区域。</w:t>
            </w:r>
          </w:p>
          <w:p w14:paraId="105E9D0A">
            <w:pPr>
              <w:spacing w:line="360" w:lineRule="auto"/>
              <w:ind w:firstLine="422" w:firstLineChars="200"/>
              <w:jc w:val="left"/>
            </w:pPr>
            <w:r>
              <w:rPr>
                <w:b/>
                <w:bCs/>
              </w:rPr>
              <w:t>（2）特征污染物环境质量现状</w:t>
            </w:r>
          </w:p>
          <w:p w14:paraId="4219EE5A">
            <w:pPr>
              <w:spacing w:line="360" w:lineRule="auto"/>
              <w:ind w:firstLine="438" w:firstLineChars="209"/>
            </w:pPr>
            <w:r>
              <w:t>项目大气污染因子主要为非甲烷总烃、硫化氢及极少量氟化物等，根据《建设项目环境影响报告表编制技术指南》（污染影响类）（试行）及《建设项目环境影响评价技术导则 总纲》（HJ2.1-2016）：“排放国家、地方环境空气质量标准中有标准限值要求的特征污染物时，引用建设项目周边5千米范围内近3年的现有监测数据；环境影响评价应采用定量评价与定性评价相结合的方法，以量化评价为主”，项目废气污染因子中硫化氢</w:t>
            </w:r>
            <w:r>
              <w:rPr>
                <w:rFonts w:hint="eastAsia"/>
              </w:rPr>
              <w:t>、</w:t>
            </w:r>
            <w:r>
              <w:t>氟化物</w:t>
            </w:r>
            <w:r>
              <w:rPr>
                <w:rFonts w:hint="eastAsia"/>
              </w:rPr>
              <w:t>等</w:t>
            </w:r>
            <w:r>
              <w:t>暂无环境空气质量标准</w:t>
            </w:r>
            <w:r>
              <w:rPr>
                <w:rFonts w:hint="eastAsia"/>
              </w:rPr>
              <w:t>，</w:t>
            </w:r>
            <w:r>
              <w:t>丙烯腈仅做定性评价，因此本次仅调查评价范围内非甲烷总烃的环境质量现状。</w:t>
            </w:r>
          </w:p>
          <w:p w14:paraId="53F54B4D">
            <w:pPr>
              <w:spacing w:line="360" w:lineRule="auto"/>
              <w:ind w:firstLine="438" w:firstLineChars="209"/>
            </w:pPr>
            <w:r>
              <w:t>非甲烷总烃引用《</w:t>
            </w:r>
            <w:r>
              <w:rPr>
                <w:szCs w:val="21"/>
              </w:rPr>
              <w:t>江苏厚生新能源科技有限公司</w:t>
            </w:r>
            <w:r>
              <w:t>》中环境空气G1企业所在地处非甲烷总烃的历史数据，</w:t>
            </w:r>
            <w:r>
              <w:rPr>
                <w:rFonts w:hint="eastAsia"/>
              </w:rPr>
              <w:t>引用</w:t>
            </w:r>
            <w:r>
              <w:t>检测报告编号</w:t>
            </w:r>
            <w:r>
              <w:rPr>
                <w:rFonts w:hint="eastAsia"/>
                <w:szCs w:val="21"/>
              </w:rPr>
              <w:t>J</w:t>
            </w:r>
            <w:r>
              <w:rPr>
                <w:szCs w:val="21"/>
              </w:rPr>
              <w:t>CH</w:t>
            </w:r>
            <w:r>
              <w:rPr>
                <w:rFonts w:hint="eastAsia"/>
                <w:szCs w:val="21"/>
              </w:rPr>
              <w:t>20230167</w:t>
            </w:r>
            <w:r>
              <w:t>，检测时间为2023年4月3日-2023年4月11日，监测点位及监测数据见表3-2及表3-3。</w:t>
            </w:r>
          </w:p>
          <w:p w14:paraId="5AE7B7D1">
            <w:pPr>
              <w:spacing w:line="360" w:lineRule="auto"/>
              <w:ind w:firstLine="441" w:firstLineChars="209"/>
            </w:pPr>
            <w:r>
              <w:rPr>
                <w:b/>
                <w:bCs/>
              </w:rPr>
              <w:t>监测数据引用的有效性分析：</w:t>
            </w:r>
          </w:p>
          <w:p w14:paraId="45085644">
            <w:pPr>
              <w:pStyle w:val="6"/>
              <w:keepNext/>
              <w:spacing w:line="360" w:lineRule="auto"/>
              <w:ind w:firstLine="420" w:firstLineChars="200"/>
              <w:jc w:val="both"/>
              <w:rPr>
                <w:rFonts w:ascii="Times New Roman" w:hAnsi="Times New Roman"/>
                <w:b w:val="0"/>
                <w:bCs w:val="0"/>
                <w:color w:val="auto"/>
                <w:kern w:val="2"/>
                <w:sz w:val="21"/>
                <w:szCs w:val="21"/>
              </w:rPr>
            </w:pPr>
            <w:r>
              <w:rPr>
                <w:rFonts w:ascii="Times New Roman" w:hAnsi="Times New Roman"/>
                <w:b w:val="0"/>
                <w:bCs w:val="0"/>
                <w:color w:val="auto"/>
                <w:sz w:val="21"/>
                <w:szCs w:val="21"/>
              </w:rPr>
              <w:t>本项目引用因子为非甲烷总烃，监测时间为2023年4月，监测数据距今尚在3年有效期内，引用点位位于本项目东北侧约2.</w:t>
            </w:r>
            <w:r>
              <w:rPr>
                <w:rFonts w:hint="eastAsia" w:ascii="Times New Roman" w:hAnsi="Times New Roman"/>
                <w:b w:val="0"/>
                <w:bCs w:val="0"/>
                <w:color w:val="auto"/>
                <w:sz w:val="21"/>
                <w:szCs w:val="21"/>
              </w:rPr>
              <w:t>6</w:t>
            </w:r>
            <w:r>
              <w:rPr>
                <w:rFonts w:ascii="Times New Roman" w:hAnsi="Times New Roman"/>
                <w:b w:val="0"/>
                <w:bCs w:val="0"/>
                <w:color w:val="auto"/>
                <w:sz w:val="21"/>
                <w:szCs w:val="21"/>
              </w:rPr>
              <w:t>km，监测期间至今，区域内未新增明显的大气污染源，因此本次引用的大气环境质量数据符合引用原则。</w:t>
            </w:r>
          </w:p>
          <w:p w14:paraId="70382AAC">
            <w:pPr>
              <w:pStyle w:val="6"/>
              <w:keepNext/>
              <w:jc w:val="center"/>
              <w:rPr>
                <w:rFonts w:ascii="Times New Roman" w:hAnsi="Times New Roman"/>
                <w:color w:val="auto"/>
                <w:sz w:val="21"/>
                <w:szCs w:val="21"/>
              </w:rPr>
            </w:pPr>
            <w:r>
              <w:rPr>
                <w:rFonts w:ascii="Times New Roman" w:hAnsi="Times New Roman"/>
                <w:color w:val="auto"/>
                <w:sz w:val="21"/>
                <w:szCs w:val="21"/>
              </w:rPr>
              <w:t>表3-2  特征污染物补充监测点位基本信息</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53"/>
              <w:gridCol w:w="1117"/>
              <w:gridCol w:w="1102"/>
              <w:gridCol w:w="1251"/>
              <w:gridCol w:w="1863"/>
              <w:gridCol w:w="765"/>
              <w:gridCol w:w="877"/>
            </w:tblGrid>
            <w:tr w14:paraId="7D9369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53" w:type="dxa"/>
                  <w:vMerge w:val="restart"/>
                  <w:vAlign w:val="center"/>
                </w:tcPr>
                <w:p w14:paraId="4FB33A6A">
                  <w:pPr>
                    <w:jc w:val="center"/>
                    <w:rPr>
                      <w:b/>
                      <w:bCs/>
                      <w:szCs w:val="21"/>
                    </w:rPr>
                  </w:pPr>
                  <w:r>
                    <w:rPr>
                      <w:b/>
                      <w:bCs/>
                      <w:szCs w:val="21"/>
                    </w:rPr>
                    <w:t>监测点名称</w:t>
                  </w:r>
                </w:p>
              </w:tc>
              <w:tc>
                <w:tcPr>
                  <w:tcW w:w="2219" w:type="dxa"/>
                  <w:gridSpan w:val="2"/>
                  <w:vAlign w:val="center"/>
                </w:tcPr>
                <w:p w14:paraId="39C47C48">
                  <w:pPr>
                    <w:jc w:val="center"/>
                    <w:rPr>
                      <w:b/>
                      <w:bCs/>
                      <w:szCs w:val="21"/>
                    </w:rPr>
                  </w:pPr>
                  <w:r>
                    <w:rPr>
                      <w:b/>
                      <w:bCs/>
                      <w:szCs w:val="21"/>
                    </w:rPr>
                    <w:t>监测点坐标</w:t>
                  </w:r>
                  <w:r>
                    <w:rPr>
                      <w:rFonts w:hint="eastAsia"/>
                      <w:b/>
                      <w:bCs/>
                      <w:szCs w:val="21"/>
                    </w:rPr>
                    <w:t>（</w:t>
                  </w:r>
                  <w:r>
                    <w:rPr>
                      <w:b/>
                      <w:bCs/>
                      <w:szCs w:val="21"/>
                    </w:rPr>
                    <w:t>º</w:t>
                  </w:r>
                  <w:r>
                    <w:rPr>
                      <w:rFonts w:hint="eastAsia"/>
                      <w:b/>
                      <w:bCs/>
                      <w:szCs w:val="21"/>
                    </w:rPr>
                    <w:t>）</w:t>
                  </w:r>
                </w:p>
              </w:tc>
              <w:tc>
                <w:tcPr>
                  <w:tcW w:w="1251" w:type="dxa"/>
                  <w:vMerge w:val="restart"/>
                  <w:vAlign w:val="center"/>
                </w:tcPr>
                <w:p w14:paraId="0907592E">
                  <w:pPr>
                    <w:jc w:val="center"/>
                    <w:rPr>
                      <w:b/>
                      <w:bCs/>
                      <w:szCs w:val="21"/>
                    </w:rPr>
                  </w:pPr>
                  <w:r>
                    <w:rPr>
                      <w:b/>
                      <w:bCs/>
                      <w:szCs w:val="21"/>
                    </w:rPr>
                    <w:t>监测因子</w:t>
                  </w:r>
                </w:p>
              </w:tc>
              <w:tc>
                <w:tcPr>
                  <w:tcW w:w="1863" w:type="dxa"/>
                  <w:vMerge w:val="restart"/>
                  <w:vAlign w:val="center"/>
                </w:tcPr>
                <w:p w14:paraId="33D54E0E">
                  <w:pPr>
                    <w:jc w:val="center"/>
                    <w:rPr>
                      <w:b/>
                      <w:bCs/>
                      <w:szCs w:val="21"/>
                    </w:rPr>
                  </w:pPr>
                  <w:r>
                    <w:rPr>
                      <w:b/>
                      <w:bCs/>
                      <w:szCs w:val="21"/>
                    </w:rPr>
                    <w:t>监测时段</w:t>
                  </w:r>
                </w:p>
              </w:tc>
              <w:tc>
                <w:tcPr>
                  <w:tcW w:w="765" w:type="dxa"/>
                  <w:vMerge w:val="restart"/>
                  <w:vAlign w:val="center"/>
                </w:tcPr>
                <w:p w14:paraId="72382BAB">
                  <w:pPr>
                    <w:jc w:val="center"/>
                    <w:rPr>
                      <w:b/>
                      <w:bCs/>
                      <w:szCs w:val="21"/>
                    </w:rPr>
                  </w:pPr>
                  <w:r>
                    <w:rPr>
                      <w:b/>
                      <w:bCs/>
                      <w:szCs w:val="21"/>
                    </w:rPr>
                    <w:t>相对厂址方位</w:t>
                  </w:r>
                </w:p>
              </w:tc>
              <w:tc>
                <w:tcPr>
                  <w:tcW w:w="877" w:type="dxa"/>
                  <w:vMerge w:val="restart"/>
                  <w:vAlign w:val="center"/>
                </w:tcPr>
                <w:p w14:paraId="1EDBFF29">
                  <w:pPr>
                    <w:jc w:val="center"/>
                    <w:rPr>
                      <w:b/>
                      <w:bCs/>
                      <w:szCs w:val="21"/>
                    </w:rPr>
                  </w:pPr>
                  <w:r>
                    <w:rPr>
                      <w:b/>
                      <w:bCs/>
                      <w:szCs w:val="21"/>
                    </w:rPr>
                    <w:t>相对厂界距离（km）</w:t>
                  </w:r>
                </w:p>
              </w:tc>
            </w:tr>
            <w:tr w14:paraId="011B5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53" w:type="dxa"/>
                  <w:vMerge w:val="continue"/>
                  <w:vAlign w:val="center"/>
                </w:tcPr>
                <w:p w14:paraId="35E15B41">
                  <w:pPr>
                    <w:jc w:val="center"/>
                    <w:rPr>
                      <w:szCs w:val="21"/>
                    </w:rPr>
                  </w:pPr>
                </w:p>
              </w:tc>
              <w:tc>
                <w:tcPr>
                  <w:tcW w:w="1117" w:type="dxa"/>
                  <w:vAlign w:val="center"/>
                </w:tcPr>
                <w:p w14:paraId="1DF442E7">
                  <w:pPr>
                    <w:jc w:val="center"/>
                    <w:rPr>
                      <w:b/>
                      <w:bCs/>
                      <w:szCs w:val="21"/>
                    </w:rPr>
                  </w:pPr>
                  <w:r>
                    <w:rPr>
                      <w:b/>
                      <w:bCs/>
                      <w:szCs w:val="21"/>
                    </w:rPr>
                    <w:t>X</w:t>
                  </w:r>
                </w:p>
              </w:tc>
              <w:tc>
                <w:tcPr>
                  <w:tcW w:w="1102" w:type="dxa"/>
                  <w:vAlign w:val="center"/>
                </w:tcPr>
                <w:p w14:paraId="0E06DA97">
                  <w:pPr>
                    <w:jc w:val="center"/>
                    <w:rPr>
                      <w:b/>
                      <w:bCs/>
                      <w:szCs w:val="21"/>
                    </w:rPr>
                  </w:pPr>
                  <w:r>
                    <w:rPr>
                      <w:b/>
                      <w:bCs/>
                      <w:szCs w:val="21"/>
                    </w:rPr>
                    <w:t>Y</w:t>
                  </w:r>
                </w:p>
              </w:tc>
              <w:tc>
                <w:tcPr>
                  <w:tcW w:w="1251" w:type="dxa"/>
                  <w:vMerge w:val="continue"/>
                  <w:vAlign w:val="center"/>
                </w:tcPr>
                <w:p w14:paraId="6F148E10">
                  <w:pPr>
                    <w:jc w:val="center"/>
                    <w:rPr>
                      <w:szCs w:val="21"/>
                    </w:rPr>
                  </w:pPr>
                </w:p>
              </w:tc>
              <w:tc>
                <w:tcPr>
                  <w:tcW w:w="1863" w:type="dxa"/>
                  <w:vMerge w:val="continue"/>
                  <w:vAlign w:val="center"/>
                </w:tcPr>
                <w:p w14:paraId="53216829">
                  <w:pPr>
                    <w:jc w:val="center"/>
                    <w:rPr>
                      <w:szCs w:val="21"/>
                    </w:rPr>
                  </w:pPr>
                </w:p>
              </w:tc>
              <w:tc>
                <w:tcPr>
                  <w:tcW w:w="765" w:type="dxa"/>
                  <w:vMerge w:val="continue"/>
                  <w:vAlign w:val="center"/>
                </w:tcPr>
                <w:p w14:paraId="31750E33">
                  <w:pPr>
                    <w:jc w:val="center"/>
                    <w:rPr>
                      <w:szCs w:val="21"/>
                    </w:rPr>
                  </w:pPr>
                </w:p>
              </w:tc>
              <w:tc>
                <w:tcPr>
                  <w:tcW w:w="877" w:type="dxa"/>
                  <w:vMerge w:val="continue"/>
                  <w:vAlign w:val="center"/>
                </w:tcPr>
                <w:p w14:paraId="561E65D1">
                  <w:pPr>
                    <w:jc w:val="center"/>
                    <w:rPr>
                      <w:szCs w:val="21"/>
                    </w:rPr>
                  </w:pPr>
                </w:p>
              </w:tc>
            </w:tr>
            <w:tr w14:paraId="5F8B9B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53" w:type="dxa"/>
                  <w:vAlign w:val="center"/>
                </w:tcPr>
                <w:p w14:paraId="7CF9D321">
                  <w:pPr>
                    <w:jc w:val="center"/>
                    <w:rPr>
                      <w:szCs w:val="21"/>
                    </w:rPr>
                  </w:pPr>
                  <w:r>
                    <w:rPr>
                      <w:szCs w:val="21"/>
                    </w:rPr>
                    <w:t>G1江苏厚生新能源科技有限公司所在地</w:t>
                  </w:r>
                </w:p>
              </w:tc>
              <w:tc>
                <w:tcPr>
                  <w:tcW w:w="1117" w:type="dxa"/>
                  <w:vAlign w:val="center"/>
                </w:tcPr>
                <w:p w14:paraId="422D3D77">
                  <w:pPr>
                    <w:pStyle w:val="21"/>
                    <w:widowControl w:val="0"/>
                    <w:adjustRightInd w:val="0"/>
                    <w:snapToGrid w:val="0"/>
                    <w:spacing w:before="0"/>
                    <w:jc w:val="center"/>
                    <w:rPr>
                      <w:rFonts w:ascii="Times New Roman" w:hAnsi="Times New Roman"/>
                      <w:kern w:val="2"/>
                      <w:sz w:val="21"/>
                      <w:szCs w:val="21"/>
                    </w:rPr>
                  </w:pPr>
                  <w:r>
                    <w:rPr>
                      <w:rFonts w:ascii="Times New Roman" w:hAnsi="Times New Roman"/>
                      <w:kern w:val="2"/>
                      <w:sz w:val="21"/>
                      <w:szCs w:val="21"/>
                    </w:rPr>
                    <w:t>119.641005</w:t>
                  </w:r>
                </w:p>
              </w:tc>
              <w:tc>
                <w:tcPr>
                  <w:tcW w:w="1102" w:type="dxa"/>
                  <w:vAlign w:val="center"/>
                </w:tcPr>
                <w:p w14:paraId="0AB08744">
                  <w:pPr>
                    <w:pStyle w:val="21"/>
                    <w:widowControl w:val="0"/>
                    <w:adjustRightInd w:val="0"/>
                    <w:snapToGrid w:val="0"/>
                    <w:spacing w:before="0"/>
                    <w:jc w:val="center"/>
                    <w:rPr>
                      <w:rFonts w:ascii="Times New Roman" w:hAnsi="Times New Roman"/>
                      <w:kern w:val="2"/>
                      <w:sz w:val="21"/>
                      <w:szCs w:val="21"/>
                    </w:rPr>
                  </w:pPr>
                  <w:r>
                    <w:rPr>
                      <w:rFonts w:ascii="Times New Roman" w:hAnsi="Times New Roman"/>
                      <w:kern w:val="2"/>
                      <w:sz w:val="21"/>
                      <w:szCs w:val="21"/>
                    </w:rPr>
                    <w:t>31.692779</w:t>
                  </w:r>
                </w:p>
              </w:tc>
              <w:tc>
                <w:tcPr>
                  <w:tcW w:w="1251" w:type="dxa"/>
                  <w:vAlign w:val="center"/>
                </w:tcPr>
                <w:p w14:paraId="07EC7CED">
                  <w:pPr>
                    <w:jc w:val="center"/>
                    <w:rPr>
                      <w:szCs w:val="21"/>
                    </w:rPr>
                  </w:pPr>
                  <w:r>
                    <w:rPr>
                      <w:szCs w:val="21"/>
                    </w:rPr>
                    <w:t>非甲烷总烃</w:t>
                  </w:r>
                </w:p>
              </w:tc>
              <w:tc>
                <w:tcPr>
                  <w:tcW w:w="1863" w:type="dxa"/>
                  <w:vAlign w:val="center"/>
                </w:tcPr>
                <w:p w14:paraId="6BA808FC">
                  <w:pPr>
                    <w:jc w:val="center"/>
                    <w:rPr>
                      <w:szCs w:val="21"/>
                    </w:rPr>
                  </w:pPr>
                  <w:r>
                    <w:rPr>
                      <w:szCs w:val="21"/>
                    </w:rPr>
                    <w:t>2023.4.3-2023.4.11</w:t>
                  </w:r>
                </w:p>
              </w:tc>
              <w:tc>
                <w:tcPr>
                  <w:tcW w:w="765" w:type="dxa"/>
                  <w:vAlign w:val="center"/>
                </w:tcPr>
                <w:p w14:paraId="7B2522C7">
                  <w:pPr>
                    <w:jc w:val="center"/>
                    <w:rPr>
                      <w:szCs w:val="21"/>
                    </w:rPr>
                  </w:pPr>
                  <w:r>
                    <w:rPr>
                      <w:szCs w:val="21"/>
                    </w:rPr>
                    <w:t>NE</w:t>
                  </w:r>
                </w:p>
              </w:tc>
              <w:tc>
                <w:tcPr>
                  <w:tcW w:w="877" w:type="dxa"/>
                  <w:vAlign w:val="center"/>
                </w:tcPr>
                <w:p w14:paraId="2544D8B2">
                  <w:pPr>
                    <w:jc w:val="center"/>
                    <w:rPr>
                      <w:szCs w:val="21"/>
                    </w:rPr>
                  </w:pPr>
                  <w:r>
                    <w:rPr>
                      <w:szCs w:val="21"/>
                    </w:rPr>
                    <w:t>2.</w:t>
                  </w:r>
                  <w:r>
                    <w:rPr>
                      <w:rFonts w:hint="eastAsia"/>
                      <w:szCs w:val="21"/>
                    </w:rPr>
                    <w:t>6</w:t>
                  </w:r>
                </w:p>
              </w:tc>
            </w:tr>
          </w:tbl>
          <w:p w14:paraId="6343B1BB">
            <w:pPr>
              <w:pStyle w:val="6"/>
              <w:keepNext/>
              <w:adjustRightInd w:val="0"/>
              <w:snapToGrid w:val="0"/>
              <w:spacing w:beforeLines="50"/>
              <w:jc w:val="center"/>
              <w:rPr>
                <w:rFonts w:ascii="Times New Roman" w:hAnsi="Times New Roman"/>
                <w:color w:val="auto"/>
                <w:sz w:val="21"/>
                <w:szCs w:val="21"/>
              </w:rPr>
            </w:pPr>
            <w:r>
              <w:rPr>
                <w:rFonts w:ascii="Times New Roman" w:hAnsi="Times New Roman"/>
                <w:color w:val="auto"/>
                <w:sz w:val="21"/>
                <w:szCs w:val="21"/>
              </w:rPr>
              <w:t>表3-3  特征污染物环境质量现状（监测结果）表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77"/>
              <w:gridCol w:w="661"/>
              <w:gridCol w:w="664"/>
              <w:gridCol w:w="1162"/>
              <w:gridCol w:w="1064"/>
              <w:gridCol w:w="1164"/>
              <w:gridCol w:w="1046"/>
              <w:gridCol w:w="685"/>
              <w:gridCol w:w="705"/>
            </w:tblGrid>
            <w:tr w14:paraId="0BB1E0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6" w:type="pct"/>
                  <w:vMerge w:val="restart"/>
                  <w:vAlign w:val="center"/>
                </w:tcPr>
                <w:p w14:paraId="40A26344">
                  <w:pPr>
                    <w:jc w:val="center"/>
                    <w:rPr>
                      <w:b/>
                      <w:bCs/>
                      <w:szCs w:val="21"/>
                    </w:rPr>
                  </w:pPr>
                  <w:r>
                    <w:rPr>
                      <w:b/>
                      <w:bCs/>
                      <w:szCs w:val="21"/>
                    </w:rPr>
                    <w:t>监测点名称</w:t>
                  </w:r>
                </w:p>
              </w:tc>
              <w:tc>
                <w:tcPr>
                  <w:tcW w:w="794" w:type="pct"/>
                  <w:gridSpan w:val="2"/>
                  <w:vAlign w:val="center"/>
                </w:tcPr>
                <w:p w14:paraId="0FFF43C6">
                  <w:pPr>
                    <w:jc w:val="center"/>
                    <w:rPr>
                      <w:b/>
                      <w:bCs/>
                      <w:szCs w:val="21"/>
                    </w:rPr>
                  </w:pPr>
                  <w:r>
                    <w:rPr>
                      <w:b/>
                      <w:bCs/>
                      <w:szCs w:val="21"/>
                    </w:rPr>
                    <w:t>监测点坐标</w:t>
                  </w:r>
                  <w:r>
                    <w:rPr>
                      <w:rFonts w:hint="eastAsia"/>
                      <w:b/>
                      <w:bCs/>
                      <w:szCs w:val="21"/>
                    </w:rPr>
                    <w:t>（</w:t>
                  </w:r>
                  <w:r>
                    <w:rPr>
                      <w:b/>
                      <w:bCs/>
                      <w:szCs w:val="21"/>
                    </w:rPr>
                    <w:t>º</w:t>
                  </w:r>
                  <w:r>
                    <w:rPr>
                      <w:rFonts w:hint="eastAsia"/>
                      <w:b/>
                      <w:bCs/>
                      <w:szCs w:val="21"/>
                    </w:rPr>
                    <w:t>）</w:t>
                  </w:r>
                </w:p>
              </w:tc>
              <w:tc>
                <w:tcPr>
                  <w:tcW w:w="697" w:type="pct"/>
                  <w:vMerge w:val="restart"/>
                  <w:vAlign w:val="center"/>
                </w:tcPr>
                <w:p w14:paraId="4174BB6E">
                  <w:pPr>
                    <w:jc w:val="center"/>
                    <w:rPr>
                      <w:b/>
                      <w:bCs/>
                      <w:szCs w:val="21"/>
                    </w:rPr>
                  </w:pPr>
                  <w:r>
                    <w:rPr>
                      <w:b/>
                      <w:bCs/>
                      <w:szCs w:val="21"/>
                    </w:rPr>
                    <w:t>污染物</w:t>
                  </w:r>
                </w:p>
              </w:tc>
              <w:tc>
                <w:tcPr>
                  <w:tcW w:w="639" w:type="pct"/>
                  <w:vMerge w:val="restart"/>
                  <w:vAlign w:val="center"/>
                </w:tcPr>
                <w:p w14:paraId="400C4222">
                  <w:pPr>
                    <w:adjustRightInd w:val="0"/>
                    <w:snapToGrid w:val="0"/>
                    <w:jc w:val="center"/>
                    <w:rPr>
                      <w:b/>
                      <w:bCs/>
                      <w:szCs w:val="21"/>
                    </w:rPr>
                  </w:pPr>
                  <w:r>
                    <w:rPr>
                      <w:b/>
                      <w:bCs/>
                      <w:szCs w:val="21"/>
                    </w:rPr>
                    <w:t>平</w:t>
                  </w:r>
                  <w:r>
                    <w:rPr>
                      <w:b/>
                      <w:bCs/>
                      <w:snapToGrid w:val="0"/>
                      <w:kern w:val="0"/>
                      <w:szCs w:val="21"/>
                    </w:rPr>
                    <w:t>均时</w:t>
                  </w:r>
                  <w:r>
                    <w:rPr>
                      <w:b/>
                      <w:bCs/>
                      <w:szCs w:val="21"/>
                    </w:rPr>
                    <w:t>间</w:t>
                  </w:r>
                </w:p>
              </w:tc>
              <w:tc>
                <w:tcPr>
                  <w:tcW w:w="699" w:type="pct"/>
                  <w:vMerge w:val="restart"/>
                  <w:vAlign w:val="center"/>
                </w:tcPr>
                <w:p w14:paraId="7F1D3681">
                  <w:pPr>
                    <w:jc w:val="center"/>
                    <w:rPr>
                      <w:b/>
                      <w:bCs/>
                      <w:szCs w:val="21"/>
                    </w:rPr>
                  </w:pPr>
                  <w:r>
                    <w:rPr>
                      <w:b/>
                      <w:bCs/>
                      <w:szCs w:val="21"/>
                    </w:rPr>
                    <w:t>监测浓度范围/mg/m</w:t>
                  </w:r>
                  <w:r>
                    <w:rPr>
                      <w:b/>
                      <w:bCs/>
                      <w:szCs w:val="21"/>
                      <w:vertAlign w:val="superscript"/>
                    </w:rPr>
                    <w:t>3</w:t>
                  </w:r>
                </w:p>
              </w:tc>
              <w:tc>
                <w:tcPr>
                  <w:tcW w:w="628" w:type="pct"/>
                  <w:vMerge w:val="restart"/>
                  <w:vAlign w:val="center"/>
                </w:tcPr>
                <w:p w14:paraId="6357D173">
                  <w:pPr>
                    <w:jc w:val="center"/>
                    <w:rPr>
                      <w:b/>
                      <w:bCs/>
                      <w:szCs w:val="21"/>
                    </w:rPr>
                  </w:pPr>
                  <w:r>
                    <w:rPr>
                      <w:b/>
                      <w:bCs/>
                      <w:szCs w:val="21"/>
                    </w:rPr>
                    <w:t>最大浓度占标率%</w:t>
                  </w:r>
                </w:p>
              </w:tc>
              <w:tc>
                <w:tcPr>
                  <w:tcW w:w="411" w:type="pct"/>
                  <w:vMerge w:val="restart"/>
                  <w:vAlign w:val="center"/>
                </w:tcPr>
                <w:p w14:paraId="57A87861">
                  <w:pPr>
                    <w:jc w:val="center"/>
                    <w:rPr>
                      <w:b/>
                      <w:bCs/>
                      <w:szCs w:val="21"/>
                    </w:rPr>
                  </w:pPr>
                  <w:r>
                    <w:rPr>
                      <w:b/>
                      <w:bCs/>
                      <w:szCs w:val="21"/>
                    </w:rPr>
                    <w:t>超标率%</w:t>
                  </w:r>
                </w:p>
              </w:tc>
              <w:tc>
                <w:tcPr>
                  <w:tcW w:w="423" w:type="pct"/>
                  <w:vMerge w:val="restart"/>
                  <w:vAlign w:val="center"/>
                </w:tcPr>
                <w:p w14:paraId="599D803E">
                  <w:pPr>
                    <w:jc w:val="center"/>
                    <w:rPr>
                      <w:b/>
                      <w:bCs/>
                      <w:szCs w:val="21"/>
                    </w:rPr>
                  </w:pPr>
                  <w:r>
                    <w:rPr>
                      <w:b/>
                      <w:bCs/>
                      <w:szCs w:val="21"/>
                    </w:rPr>
                    <w:t>达标情况</w:t>
                  </w:r>
                </w:p>
              </w:tc>
            </w:tr>
            <w:tr w14:paraId="45005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6" w:type="pct"/>
                  <w:vMerge w:val="continue"/>
                  <w:vAlign w:val="center"/>
                </w:tcPr>
                <w:p w14:paraId="70B012E5">
                  <w:pPr>
                    <w:jc w:val="center"/>
                    <w:rPr>
                      <w:szCs w:val="21"/>
                    </w:rPr>
                  </w:pPr>
                </w:p>
              </w:tc>
              <w:tc>
                <w:tcPr>
                  <w:tcW w:w="396" w:type="pct"/>
                  <w:vAlign w:val="center"/>
                </w:tcPr>
                <w:p w14:paraId="651088FC">
                  <w:pPr>
                    <w:jc w:val="center"/>
                    <w:rPr>
                      <w:b/>
                      <w:bCs/>
                      <w:szCs w:val="21"/>
                    </w:rPr>
                  </w:pPr>
                  <w:r>
                    <w:rPr>
                      <w:b/>
                      <w:bCs/>
                      <w:szCs w:val="21"/>
                    </w:rPr>
                    <w:t>X</w:t>
                  </w:r>
                </w:p>
              </w:tc>
              <w:tc>
                <w:tcPr>
                  <w:tcW w:w="398" w:type="pct"/>
                  <w:vAlign w:val="center"/>
                </w:tcPr>
                <w:p w14:paraId="25F236E9">
                  <w:pPr>
                    <w:jc w:val="center"/>
                    <w:rPr>
                      <w:b/>
                      <w:bCs/>
                      <w:szCs w:val="21"/>
                    </w:rPr>
                  </w:pPr>
                  <w:r>
                    <w:rPr>
                      <w:b/>
                      <w:bCs/>
                      <w:szCs w:val="21"/>
                    </w:rPr>
                    <w:t>Y</w:t>
                  </w:r>
                </w:p>
              </w:tc>
              <w:tc>
                <w:tcPr>
                  <w:tcW w:w="697" w:type="pct"/>
                  <w:vMerge w:val="continue"/>
                  <w:vAlign w:val="center"/>
                </w:tcPr>
                <w:p w14:paraId="5752E8C4">
                  <w:pPr>
                    <w:jc w:val="center"/>
                    <w:rPr>
                      <w:szCs w:val="21"/>
                    </w:rPr>
                  </w:pPr>
                </w:p>
              </w:tc>
              <w:tc>
                <w:tcPr>
                  <w:tcW w:w="639" w:type="pct"/>
                  <w:vMerge w:val="continue"/>
                  <w:vAlign w:val="center"/>
                </w:tcPr>
                <w:p w14:paraId="24046DD3">
                  <w:pPr>
                    <w:jc w:val="center"/>
                    <w:rPr>
                      <w:szCs w:val="21"/>
                    </w:rPr>
                  </w:pPr>
                </w:p>
              </w:tc>
              <w:tc>
                <w:tcPr>
                  <w:tcW w:w="699" w:type="pct"/>
                  <w:vMerge w:val="continue"/>
                  <w:vAlign w:val="center"/>
                </w:tcPr>
                <w:p w14:paraId="4DE45AA4">
                  <w:pPr>
                    <w:jc w:val="center"/>
                    <w:rPr>
                      <w:szCs w:val="21"/>
                    </w:rPr>
                  </w:pPr>
                </w:p>
              </w:tc>
              <w:tc>
                <w:tcPr>
                  <w:tcW w:w="628" w:type="pct"/>
                  <w:vMerge w:val="continue"/>
                  <w:vAlign w:val="center"/>
                </w:tcPr>
                <w:p w14:paraId="3E7E8B08">
                  <w:pPr>
                    <w:jc w:val="center"/>
                    <w:rPr>
                      <w:szCs w:val="21"/>
                    </w:rPr>
                  </w:pPr>
                </w:p>
              </w:tc>
              <w:tc>
                <w:tcPr>
                  <w:tcW w:w="411" w:type="pct"/>
                  <w:vMerge w:val="continue"/>
                  <w:vAlign w:val="center"/>
                </w:tcPr>
                <w:p w14:paraId="74CB7358">
                  <w:pPr>
                    <w:jc w:val="center"/>
                    <w:rPr>
                      <w:szCs w:val="21"/>
                    </w:rPr>
                  </w:pPr>
                </w:p>
              </w:tc>
              <w:tc>
                <w:tcPr>
                  <w:tcW w:w="423" w:type="pct"/>
                  <w:vMerge w:val="continue"/>
                  <w:vAlign w:val="center"/>
                </w:tcPr>
                <w:p w14:paraId="3043033F">
                  <w:pPr>
                    <w:jc w:val="center"/>
                    <w:rPr>
                      <w:szCs w:val="21"/>
                    </w:rPr>
                  </w:pPr>
                </w:p>
              </w:tc>
            </w:tr>
            <w:tr w14:paraId="769440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06" w:type="pct"/>
                  <w:vAlign w:val="center"/>
                </w:tcPr>
                <w:p w14:paraId="5929EA1F">
                  <w:pPr>
                    <w:jc w:val="center"/>
                    <w:rPr>
                      <w:szCs w:val="21"/>
                    </w:rPr>
                  </w:pPr>
                  <w:r>
                    <w:rPr>
                      <w:szCs w:val="21"/>
                    </w:rPr>
                    <w:t>G1江苏厚生新能源科技有限公司所在地</w:t>
                  </w:r>
                </w:p>
              </w:tc>
              <w:tc>
                <w:tcPr>
                  <w:tcW w:w="396" w:type="pct"/>
                  <w:vAlign w:val="center"/>
                </w:tcPr>
                <w:p w14:paraId="7E5A28EA">
                  <w:pPr>
                    <w:pStyle w:val="21"/>
                    <w:widowControl w:val="0"/>
                    <w:adjustRightInd w:val="0"/>
                    <w:snapToGrid w:val="0"/>
                    <w:spacing w:before="0"/>
                    <w:jc w:val="center"/>
                    <w:rPr>
                      <w:rFonts w:ascii="Times New Roman" w:hAnsi="Times New Roman"/>
                      <w:kern w:val="2"/>
                      <w:sz w:val="21"/>
                      <w:szCs w:val="21"/>
                    </w:rPr>
                  </w:pPr>
                  <w:r>
                    <w:rPr>
                      <w:rFonts w:ascii="Times New Roman" w:hAnsi="Times New Roman"/>
                      <w:kern w:val="2"/>
                      <w:sz w:val="21"/>
                      <w:szCs w:val="21"/>
                    </w:rPr>
                    <w:t>119.641005</w:t>
                  </w:r>
                </w:p>
              </w:tc>
              <w:tc>
                <w:tcPr>
                  <w:tcW w:w="398" w:type="pct"/>
                  <w:vAlign w:val="center"/>
                </w:tcPr>
                <w:p w14:paraId="44CEAC2B">
                  <w:pPr>
                    <w:pStyle w:val="21"/>
                    <w:widowControl w:val="0"/>
                    <w:adjustRightInd w:val="0"/>
                    <w:snapToGrid w:val="0"/>
                    <w:spacing w:before="0"/>
                    <w:jc w:val="center"/>
                    <w:rPr>
                      <w:rFonts w:ascii="Times New Roman" w:hAnsi="Times New Roman"/>
                      <w:kern w:val="2"/>
                      <w:sz w:val="21"/>
                      <w:szCs w:val="21"/>
                    </w:rPr>
                  </w:pPr>
                  <w:r>
                    <w:rPr>
                      <w:rFonts w:ascii="Times New Roman" w:hAnsi="Times New Roman"/>
                      <w:kern w:val="2"/>
                      <w:sz w:val="21"/>
                      <w:szCs w:val="21"/>
                    </w:rPr>
                    <w:t>31.692779</w:t>
                  </w:r>
                </w:p>
              </w:tc>
              <w:tc>
                <w:tcPr>
                  <w:tcW w:w="697" w:type="pct"/>
                  <w:vAlign w:val="center"/>
                </w:tcPr>
                <w:p w14:paraId="074AAD19">
                  <w:pPr>
                    <w:jc w:val="center"/>
                    <w:rPr>
                      <w:szCs w:val="21"/>
                    </w:rPr>
                  </w:pPr>
                  <w:r>
                    <w:rPr>
                      <w:szCs w:val="21"/>
                    </w:rPr>
                    <w:t>非甲烷总烃</w:t>
                  </w:r>
                </w:p>
              </w:tc>
              <w:tc>
                <w:tcPr>
                  <w:tcW w:w="639" w:type="pct"/>
                  <w:vAlign w:val="center"/>
                </w:tcPr>
                <w:p w14:paraId="660039F2">
                  <w:pPr>
                    <w:spacing w:beforeLines="20" w:afterLines="20"/>
                    <w:jc w:val="center"/>
                    <w:rPr>
                      <w:szCs w:val="21"/>
                    </w:rPr>
                  </w:pPr>
                  <w:r>
                    <w:rPr>
                      <w:szCs w:val="21"/>
                    </w:rPr>
                    <w:t>1小时平均</w:t>
                  </w:r>
                </w:p>
              </w:tc>
              <w:tc>
                <w:tcPr>
                  <w:tcW w:w="699" w:type="pct"/>
                  <w:vAlign w:val="center"/>
                </w:tcPr>
                <w:p w14:paraId="38D69742">
                  <w:pPr>
                    <w:spacing w:beforeLines="20" w:afterLines="20"/>
                    <w:jc w:val="center"/>
                    <w:rPr>
                      <w:szCs w:val="21"/>
                    </w:rPr>
                  </w:pPr>
                  <w:r>
                    <w:rPr>
                      <w:szCs w:val="21"/>
                    </w:rPr>
                    <w:t>0.55-0.64</w:t>
                  </w:r>
                </w:p>
              </w:tc>
              <w:tc>
                <w:tcPr>
                  <w:tcW w:w="628" w:type="pct"/>
                  <w:vAlign w:val="center"/>
                </w:tcPr>
                <w:p w14:paraId="63B4B000">
                  <w:pPr>
                    <w:spacing w:beforeLines="20" w:afterLines="20"/>
                    <w:jc w:val="center"/>
                    <w:rPr>
                      <w:szCs w:val="21"/>
                    </w:rPr>
                  </w:pPr>
                  <w:r>
                    <w:rPr>
                      <w:szCs w:val="21"/>
                    </w:rPr>
                    <w:t>32</w:t>
                  </w:r>
                </w:p>
              </w:tc>
              <w:tc>
                <w:tcPr>
                  <w:tcW w:w="411" w:type="pct"/>
                  <w:vAlign w:val="center"/>
                </w:tcPr>
                <w:p w14:paraId="7A2FCDF6">
                  <w:pPr>
                    <w:jc w:val="center"/>
                    <w:rPr>
                      <w:szCs w:val="21"/>
                    </w:rPr>
                  </w:pPr>
                  <w:r>
                    <w:rPr>
                      <w:szCs w:val="21"/>
                    </w:rPr>
                    <w:t>0</w:t>
                  </w:r>
                </w:p>
              </w:tc>
              <w:tc>
                <w:tcPr>
                  <w:tcW w:w="423" w:type="pct"/>
                  <w:vAlign w:val="center"/>
                </w:tcPr>
                <w:p w14:paraId="4823AB8D">
                  <w:pPr>
                    <w:jc w:val="center"/>
                    <w:rPr>
                      <w:szCs w:val="21"/>
                    </w:rPr>
                  </w:pPr>
                  <w:r>
                    <w:rPr>
                      <w:szCs w:val="21"/>
                    </w:rPr>
                    <w:t>达标</w:t>
                  </w:r>
                </w:p>
              </w:tc>
            </w:tr>
          </w:tbl>
          <w:p w14:paraId="0D9EC337">
            <w:pPr>
              <w:adjustRightInd w:val="0"/>
              <w:snapToGrid w:val="0"/>
              <w:spacing w:beforeLines="50" w:line="360" w:lineRule="auto"/>
              <w:ind w:firstLine="411" w:firstLineChars="196"/>
            </w:pPr>
            <w:r>
              <w:t>监测数据表明，项目所在地环境空气质量非甲烷总烃满足《大气污染物综合排放标准详解》中非甲烷总烃选用的环境质量浓度要求，满足项目所在地区的环境功能区划要求。</w:t>
            </w:r>
          </w:p>
          <w:p w14:paraId="575B539A">
            <w:pPr>
              <w:spacing w:line="360" w:lineRule="auto"/>
              <w:ind w:firstLine="413" w:firstLineChars="196"/>
              <w:rPr>
                <w:b/>
                <w:bCs/>
              </w:rPr>
            </w:pPr>
            <w:r>
              <w:rPr>
                <w:b/>
                <w:bCs/>
              </w:rPr>
              <w:t>（3）大气污染防治行动方案</w:t>
            </w:r>
          </w:p>
          <w:p w14:paraId="4D83D2D1">
            <w:pPr>
              <w:spacing w:line="360" w:lineRule="auto"/>
              <w:ind w:firstLine="411" w:firstLineChars="196"/>
            </w:pPr>
            <w:r>
              <w:t>为贯彻落实《国务院关于印发&lt;空气质量持续改善行动计划&gt;的通知》（国发〔2023〕24号）和《省政府关于印发江苏省空气质量持续改善行动计划实施方案的通知》（苏政发〔2024〕53号）要求，持续深入打好蓝天保卫战，切实保障人民群众身体健康，以高水平保护支撑高质量发展，常州市人民政府制定《常州市空气质量持续改善行动计划实施方案》（常政发〔2024〕51号），方案重点任务如下：</w:t>
            </w:r>
          </w:p>
          <w:p w14:paraId="7BBABB13">
            <w:pPr>
              <w:spacing w:line="360" w:lineRule="auto"/>
              <w:ind w:firstLine="411" w:firstLineChars="196"/>
            </w:pPr>
            <w:r>
              <w:t>①调整优化产业结构，推进产业绿色低碳发展：坚决遏制“两高”项目盲目发展；加快退出重点行业落后产能；中小型传统制造企业集中的辖市（区）均要制定涉气产业集群发展规划，严格项目审批，严防污染下乡；严格控制生产和使用高VOCs含量涂料、油墨、胶粘剂、清洗剂等建设项目。</w:t>
            </w:r>
          </w:p>
          <w:p w14:paraId="39871B32">
            <w:pPr>
              <w:spacing w:line="360" w:lineRule="auto"/>
              <w:ind w:firstLine="411" w:firstLineChars="196"/>
            </w:pPr>
            <w:r>
              <w:t>②推进能源高效利用，加快能源清洁低碳转型：大力发展新能源和清洁能源；严格合理控制煤炭消费总量；推进燃煤锅炉关停整合和工业炉窑清洁能源替代；推进近零碳园区和近零碳工厂试点建设。</w:t>
            </w:r>
          </w:p>
          <w:p w14:paraId="1BF239CD">
            <w:pPr>
              <w:snapToGrid w:val="0"/>
              <w:spacing w:line="360" w:lineRule="auto"/>
              <w:ind w:firstLine="411" w:firstLineChars="196"/>
            </w:pPr>
            <w:r>
              <w:t>③加强面源污染治理，提高精细化管理水平：实施扬尘精细化治理，积极实施“清洁城市行动”；推进矿山生态环境综合整治；加强秸秆禁烧和综合利用，禁止露天焚烧秸秆，综合运用卫星遥感、高清视频监控、无人机等手段，提高秸秆焚烧火点监测及巡查精准度。</w:t>
            </w:r>
          </w:p>
          <w:p w14:paraId="7D2AB303">
            <w:pPr>
              <w:snapToGrid w:val="0"/>
              <w:spacing w:line="360" w:lineRule="auto"/>
              <w:ind w:firstLine="411" w:firstLineChars="196"/>
            </w:pPr>
            <w:r>
              <w:t>④强化协同减排，切实降低污染物排放强度：强化VOCs全流程、全环节综合治理，鼓励储罐使用低泄漏的呼吸阀、紧急泄压阀，定期开展密封性检测。重点工业园区建立分环节、分物种管控清单，实施高排放关键活性物种“指纹化”监测监控和靶向治理。</w:t>
            </w:r>
          </w:p>
          <w:p w14:paraId="21E5F1A2">
            <w:pPr>
              <w:snapToGrid w:val="0"/>
              <w:spacing w:line="360" w:lineRule="auto"/>
              <w:ind w:firstLine="411" w:firstLineChars="196"/>
            </w:pPr>
            <w:r>
              <w:t>实施重点行业超低排放与深度治理，有序推进铸造、垃圾焚烧发电、玻璃、有色、石灰、矿棉等行业深度治理。持续推进煤电机组深度脱硝改造，实施重点行业绩效等级提升行动。</w:t>
            </w:r>
          </w:p>
          <w:p w14:paraId="1AEF5C5B">
            <w:pPr>
              <w:adjustRightInd w:val="0"/>
              <w:snapToGrid w:val="0"/>
              <w:spacing w:line="360" w:lineRule="auto"/>
              <w:ind w:firstLine="420" w:firstLineChars="200"/>
            </w:pPr>
            <w:r>
              <w:t>推进餐饮油烟、恶臭异味专项整治。加强部门联动，因地制宜解决人民群众反映集中的油烟和恶臭扰民问题。严格居民楼附近餐饮服务单位布局管理。拟开设餐饮服务单位的建筑应设计建设专用烟道。建立重点园区“嗅辨+监测”异味溯源机制。</w:t>
            </w:r>
          </w:p>
          <w:p w14:paraId="756B7508">
            <w:pPr>
              <w:adjustRightInd w:val="0"/>
              <w:snapToGrid w:val="0"/>
              <w:spacing w:line="360" w:lineRule="auto"/>
              <w:ind w:firstLine="420" w:firstLineChars="200"/>
            </w:pPr>
            <w:r>
              <w:t>推动大气氨污染防控，加强氮肥、纯碱等行业大气氨排放治理，强化工业源烟气脱硫脱硝氨逃逸防控。</w:t>
            </w:r>
          </w:p>
          <w:p w14:paraId="61DE2220">
            <w:pPr>
              <w:adjustRightInd w:val="0"/>
              <w:snapToGrid w:val="0"/>
              <w:spacing w:line="360" w:lineRule="auto"/>
              <w:ind w:firstLine="420" w:firstLineChars="200"/>
            </w:pPr>
            <w:r>
              <w:t>⑤完善工作机制，健全大气环境管理体系：开展区域联防联控和城市空气质量达标管理，积极推进大气污染联防联控机制建设，空气质量未达标的地区编制实施大气环境质量限期达标规划，明确达标路线图及重点任务，并向社会公开。</w:t>
            </w:r>
          </w:p>
          <w:p w14:paraId="0F6AAE80">
            <w:pPr>
              <w:adjustRightInd w:val="0"/>
              <w:snapToGrid w:val="0"/>
              <w:spacing w:line="360" w:lineRule="auto"/>
              <w:ind w:firstLine="420" w:firstLineChars="200"/>
            </w:pPr>
            <w:r>
              <w:t>提升重污染天气应对能力，结合排污许可制度，确保应急减排清单覆盖所有涉气企业。按照区域预警提示信息，依法依规与同一区域内的城市同步采取应急响应措施。</w:t>
            </w:r>
          </w:p>
          <w:p w14:paraId="2A8FEE43">
            <w:pPr>
              <w:adjustRightInd w:val="0"/>
              <w:snapToGrid w:val="0"/>
              <w:spacing w:line="360" w:lineRule="auto"/>
              <w:ind w:firstLine="420" w:firstLineChars="200"/>
            </w:pPr>
            <w:r>
              <w:t>⑥加强能力建设，提升生态环境治理体系和治理能力现代化水平：强化大气监测和执法监管，加强机场、港口、铁路货场、物流园区、工业园区、产业集群、公路等大气环境监测；加强决策科技支撑，持续开展PM</w:t>
            </w:r>
            <w:r>
              <w:rPr>
                <w:vertAlign w:val="subscript"/>
              </w:rPr>
              <w:t>2.5</w:t>
            </w:r>
            <w:r>
              <w:t>和臭氧协同控制科技攻关，推进致臭物质识别、恶臭污染评估和溯源技术方法研究。</w:t>
            </w:r>
          </w:p>
          <w:p w14:paraId="0931D086">
            <w:pPr>
              <w:adjustRightInd w:val="0"/>
              <w:snapToGrid w:val="0"/>
              <w:spacing w:line="360" w:lineRule="auto"/>
              <w:ind w:firstLine="420" w:firstLineChars="200"/>
            </w:pPr>
            <w:r>
              <w:t>⑦健全标准规范体系，完善生态环境经济政策：强化标准引领，推动落实大气污染物排放最新标准，重点行业逐步配套技术指南和工程技术规范，研究制定精细化治理方案；完善生态环境资金投入机制，综合运用经济、技术等手段推动老旧车辆退出。</w:t>
            </w:r>
          </w:p>
          <w:p w14:paraId="30AC04BF">
            <w:pPr>
              <w:adjustRightInd w:val="0"/>
              <w:snapToGrid w:val="0"/>
              <w:spacing w:line="360" w:lineRule="auto"/>
              <w:ind w:firstLine="420" w:firstLineChars="200"/>
            </w:pPr>
            <w:r>
              <w:t>⑧落实各方责任，构建全民行动格局：加强组织领导，各级政府对本行政区域内空气质量负总责，组织制定本地实施方案；严格监督考核，将空气质量改善目标完成情况作为深入打好污染防治攻坚战成效考核的重要内容；推进全民行动，落实《江苏省生态文明教育促进办法》，加强舆论引导和监督，普及大气环境与健康知识，政府带头开展绿色采购，推进使用新能源车辆，全面使用低（无）VOCs含量产品，强化公民环境意识，推动形成简约适度、绿色低碳、文明健康的生活方式，共同改善空气质量。</w:t>
            </w:r>
          </w:p>
          <w:p w14:paraId="02C43E7B">
            <w:pPr>
              <w:snapToGrid w:val="0"/>
              <w:spacing w:line="360" w:lineRule="auto"/>
              <w:ind w:firstLine="411" w:firstLineChars="196"/>
            </w:pPr>
            <w:r>
              <w:t>通过上述工作的积极推进实施，常州市与金坛区环境空气质量将得到持续改善。</w:t>
            </w:r>
          </w:p>
          <w:p w14:paraId="36FA864F">
            <w:pPr>
              <w:snapToGrid w:val="0"/>
              <w:spacing w:line="360" w:lineRule="auto"/>
              <w:ind w:firstLine="413" w:firstLineChars="196"/>
              <w:rPr>
                <w:b/>
                <w:bCs/>
              </w:rPr>
            </w:pPr>
            <w:r>
              <w:rPr>
                <w:b/>
                <w:bCs/>
              </w:rPr>
              <w:t>2、地表水</w:t>
            </w:r>
          </w:p>
          <w:p w14:paraId="1D9344EA">
            <w:pPr>
              <w:topLinePunct/>
              <w:adjustRightInd w:val="0"/>
              <w:snapToGrid w:val="0"/>
              <w:spacing w:line="360" w:lineRule="auto"/>
              <w:ind w:firstLine="420" w:firstLineChars="200"/>
              <w:rPr>
                <w:szCs w:val="21"/>
              </w:rPr>
            </w:pPr>
            <w:r>
              <w:t>根据</w:t>
            </w:r>
            <w:r>
              <w:rPr>
                <w:szCs w:val="21"/>
              </w:rPr>
              <w:t>《</w:t>
            </w:r>
            <w:r>
              <w:rPr>
                <w:bCs/>
                <w:szCs w:val="21"/>
              </w:rPr>
              <w:t>202</w:t>
            </w:r>
            <w:r>
              <w:rPr>
                <w:rFonts w:hint="eastAsia"/>
                <w:bCs/>
                <w:szCs w:val="21"/>
              </w:rPr>
              <w:t>4</w:t>
            </w:r>
            <w:r>
              <w:rPr>
                <w:bCs/>
                <w:szCs w:val="21"/>
              </w:rPr>
              <w:t>年常州市生态环境状况公报</w:t>
            </w:r>
            <w:r>
              <w:rPr>
                <w:szCs w:val="21"/>
              </w:rPr>
              <w:t>》</w:t>
            </w:r>
            <w:r>
              <w:t>，</w:t>
            </w:r>
            <w:r>
              <w:rPr>
                <w:szCs w:val="21"/>
              </w:rPr>
              <w:t>202</w:t>
            </w:r>
            <w:r>
              <w:rPr>
                <w:rFonts w:hint="eastAsia"/>
                <w:szCs w:val="21"/>
              </w:rPr>
              <w:t>4</w:t>
            </w:r>
            <w:r>
              <w:rPr>
                <w:szCs w:val="21"/>
              </w:rPr>
              <w:t>年，常州市纳入“十四五”国家地表水环境质量考核的20个断面中，年均水质达到或好于《地表水环境质量标准》（GB3838-2002）III类标准的断面比例为85%，无劣V类断面。纳入江苏省“十四五”水环境质量目标考核51个断面，年均水质达到或好于III类的比例为94.1%，无劣V类断面。全市5个县级及以上城市集中式饮用水水源地（含备用）全年各</w:t>
            </w:r>
            <w:r>
              <w:rPr>
                <w:rFonts w:hint="eastAsia"/>
                <w:szCs w:val="21"/>
              </w:rPr>
              <w:t>月</w:t>
            </w:r>
            <w:r>
              <w:rPr>
                <w:szCs w:val="21"/>
              </w:rPr>
              <w:t>监测均达标。</w:t>
            </w:r>
          </w:p>
          <w:p w14:paraId="2499073A">
            <w:pPr>
              <w:spacing w:line="360" w:lineRule="auto"/>
              <w:ind w:firstLine="411" w:firstLineChars="196"/>
            </w:pPr>
            <w:r>
              <w:t>本项目纳污水体为尧塘河，根据《江苏省地表水（环境）功能区划（2021-2030年）》，尧塘河水质执行《地表水环境质量标准》（GB3838-2002）中的III类水质标准。</w:t>
            </w:r>
          </w:p>
          <w:p w14:paraId="722F0F45">
            <w:pPr>
              <w:spacing w:line="360" w:lineRule="auto"/>
              <w:ind w:firstLine="411" w:firstLineChars="196"/>
            </w:pPr>
            <w:r>
              <w:t>江苏</w:t>
            </w:r>
            <w:r>
              <w:rPr>
                <w:rFonts w:hint="eastAsia"/>
              </w:rPr>
              <w:t>佳蓝检验检测</w:t>
            </w:r>
            <w:r>
              <w:t>有限公司于202</w:t>
            </w:r>
            <w:r>
              <w:rPr>
                <w:rFonts w:hint="eastAsia"/>
              </w:rPr>
              <w:t>3</w:t>
            </w:r>
            <w:r>
              <w:t>年5月3</w:t>
            </w:r>
            <w:r>
              <w:rPr>
                <w:rFonts w:hint="eastAsia"/>
              </w:rPr>
              <w:t>0</w:t>
            </w:r>
            <w:r>
              <w:t>日~6月</w:t>
            </w:r>
            <w:r>
              <w:rPr>
                <w:rFonts w:hint="eastAsia"/>
              </w:rPr>
              <w:t>1</w:t>
            </w:r>
            <w:r>
              <w:t>日在尧塘河金坛区第二污水处理</w:t>
            </w:r>
            <w:r>
              <w:rPr>
                <w:rFonts w:hint="eastAsia"/>
              </w:rPr>
              <w:t>厂</w:t>
            </w:r>
            <w:r>
              <w:t>排口上游500米处和下游</w:t>
            </w:r>
            <w:r>
              <w:rPr>
                <w:rFonts w:hint="eastAsia"/>
              </w:rPr>
              <w:t>15</w:t>
            </w:r>
            <w:r>
              <w:t>00米处对pH值、化学需氧量、氨氮、总磷进行检测，</w:t>
            </w:r>
            <w:r>
              <w:rPr>
                <w:rFonts w:hint="eastAsia"/>
              </w:rPr>
              <w:t>本次引用</w:t>
            </w:r>
            <w:r>
              <w:t>检测报告</w:t>
            </w:r>
            <w:r>
              <w:rPr>
                <w:rFonts w:hint="eastAsia"/>
              </w:rPr>
              <w:t>（</w:t>
            </w:r>
            <w:r>
              <w:t>编号</w:t>
            </w:r>
            <w:r>
              <w:rPr>
                <w:rFonts w:hint="eastAsia"/>
              </w:rPr>
              <w:t>“JSJLH2304007”）</w:t>
            </w:r>
            <w:r>
              <w:t>《</w:t>
            </w:r>
            <w:r>
              <w:rPr>
                <w:rFonts w:hint="eastAsia"/>
              </w:rPr>
              <w:t>江苏上虹新材料</w:t>
            </w:r>
            <w:r>
              <w:rPr>
                <w:szCs w:val="21"/>
              </w:rPr>
              <w:t>有限公司</w:t>
            </w:r>
            <w:r>
              <w:rPr>
                <w:rFonts w:hint="eastAsia"/>
                <w:szCs w:val="21"/>
              </w:rPr>
              <w:t>年产木塑复合板50万平方米项目</w:t>
            </w:r>
            <w:r>
              <w:t>》中的历史数据，监测结果详见表3-4。</w:t>
            </w:r>
          </w:p>
          <w:p w14:paraId="13FE275E">
            <w:pPr>
              <w:adjustRightInd w:val="0"/>
              <w:snapToGrid w:val="0"/>
              <w:jc w:val="center"/>
              <w:rPr>
                <w:b/>
                <w:bCs/>
              </w:rPr>
            </w:pPr>
            <w:r>
              <w:rPr>
                <w:b/>
                <w:bCs/>
              </w:rPr>
              <w:t>表3-4  水质监测结果</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41"/>
              <w:gridCol w:w="1393"/>
              <w:gridCol w:w="791"/>
              <w:gridCol w:w="954"/>
              <w:gridCol w:w="766"/>
              <w:gridCol w:w="952"/>
              <w:gridCol w:w="768"/>
              <w:gridCol w:w="860"/>
              <w:gridCol w:w="600"/>
              <w:gridCol w:w="503"/>
            </w:tblGrid>
            <w:tr w14:paraId="46ED4E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restart"/>
                  <w:tcBorders>
                    <w:tl2br w:val="nil"/>
                    <w:tr2bl w:val="nil"/>
                  </w:tcBorders>
                  <w:vAlign w:val="center"/>
                </w:tcPr>
                <w:p w14:paraId="387AC4B7">
                  <w:pPr>
                    <w:adjustRightInd w:val="0"/>
                    <w:snapToGrid w:val="0"/>
                    <w:jc w:val="center"/>
                    <w:rPr>
                      <w:b/>
                      <w:bCs/>
                      <w:snapToGrid w:val="0"/>
                      <w:kern w:val="0"/>
                      <w:szCs w:val="21"/>
                    </w:rPr>
                  </w:pPr>
                  <w:r>
                    <w:rPr>
                      <w:b/>
                      <w:bCs/>
                      <w:snapToGrid w:val="0"/>
                      <w:kern w:val="0"/>
                      <w:szCs w:val="21"/>
                    </w:rPr>
                    <w:t>采样点位</w:t>
                  </w:r>
                </w:p>
              </w:tc>
              <w:tc>
                <w:tcPr>
                  <w:tcW w:w="1393" w:type="dxa"/>
                  <w:vMerge w:val="restart"/>
                  <w:tcBorders>
                    <w:tl2br w:val="nil"/>
                    <w:tr2bl w:val="nil"/>
                  </w:tcBorders>
                  <w:vAlign w:val="center"/>
                </w:tcPr>
                <w:p w14:paraId="4CE9B952">
                  <w:pPr>
                    <w:adjustRightInd w:val="0"/>
                    <w:snapToGrid w:val="0"/>
                    <w:jc w:val="center"/>
                    <w:rPr>
                      <w:b/>
                      <w:bCs/>
                      <w:snapToGrid w:val="0"/>
                      <w:kern w:val="0"/>
                      <w:szCs w:val="21"/>
                    </w:rPr>
                  </w:pPr>
                  <w:r>
                    <w:rPr>
                      <w:b/>
                      <w:bCs/>
                      <w:snapToGrid w:val="0"/>
                      <w:kern w:val="0"/>
                      <w:szCs w:val="21"/>
                    </w:rPr>
                    <w:t>检测项目</w:t>
                  </w:r>
                </w:p>
              </w:tc>
              <w:tc>
                <w:tcPr>
                  <w:tcW w:w="5091" w:type="dxa"/>
                  <w:gridSpan w:val="6"/>
                  <w:tcBorders>
                    <w:tl2br w:val="nil"/>
                    <w:tr2bl w:val="nil"/>
                  </w:tcBorders>
                  <w:vAlign w:val="center"/>
                </w:tcPr>
                <w:p w14:paraId="6DF623AF">
                  <w:pPr>
                    <w:adjustRightInd w:val="0"/>
                    <w:snapToGrid w:val="0"/>
                    <w:jc w:val="center"/>
                    <w:rPr>
                      <w:b/>
                      <w:bCs/>
                      <w:snapToGrid w:val="0"/>
                      <w:kern w:val="0"/>
                      <w:szCs w:val="21"/>
                    </w:rPr>
                  </w:pPr>
                  <w:r>
                    <w:rPr>
                      <w:b/>
                      <w:bCs/>
                      <w:snapToGrid w:val="0"/>
                      <w:kern w:val="0"/>
                      <w:szCs w:val="21"/>
                    </w:rPr>
                    <w:t>检测结果（mg/L）</w:t>
                  </w:r>
                </w:p>
              </w:tc>
              <w:tc>
                <w:tcPr>
                  <w:tcW w:w="600" w:type="dxa"/>
                  <w:vMerge w:val="restart"/>
                  <w:tcBorders>
                    <w:tl2br w:val="nil"/>
                    <w:tr2bl w:val="nil"/>
                  </w:tcBorders>
                  <w:vAlign w:val="center"/>
                </w:tcPr>
                <w:p w14:paraId="2727F4A2">
                  <w:pPr>
                    <w:adjustRightInd w:val="0"/>
                    <w:snapToGrid w:val="0"/>
                    <w:jc w:val="center"/>
                    <w:rPr>
                      <w:b/>
                      <w:bCs/>
                      <w:snapToGrid w:val="0"/>
                      <w:kern w:val="0"/>
                      <w:szCs w:val="21"/>
                    </w:rPr>
                  </w:pPr>
                  <w:r>
                    <w:rPr>
                      <w:b/>
                      <w:bCs/>
                      <w:snapToGrid w:val="0"/>
                      <w:kern w:val="0"/>
                      <w:szCs w:val="21"/>
                    </w:rPr>
                    <w:t>执行标准</w:t>
                  </w:r>
                </w:p>
              </w:tc>
              <w:tc>
                <w:tcPr>
                  <w:tcW w:w="503" w:type="dxa"/>
                  <w:vMerge w:val="restart"/>
                  <w:tcBorders>
                    <w:tl2br w:val="nil"/>
                    <w:tr2bl w:val="nil"/>
                  </w:tcBorders>
                  <w:vAlign w:val="center"/>
                </w:tcPr>
                <w:p w14:paraId="22841FB1">
                  <w:pPr>
                    <w:adjustRightInd w:val="0"/>
                    <w:snapToGrid w:val="0"/>
                    <w:jc w:val="center"/>
                    <w:rPr>
                      <w:b/>
                      <w:bCs/>
                      <w:snapToGrid w:val="0"/>
                      <w:kern w:val="0"/>
                      <w:szCs w:val="21"/>
                    </w:rPr>
                  </w:pPr>
                  <w:r>
                    <w:rPr>
                      <w:b/>
                      <w:bCs/>
                      <w:snapToGrid w:val="0"/>
                      <w:kern w:val="0"/>
                      <w:szCs w:val="21"/>
                    </w:rPr>
                    <w:t>是否达标</w:t>
                  </w:r>
                </w:p>
              </w:tc>
            </w:tr>
            <w:tr w14:paraId="5470D2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50E45CF0">
                  <w:pPr>
                    <w:adjustRightInd w:val="0"/>
                    <w:snapToGrid w:val="0"/>
                    <w:jc w:val="center"/>
                    <w:rPr>
                      <w:b/>
                      <w:bCs/>
                      <w:snapToGrid w:val="0"/>
                      <w:kern w:val="0"/>
                      <w:szCs w:val="21"/>
                    </w:rPr>
                  </w:pPr>
                </w:p>
              </w:tc>
              <w:tc>
                <w:tcPr>
                  <w:tcW w:w="1393" w:type="dxa"/>
                  <w:vMerge w:val="continue"/>
                  <w:tcBorders>
                    <w:tl2br w:val="nil"/>
                    <w:tr2bl w:val="nil"/>
                  </w:tcBorders>
                  <w:vAlign w:val="center"/>
                </w:tcPr>
                <w:p w14:paraId="6827CFB6">
                  <w:pPr>
                    <w:adjustRightInd w:val="0"/>
                    <w:snapToGrid w:val="0"/>
                    <w:jc w:val="center"/>
                    <w:rPr>
                      <w:b/>
                      <w:bCs/>
                      <w:snapToGrid w:val="0"/>
                      <w:kern w:val="0"/>
                      <w:szCs w:val="21"/>
                    </w:rPr>
                  </w:pPr>
                </w:p>
              </w:tc>
              <w:tc>
                <w:tcPr>
                  <w:tcW w:w="1745" w:type="dxa"/>
                  <w:gridSpan w:val="2"/>
                  <w:tcBorders>
                    <w:tl2br w:val="nil"/>
                    <w:tr2bl w:val="nil"/>
                  </w:tcBorders>
                  <w:vAlign w:val="center"/>
                </w:tcPr>
                <w:p w14:paraId="06A214FA">
                  <w:pPr>
                    <w:adjustRightInd w:val="0"/>
                    <w:snapToGrid w:val="0"/>
                    <w:jc w:val="center"/>
                    <w:rPr>
                      <w:b/>
                      <w:bCs/>
                      <w:snapToGrid w:val="0"/>
                      <w:kern w:val="0"/>
                      <w:szCs w:val="21"/>
                    </w:rPr>
                  </w:pPr>
                  <w:r>
                    <w:rPr>
                      <w:b/>
                      <w:bCs/>
                      <w:snapToGrid w:val="0"/>
                      <w:kern w:val="0"/>
                      <w:szCs w:val="21"/>
                    </w:rPr>
                    <w:t>采样日期</w:t>
                  </w:r>
                </w:p>
                <w:p w14:paraId="6AF59A63">
                  <w:pPr>
                    <w:adjustRightInd w:val="0"/>
                    <w:snapToGrid w:val="0"/>
                    <w:jc w:val="center"/>
                    <w:rPr>
                      <w:b/>
                      <w:bCs/>
                      <w:snapToGrid w:val="0"/>
                      <w:kern w:val="0"/>
                      <w:szCs w:val="21"/>
                    </w:rPr>
                  </w:pPr>
                  <w:r>
                    <w:rPr>
                      <w:b/>
                      <w:bCs/>
                      <w:snapToGrid w:val="0"/>
                      <w:kern w:val="0"/>
                      <w:szCs w:val="21"/>
                    </w:rPr>
                    <w:t>202</w:t>
                  </w:r>
                  <w:r>
                    <w:rPr>
                      <w:rFonts w:hint="eastAsia"/>
                      <w:b/>
                      <w:bCs/>
                      <w:snapToGrid w:val="0"/>
                      <w:kern w:val="0"/>
                      <w:szCs w:val="21"/>
                    </w:rPr>
                    <w:t>3</w:t>
                  </w:r>
                  <w:r>
                    <w:rPr>
                      <w:b/>
                      <w:bCs/>
                      <w:snapToGrid w:val="0"/>
                      <w:kern w:val="0"/>
                      <w:szCs w:val="21"/>
                    </w:rPr>
                    <w:t>年5月3</w:t>
                  </w:r>
                  <w:r>
                    <w:rPr>
                      <w:rFonts w:hint="eastAsia"/>
                      <w:b/>
                      <w:bCs/>
                      <w:snapToGrid w:val="0"/>
                      <w:kern w:val="0"/>
                      <w:szCs w:val="21"/>
                    </w:rPr>
                    <w:t>0</w:t>
                  </w:r>
                  <w:r>
                    <w:rPr>
                      <w:b/>
                      <w:bCs/>
                      <w:snapToGrid w:val="0"/>
                      <w:kern w:val="0"/>
                      <w:szCs w:val="21"/>
                    </w:rPr>
                    <w:t>日</w:t>
                  </w:r>
                </w:p>
              </w:tc>
              <w:tc>
                <w:tcPr>
                  <w:tcW w:w="1718" w:type="dxa"/>
                  <w:gridSpan w:val="2"/>
                  <w:tcBorders>
                    <w:tl2br w:val="nil"/>
                    <w:tr2bl w:val="nil"/>
                  </w:tcBorders>
                  <w:vAlign w:val="center"/>
                </w:tcPr>
                <w:p w14:paraId="5F948CEE">
                  <w:pPr>
                    <w:adjustRightInd w:val="0"/>
                    <w:snapToGrid w:val="0"/>
                    <w:jc w:val="center"/>
                    <w:rPr>
                      <w:b/>
                      <w:bCs/>
                      <w:snapToGrid w:val="0"/>
                      <w:kern w:val="0"/>
                      <w:szCs w:val="21"/>
                    </w:rPr>
                  </w:pPr>
                  <w:r>
                    <w:rPr>
                      <w:b/>
                      <w:bCs/>
                      <w:snapToGrid w:val="0"/>
                      <w:kern w:val="0"/>
                      <w:szCs w:val="21"/>
                    </w:rPr>
                    <w:t>采样日期</w:t>
                  </w:r>
                </w:p>
                <w:p w14:paraId="6CD6B8AB">
                  <w:pPr>
                    <w:adjustRightInd w:val="0"/>
                    <w:snapToGrid w:val="0"/>
                    <w:jc w:val="center"/>
                    <w:rPr>
                      <w:b/>
                      <w:bCs/>
                      <w:snapToGrid w:val="0"/>
                      <w:kern w:val="0"/>
                      <w:szCs w:val="21"/>
                    </w:rPr>
                  </w:pPr>
                  <w:r>
                    <w:rPr>
                      <w:b/>
                      <w:bCs/>
                      <w:snapToGrid w:val="0"/>
                      <w:kern w:val="0"/>
                      <w:szCs w:val="21"/>
                    </w:rPr>
                    <w:t>202</w:t>
                  </w:r>
                  <w:r>
                    <w:rPr>
                      <w:rFonts w:hint="eastAsia"/>
                      <w:b/>
                      <w:bCs/>
                      <w:snapToGrid w:val="0"/>
                      <w:kern w:val="0"/>
                      <w:szCs w:val="21"/>
                    </w:rPr>
                    <w:t>3</w:t>
                  </w:r>
                  <w:r>
                    <w:rPr>
                      <w:b/>
                      <w:bCs/>
                      <w:snapToGrid w:val="0"/>
                      <w:kern w:val="0"/>
                      <w:szCs w:val="21"/>
                    </w:rPr>
                    <w:t>年</w:t>
                  </w:r>
                  <w:r>
                    <w:rPr>
                      <w:rFonts w:hint="eastAsia"/>
                      <w:b/>
                      <w:bCs/>
                      <w:snapToGrid w:val="0"/>
                      <w:kern w:val="0"/>
                      <w:szCs w:val="21"/>
                    </w:rPr>
                    <w:t>5</w:t>
                  </w:r>
                  <w:r>
                    <w:rPr>
                      <w:b/>
                      <w:bCs/>
                      <w:snapToGrid w:val="0"/>
                      <w:kern w:val="0"/>
                      <w:szCs w:val="21"/>
                    </w:rPr>
                    <w:t>月</w:t>
                  </w:r>
                  <w:r>
                    <w:rPr>
                      <w:rFonts w:hint="eastAsia"/>
                      <w:b/>
                      <w:bCs/>
                      <w:snapToGrid w:val="0"/>
                      <w:kern w:val="0"/>
                      <w:szCs w:val="21"/>
                    </w:rPr>
                    <w:t>31</w:t>
                  </w:r>
                  <w:r>
                    <w:rPr>
                      <w:b/>
                      <w:bCs/>
                      <w:snapToGrid w:val="0"/>
                      <w:kern w:val="0"/>
                      <w:szCs w:val="21"/>
                    </w:rPr>
                    <w:t>日</w:t>
                  </w:r>
                </w:p>
              </w:tc>
              <w:tc>
                <w:tcPr>
                  <w:tcW w:w="1628" w:type="dxa"/>
                  <w:gridSpan w:val="2"/>
                  <w:tcBorders>
                    <w:tl2br w:val="nil"/>
                    <w:tr2bl w:val="nil"/>
                  </w:tcBorders>
                  <w:vAlign w:val="center"/>
                </w:tcPr>
                <w:p w14:paraId="7E97355F">
                  <w:pPr>
                    <w:adjustRightInd w:val="0"/>
                    <w:snapToGrid w:val="0"/>
                    <w:jc w:val="center"/>
                    <w:rPr>
                      <w:b/>
                      <w:bCs/>
                      <w:snapToGrid w:val="0"/>
                      <w:kern w:val="0"/>
                      <w:szCs w:val="21"/>
                    </w:rPr>
                  </w:pPr>
                  <w:r>
                    <w:rPr>
                      <w:b/>
                      <w:bCs/>
                      <w:snapToGrid w:val="0"/>
                      <w:kern w:val="0"/>
                      <w:szCs w:val="21"/>
                    </w:rPr>
                    <w:t>采样日期</w:t>
                  </w:r>
                </w:p>
                <w:p w14:paraId="36D99A2D">
                  <w:pPr>
                    <w:adjustRightInd w:val="0"/>
                    <w:snapToGrid w:val="0"/>
                    <w:jc w:val="center"/>
                    <w:rPr>
                      <w:b/>
                      <w:bCs/>
                      <w:snapToGrid w:val="0"/>
                      <w:kern w:val="0"/>
                      <w:szCs w:val="21"/>
                    </w:rPr>
                  </w:pPr>
                  <w:r>
                    <w:rPr>
                      <w:b/>
                      <w:bCs/>
                      <w:snapToGrid w:val="0"/>
                      <w:kern w:val="0"/>
                      <w:szCs w:val="21"/>
                    </w:rPr>
                    <w:t>202</w:t>
                  </w:r>
                  <w:r>
                    <w:rPr>
                      <w:rFonts w:hint="eastAsia"/>
                      <w:b/>
                      <w:bCs/>
                      <w:snapToGrid w:val="0"/>
                      <w:kern w:val="0"/>
                      <w:szCs w:val="21"/>
                    </w:rPr>
                    <w:t>3</w:t>
                  </w:r>
                  <w:r>
                    <w:rPr>
                      <w:b/>
                      <w:bCs/>
                      <w:snapToGrid w:val="0"/>
                      <w:kern w:val="0"/>
                      <w:szCs w:val="21"/>
                    </w:rPr>
                    <w:t>年6月</w:t>
                  </w:r>
                  <w:r>
                    <w:rPr>
                      <w:rFonts w:hint="eastAsia"/>
                      <w:b/>
                      <w:bCs/>
                      <w:snapToGrid w:val="0"/>
                      <w:kern w:val="0"/>
                      <w:szCs w:val="21"/>
                    </w:rPr>
                    <w:t>1</w:t>
                  </w:r>
                  <w:r>
                    <w:rPr>
                      <w:b/>
                      <w:bCs/>
                      <w:snapToGrid w:val="0"/>
                      <w:kern w:val="0"/>
                      <w:szCs w:val="21"/>
                    </w:rPr>
                    <w:t>日</w:t>
                  </w:r>
                </w:p>
              </w:tc>
              <w:tc>
                <w:tcPr>
                  <w:tcW w:w="600" w:type="dxa"/>
                  <w:vMerge w:val="continue"/>
                  <w:tcBorders>
                    <w:tl2br w:val="nil"/>
                    <w:tr2bl w:val="nil"/>
                  </w:tcBorders>
                  <w:vAlign w:val="center"/>
                </w:tcPr>
                <w:p w14:paraId="2954D5DB">
                  <w:pPr>
                    <w:adjustRightInd w:val="0"/>
                    <w:snapToGrid w:val="0"/>
                    <w:jc w:val="center"/>
                    <w:rPr>
                      <w:snapToGrid w:val="0"/>
                      <w:kern w:val="0"/>
                      <w:szCs w:val="21"/>
                    </w:rPr>
                  </w:pPr>
                </w:p>
              </w:tc>
              <w:tc>
                <w:tcPr>
                  <w:tcW w:w="503" w:type="dxa"/>
                  <w:vMerge w:val="continue"/>
                  <w:tcBorders>
                    <w:tl2br w:val="nil"/>
                    <w:tr2bl w:val="nil"/>
                  </w:tcBorders>
                  <w:vAlign w:val="center"/>
                </w:tcPr>
                <w:p w14:paraId="2A919970">
                  <w:pPr>
                    <w:adjustRightInd w:val="0"/>
                    <w:snapToGrid w:val="0"/>
                    <w:jc w:val="center"/>
                    <w:rPr>
                      <w:snapToGrid w:val="0"/>
                      <w:kern w:val="0"/>
                      <w:szCs w:val="21"/>
                    </w:rPr>
                  </w:pPr>
                </w:p>
              </w:tc>
            </w:tr>
            <w:tr w14:paraId="569B73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4E19EAB0">
                  <w:pPr>
                    <w:adjustRightInd w:val="0"/>
                    <w:snapToGrid w:val="0"/>
                    <w:jc w:val="center"/>
                    <w:rPr>
                      <w:b/>
                      <w:bCs/>
                      <w:snapToGrid w:val="0"/>
                      <w:kern w:val="0"/>
                      <w:szCs w:val="21"/>
                    </w:rPr>
                  </w:pPr>
                </w:p>
              </w:tc>
              <w:tc>
                <w:tcPr>
                  <w:tcW w:w="1393" w:type="dxa"/>
                  <w:vMerge w:val="continue"/>
                  <w:tcBorders>
                    <w:tl2br w:val="nil"/>
                    <w:tr2bl w:val="nil"/>
                  </w:tcBorders>
                  <w:vAlign w:val="center"/>
                </w:tcPr>
                <w:p w14:paraId="169B5694">
                  <w:pPr>
                    <w:adjustRightInd w:val="0"/>
                    <w:snapToGrid w:val="0"/>
                    <w:jc w:val="center"/>
                    <w:rPr>
                      <w:b/>
                      <w:bCs/>
                      <w:snapToGrid w:val="0"/>
                      <w:kern w:val="0"/>
                      <w:szCs w:val="21"/>
                    </w:rPr>
                  </w:pPr>
                </w:p>
              </w:tc>
              <w:tc>
                <w:tcPr>
                  <w:tcW w:w="791" w:type="dxa"/>
                  <w:tcBorders>
                    <w:tl2br w:val="nil"/>
                    <w:tr2bl w:val="nil"/>
                  </w:tcBorders>
                  <w:vAlign w:val="center"/>
                </w:tcPr>
                <w:p w14:paraId="050F895D">
                  <w:pPr>
                    <w:adjustRightInd w:val="0"/>
                    <w:snapToGrid w:val="0"/>
                    <w:jc w:val="center"/>
                    <w:rPr>
                      <w:b/>
                      <w:bCs/>
                      <w:snapToGrid w:val="0"/>
                      <w:kern w:val="0"/>
                      <w:szCs w:val="21"/>
                    </w:rPr>
                  </w:pPr>
                  <w:r>
                    <w:rPr>
                      <w:b/>
                      <w:bCs/>
                      <w:snapToGrid w:val="0"/>
                      <w:kern w:val="0"/>
                      <w:szCs w:val="21"/>
                    </w:rPr>
                    <w:t>第一次</w:t>
                  </w:r>
                </w:p>
              </w:tc>
              <w:tc>
                <w:tcPr>
                  <w:tcW w:w="954" w:type="dxa"/>
                  <w:tcBorders>
                    <w:tl2br w:val="nil"/>
                    <w:tr2bl w:val="nil"/>
                  </w:tcBorders>
                  <w:vAlign w:val="center"/>
                </w:tcPr>
                <w:p w14:paraId="4B0F4B5E">
                  <w:pPr>
                    <w:adjustRightInd w:val="0"/>
                    <w:snapToGrid w:val="0"/>
                    <w:jc w:val="center"/>
                    <w:rPr>
                      <w:b/>
                      <w:bCs/>
                      <w:snapToGrid w:val="0"/>
                      <w:kern w:val="0"/>
                      <w:szCs w:val="21"/>
                    </w:rPr>
                  </w:pPr>
                  <w:r>
                    <w:rPr>
                      <w:b/>
                      <w:bCs/>
                      <w:snapToGrid w:val="0"/>
                      <w:kern w:val="0"/>
                      <w:szCs w:val="21"/>
                    </w:rPr>
                    <w:t>第二次</w:t>
                  </w:r>
                </w:p>
              </w:tc>
              <w:tc>
                <w:tcPr>
                  <w:tcW w:w="766" w:type="dxa"/>
                  <w:tcBorders>
                    <w:tl2br w:val="nil"/>
                    <w:tr2bl w:val="nil"/>
                  </w:tcBorders>
                  <w:vAlign w:val="center"/>
                </w:tcPr>
                <w:p w14:paraId="624C76C2">
                  <w:pPr>
                    <w:adjustRightInd w:val="0"/>
                    <w:snapToGrid w:val="0"/>
                    <w:jc w:val="center"/>
                    <w:rPr>
                      <w:b/>
                      <w:bCs/>
                      <w:snapToGrid w:val="0"/>
                      <w:kern w:val="0"/>
                      <w:szCs w:val="21"/>
                    </w:rPr>
                  </w:pPr>
                  <w:r>
                    <w:rPr>
                      <w:b/>
                      <w:bCs/>
                      <w:snapToGrid w:val="0"/>
                      <w:kern w:val="0"/>
                      <w:szCs w:val="21"/>
                    </w:rPr>
                    <w:t>第一次</w:t>
                  </w:r>
                </w:p>
              </w:tc>
              <w:tc>
                <w:tcPr>
                  <w:tcW w:w="952" w:type="dxa"/>
                  <w:tcBorders>
                    <w:tl2br w:val="nil"/>
                    <w:tr2bl w:val="nil"/>
                  </w:tcBorders>
                  <w:vAlign w:val="center"/>
                </w:tcPr>
                <w:p w14:paraId="2741EBDB">
                  <w:pPr>
                    <w:adjustRightInd w:val="0"/>
                    <w:snapToGrid w:val="0"/>
                    <w:jc w:val="center"/>
                    <w:rPr>
                      <w:b/>
                      <w:bCs/>
                      <w:snapToGrid w:val="0"/>
                      <w:kern w:val="0"/>
                      <w:szCs w:val="21"/>
                    </w:rPr>
                  </w:pPr>
                  <w:r>
                    <w:rPr>
                      <w:b/>
                      <w:bCs/>
                      <w:snapToGrid w:val="0"/>
                      <w:kern w:val="0"/>
                      <w:szCs w:val="21"/>
                    </w:rPr>
                    <w:t>第二次</w:t>
                  </w:r>
                </w:p>
              </w:tc>
              <w:tc>
                <w:tcPr>
                  <w:tcW w:w="768" w:type="dxa"/>
                  <w:tcBorders>
                    <w:tl2br w:val="nil"/>
                    <w:tr2bl w:val="nil"/>
                  </w:tcBorders>
                  <w:vAlign w:val="center"/>
                </w:tcPr>
                <w:p w14:paraId="0A02B7F7">
                  <w:pPr>
                    <w:adjustRightInd w:val="0"/>
                    <w:snapToGrid w:val="0"/>
                    <w:jc w:val="center"/>
                    <w:rPr>
                      <w:b/>
                      <w:bCs/>
                      <w:snapToGrid w:val="0"/>
                      <w:kern w:val="0"/>
                      <w:szCs w:val="21"/>
                    </w:rPr>
                  </w:pPr>
                  <w:r>
                    <w:rPr>
                      <w:b/>
                      <w:bCs/>
                      <w:snapToGrid w:val="0"/>
                      <w:kern w:val="0"/>
                      <w:szCs w:val="21"/>
                    </w:rPr>
                    <w:t>第一次</w:t>
                  </w:r>
                </w:p>
              </w:tc>
              <w:tc>
                <w:tcPr>
                  <w:tcW w:w="860" w:type="dxa"/>
                  <w:tcBorders>
                    <w:tl2br w:val="nil"/>
                    <w:tr2bl w:val="nil"/>
                  </w:tcBorders>
                  <w:vAlign w:val="center"/>
                </w:tcPr>
                <w:p w14:paraId="3A95BA4D">
                  <w:pPr>
                    <w:adjustRightInd w:val="0"/>
                    <w:snapToGrid w:val="0"/>
                    <w:jc w:val="center"/>
                    <w:rPr>
                      <w:b/>
                      <w:bCs/>
                      <w:snapToGrid w:val="0"/>
                      <w:kern w:val="0"/>
                      <w:szCs w:val="21"/>
                    </w:rPr>
                  </w:pPr>
                  <w:r>
                    <w:rPr>
                      <w:b/>
                      <w:bCs/>
                      <w:snapToGrid w:val="0"/>
                      <w:kern w:val="0"/>
                      <w:szCs w:val="21"/>
                    </w:rPr>
                    <w:t>第二次</w:t>
                  </w:r>
                </w:p>
              </w:tc>
              <w:tc>
                <w:tcPr>
                  <w:tcW w:w="600" w:type="dxa"/>
                  <w:vMerge w:val="continue"/>
                  <w:tcBorders>
                    <w:tl2br w:val="nil"/>
                    <w:tr2bl w:val="nil"/>
                  </w:tcBorders>
                  <w:vAlign w:val="center"/>
                </w:tcPr>
                <w:p w14:paraId="1B37AF66">
                  <w:pPr>
                    <w:adjustRightInd w:val="0"/>
                    <w:snapToGrid w:val="0"/>
                    <w:jc w:val="center"/>
                    <w:rPr>
                      <w:snapToGrid w:val="0"/>
                      <w:kern w:val="0"/>
                      <w:szCs w:val="21"/>
                    </w:rPr>
                  </w:pPr>
                </w:p>
              </w:tc>
              <w:tc>
                <w:tcPr>
                  <w:tcW w:w="503" w:type="dxa"/>
                  <w:vMerge w:val="continue"/>
                  <w:tcBorders>
                    <w:tl2br w:val="nil"/>
                    <w:tr2bl w:val="nil"/>
                  </w:tcBorders>
                  <w:vAlign w:val="center"/>
                </w:tcPr>
                <w:p w14:paraId="17641172">
                  <w:pPr>
                    <w:adjustRightInd w:val="0"/>
                    <w:snapToGrid w:val="0"/>
                    <w:jc w:val="center"/>
                    <w:rPr>
                      <w:snapToGrid w:val="0"/>
                      <w:kern w:val="0"/>
                      <w:szCs w:val="21"/>
                    </w:rPr>
                  </w:pPr>
                </w:p>
              </w:tc>
            </w:tr>
            <w:tr w14:paraId="4AE313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restart"/>
                  <w:tcBorders>
                    <w:tl2br w:val="nil"/>
                    <w:tr2bl w:val="nil"/>
                  </w:tcBorders>
                  <w:vAlign w:val="center"/>
                </w:tcPr>
                <w:p w14:paraId="27871864">
                  <w:pPr>
                    <w:adjustRightInd w:val="0"/>
                    <w:snapToGrid w:val="0"/>
                    <w:jc w:val="center"/>
                    <w:rPr>
                      <w:snapToGrid w:val="0"/>
                      <w:kern w:val="0"/>
                      <w:szCs w:val="21"/>
                    </w:rPr>
                  </w:pPr>
                  <w:r>
                    <w:rPr>
                      <w:snapToGrid w:val="0"/>
                      <w:kern w:val="0"/>
                      <w:szCs w:val="21"/>
                    </w:rPr>
                    <w:t>尧塘河W1金坛区第二污水处理</w:t>
                  </w:r>
                  <w:r>
                    <w:rPr>
                      <w:rFonts w:hint="eastAsia"/>
                      <w:snapToGrid w:val="0"/>
                      <w:kern w:val="0"/>
                      <w:szCs w:val="21"/>
                    </w:rPr>
                    <w:t>厂</w:t>
                  </w:r>
                  <w:r>
                    <w:rPr>
                      <w:snapToGrid w:val="0"/>
                      <w:kern w:val="0"/>
                      <w:szCs w:val="21"/>
                    </w:rPr>
                    <w:t>排口上游500m</w:t>
                  </w:r>
                </w:p>
              </w:tc>
              <w:tc>
                <w:tcPr>
                  <w:tcW w:w="1393" w:type="dxa"/>
                  <w:tcBorders>
                    <w:tl2br w:val="nil"/>
                    <w:tr2bl w:val="nil"/>
                  </w:tcBorders>
                  <w:vAlign w:val="center"/>
                </w:tcPr>
                <w:p w14:paraId="36CAEE0F">
                  <w:pPr>
                    <w:adjustRightInd w:val="0"/>
                    <w:snapToGrid w:val="0"/>
                    <w:jc w:val="center"/>
                    <w:rPr>
                      <w:snapToGrid w:val="0"/>
                      <w:kern w:val="0"/>
                      <w:szCs w:val="21"/>
                    </w:rPr>
                  </w:pPr>
                  <w:r>
                    <w:rPr>
                      <w:snapToGrid w:val="0"/>
                      <w:kern w:val="0"/>
                      <w:szCs w:val="21"/>
                    </w:rPr>
                    <w:t>样品状态</w:t>
                  </w:r>
                </w:p>
              </w:tc>
              <w:tc>
                <w:tcPr>
                  <w:tcW w:w="791" w:type="dxa"/>
                  <w:tcBorders>
                    <w:tl2br w:val="nil"/>
                    <w:tr2bl w:val="nil"/>
                  </w:tcBorders>
                  <w:vAlign w:val="center"/>
                </w:tcPr>
                <w:p w14:paraId="17238DF6">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954" w:type="dxa"/>
                  <w:tcBorders>
                    <w:tl2br w:val="nil"/>
                    <w:tr2bl w:val="nil"/>
                  </w:tcBorders>
                  <w:vAlign w:val="center"/>
                </w:tcPr>
                <w:p w14:paraId="33F7B1E0">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766" w:type="dxa"/>
                  <w:tcBorders>
                    <w:tl2br w:val="nil"/>
                    <w:tr2bl w:val="nil"/>
                  </w:tcBorders>
                  <w:vAlign w:val="center"/>
                </w:tcPr>
                <w:p w14:paraId="72223474">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952" w:type="dxa"/>
                  <w:tcBorders>
                    <w:tl2br w:val="nil"/>
                    <w:tr2bl w:val="nil"/>
                  </w:tcBorders>
                  <w:vAlign w:val="center"/>
                </w:tcPr>
                <w:p w14:paraId="7E5F1E56">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768" w:type="dxa"/>
                  <w:tcBorders>
                    <w:tl2br w:val="nil"/>
                    <w:tr2bl w:val="nil"/>
                  </w:tcBorders>
                  <w:vAlign w:val="center"/>
                </w:tcPr>
                <w:p w14:paraId="2A47072E">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860" w:type="dxa"/>
                  <w:tcBorders>
                    <w:tl2br w:val="nil"/>
                    <w:tr2bl w:val="nil"/>
                  </w:tcBorders>
                  <w:vAlign w:val="center"/>
                </w:tcPr>
                <w:p w14:paraId="188E46EB">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600" w:type="dxa"/>
                  <w:tcBorders>
                    <w:tl2br w:val="nil"/>
                    <w:tr2bl w:val="nil"/>
                  </w:tcBorders>
                  <w:vAlign w:val="center"/>
                </w:tcPr>
                <w:p w14:paraId="74562767">
                  <w:pPr>
                    <w:adjustRightInd w:val="0"/>
                    <w:snapToGrid w:val="0"/>
                    <w:jc w:val="center"/>
                    <w:rPr>
                      <w:snapToGrid w:val="0"/>
                      <w:kern w:val="0"/>
                      <w:szCs w:val="21"/>
                    </w:rPr>
                  </w:pPr>
                  <w:r>
                    <w:rPr>
                      <w:snapToGrid w:val="0"/>
                      <w:kern w:val="0"/>
                      <w:szCs w:val="21"/>
                    </w:rPr>
                    <w:t>/</w:t>
                  </w:r>
                </w:p>
              </w:tc>
              <w:tc>
                <w:tcPr>
                  <w:tcW w:w="503" w:type="dxa"/>
                  <w:tcBorders>
                    <w:tl2br w:val="nil"/>
                    <w:tr2bl w:val="nil"/>
                  </w:tcBorders>
                  <w:vAlign w:val="center"/>
                </w:tcPr>
                <w:p w14:paraId="6144E3D4">
                  <w:pPr>
                    <w:adjustRightInd w:val="0"/>
                    <w:snapToGrid w:val="0"/>
                    <w:jc w:val="center"/>
                    <w:rPr>
                      <w:snapToGrid w:val="0"/>
                      <w:kern w:val="0"/>
                      <w:szCs w:val="21"/>
                    </w:rPr>
                  </w:pPr>
                  <w:r>
                    <w:rPr>
                      <w:snapToGrid w:val="0"/>
                      <w:kern w:val="0"/>
                      <w:szCs w:val="21"/>
                    </w:rPr>
                    <w:t>/</w:t>
                  </w:r>
                </w:p>
              </w:tc>
            </w:tr>
            <w:tr w14:paraId="516B81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741" w:type="dxa"/>
                  <w:vMerge w:val="continue"/>
                  <w:tcBorders>
                    <w:tl2br w:val="nil"/>
                    <w:tr2bl w:val="nil"/>
                  </w:tcBorders>
                  <w:vAlign w:val="center"/>
                </w:tcPr>
                <w:p w14:paraId="50DB3817">
                  <w:pPr>
                    <w:adjustRightInd w:val="0"/>
                    <w:snapToGrid w:val="0"/>
                    <w:jc w:val="center"/>
                    <w:rPr>
                      <w:snapToGrid w:val="0"/>
                      <w:kern w:val="0"/>
                      <w:szCs w:val="21"/>
                    </w:rPr>
                  </w:pPr>
                </w:p>
              </w:tc>
              <w:tc>
                <w:tcPr>
                  <w:tcW w:w="1393" w:type="dxa"/>
                  <w:tcBorders>
                    <w:tl2br w:val="nil"/>
                    <w:tr2bl w:val="nil"/>
                  </w:tcBorders>
                  <w:vAlign w:val="center"/>
                </w:tcPr>
                <w:p w14:paraId="3A82282B">
                  <w:pPr>
                    <w:adjustRightInd w:val="0"/>
                    <w:snapToGrid w:val="0"/>
                    <w:jc w:val="center"/>
                    <w:rPr>
                      <w:snapToGrid w:val="0"/>
                      <w:kern w:val="0"/>
                      <w:szCs w:val="21"/>
                    </w:rPr>
                  </w:pPr>
                  <w:r>
                    <w:rPr>
                      <w:snapToGrid w:val="0"/>
                      <w:kern w:val="0"/>
                      <w:szCs w:val="21"/>
                    </w:rPr>
                    <w:t>pH值（无量纲）</w:t>
                  </w:r>
                </w:p>
              </w:tc>
              <w:tc>
                <w:tcPr>
                  <w:tcW w:w="791" w:type="dxa"/>
                  <w:tcBorders>
                    <w:tl2br w:val="nil"/>
                    <w:tr2bl w:val="nil"/>
                  </w:tcBorders>
                  <w:vAlign w:val="center"/>
                </w:tcPr>
                <w:p w14:paraId="2AACB591">
                  <w:pPr>
                    <w:adjustRightInd w:val="0"/>
                    <w:snapToGrid w:val="0"/>
                    <w:jc w:val="center"/>
                    <w:rPr>
                      <w:snapToGrid w:val="0"/>
                      <w:kern w:val="0"/>
                      <w:szCs w:val="21"/>
                    </w:rPr>
                  </w:pPr>
                  <w:r>
                    <w:rPr>
                      <w:snapToGrid w:val="0"/>
                      <w:kern w:val="0"/>
                      <w:szCs w:val="21"/>
                    </w:rPr>
                    <w:t>7.</w:t>
                  </w:r>
                  <w:r>
                    <w:rPr>
                      <w:rFonts w:hint="eastAsia"/>
                      <w:snapToGrid w:val="0"/>
                      <w:kern w:val="0"/>
                      <w:szCs w:val="21"/>
                    </w:rPr>
                    <w:t>1</w:t>
                  </w:r>
                </w:p>
              </w:tc>
              <w:tc>
                <w:tcPr>
                  <w:tcW w:w="954" w:type="dxa"/>
                  <w:tcBorders>
                    <w:tl2br w:val="nil"/>
                    <w:tr2bl w:val="nil"/>
                  </w:tcBorders>
                  <w:vAlign w:val="center"/>
                </w:tcPr>
                <w:p w14:paraId="582A089E">
                  <w:pPr>
                    <w:adjustRightInd w:val="0"/>
                    <w:snapToGrid w:val="0"/>
                    <w:jc w:val="center"/>
                    <w:rPr>
                      <w:snapToGrid w:val="0"/>
                      <w:kern w:val="0"/>
                      <w:szCs w:val="21"/>
                    </w:rPr>
                  </w:pPr>
                  <w:r>
                    <w:rPr>
                      <w:snapToGrid w:val="0"/>
                      <w:kern w:val="0"/>
                      <w:szCs w:val="21"/>
                    </w:rPr>
                    <w:t>7.1</w:t>
                  </w:r>
                </w:p>
              </w:tc>
              <w:tc>
                <w:tcPr>
                  <w:tcW w:w="766" w:type="dxa"/>
                  <w:tcBorders>
                    <w:tl2br w:val="nil"/>
                    <w:tr2bl w:val="nil"/>
                  </w:tcBorders>
                  <w:vAlign w:val="center"/>
                </w:tcPr>
                <w:p w14:paraId="5E5DF7DB">
                  <w:pPr>
                    <w:adjustRightInd w:val="0"/>
                    <w:snapToGrid w:val="0"/>
                    <w:jc w:val="center"/>
                    <w:rPr>
                      <w:snapToGrid w:val="0"/>
                      <w:kern w:val="0"/>
                      <w:szCs w:val="21"/>
                    </w:rPr>
                  </w:pPr>
                  <w:r>
                    <w:rPr>
                      <w:snapToGrid w:val="0"/>
                      <w:kern w:val="0"/>
                      <w:szCs w:val="21"/>
                    </w:rPr>
                    <w:t>7.</w:t>
                  </w:r>
                  <w:r>
                    <w:rPr>
                      <w:rFonts w:hint="eastAsia"/>
                      <w:snapToGrid w:val="0"/>
                      <w:kern w:val="0"/>
                      <w:szCs w:val="21"/>
                    </w:rPr>
                    <w:t>2</w:t>
                  </w:r>
                </w:p>
              </w:tc>
              <w:tc>
                <w:tcPr>
                  <w:tcW w:w="952" w:type="dxa"/>
                  <w:tcBorders>
                    <w:tl2br w:val="nil"/>
                    <w:tr2bl w:val="nil"/>
                  </w:tcBorders>
                  <w:vAlign w:val="center"/>
                </w:tcPr>
                <w:p w14:paraId="5AA1F226">
                  <w:pPr>
                    <w:adjustRightInd w:val="0"/>
                    <w:snapToGrid w:val="0"/>
                    <w:jc w:val="center"/>
                    <w:rPr>
                      <w:snapToGrid w:val="0"/>
                      <w:kern w:val="0"/>
                      <w:szCs w:val="21"/>
                    </w:rPr>
                  </w:pPr>
                  <w:r>
                    <w:rPr>
                      <w:snapToGrid w:val="0"/>
                      <w:kern w:val="0"/>
                      <w:szCs w:val="21"/>
                    </w:rPr>
                    <w:t>7.</w:t>
                  </w:r>
                  <w:r>
                    <w:rPr>
                      <w:rFonts w:hint="eastAsia"/>
                      <w:snapToGrid w:val="0"/>
                      <w:kern w:val="0"/>
                      <w:szCs w:val="21"/>
                    </w:rPr>
                    <w:t>2</w:t>
                  </w:r>
                </w:p>
              </w:tc>
              <w:tc>
                <w:tcPr>
                  <w:tcW w:w="768" w:type="dxa"/>
                  <w:tcBorders>
                    <w:tl2br w:val="nil"/>
                    <w:tr2bl w:val="nil"/>
                  </w:tcBorders>
                  <w:vAlign w:val="center"/>
                </w:tcPr>
                <w:p w14:paraId="7612EF06">
                  <w:pPr>
                    <w:adjustRightInd w:val="0"/>
                    <w:snapToGrid w:val="0"/>
                    <w:jc w:val="center"/>
                    <w:rPr>
                      <w:snapToGrid w:val="0"/>
                      <w:kern w:val="0"/>
                      <w:szCs w:val="21"/>
                    </w:rPr>
                  </w:pPr>
                  <w:r>
                    <w:rPr>
                      <w:snapToGrid w:val="0"/>
                      <w:kern w:val="0"/>
                      <w:szCs w:val="21"/>
                    </w:rPr>
                    <w:t>7.</w:t>
                  </w:r>
                  <w:r>
                    <w:rPr>
                      <w:rFonts w:hint="eastAsia"/>
                      <w:snapToGrid w:val="0"/>
                      <w:kern w:val="0"/>
                      <w:szCs w:val="21"/>
                    </w:rPr>
                    <w:t>0</w:t>
                  </w:r>
                </w:p>
              </w:tc>
              <w:tc>
                <w:tcPr>
                  <w:tcW w:w="860" w:type="dxa"/>
                  <w:tcBorders>
                    <w:tl2br w:val="nil"/>
                    <w:tr2bl w:val="nil"/>
                  </w:tcBorders>
                  <w:vAlign w:val="center"/>
                </w:tcPr>
                <w:p w14:paraId="4FB610BC">
                  <w:pPr>
                    <w:adjustRightInd w:val="0"/>
                    <w:snapToGrid w:val="0"/>
                    <w:jc w:val="center"/>
                    <w:rPr>
                      <w:snapToGrid w:val="0"/>
                      <w:kern w:val="0"/>
                      <w:szCs w:val="21"/>
                    </w:rPr>
                  </w:pPr>
                  <w:r>
                    <w:rPr>
                      <w:snapToGrid w:val="0"/>
                      <w:kern w:val="0"/>
                      <w:szCs w:val="21"/>
                    </w:rPr>
                    <w:t>7.</w:t>
                  </w:r>
                  <w:r>
                    <w:rPr>
                      <w:rFonts w:hint="eastAsia"/>
                      <w:snapToGrid w:val="0"/>
                      <w:kern w:val="0"/>
                      <w:szCs w:val="21"/>
                    </w:rPr>
                    <w:t>1</w:t>
                  </w:r>
                </w:p>
              </w:tc>
              <w:tc>
                <w:tcPr>
                  <w:tcW w:w="600" w:type="dxa"/>
                  <w:tcBorders>
                    <w:tl2br w:val="nil"/>
                    <w:tr2bl w:val="nil"/>
                  </w:tcBorders>
                  <w:vAlign w:val="center"/>
                </w:tcPr>
                <w:p w14:paraId="17593667">
                  <w:pPr>
                    <w:adjustRightInd w:val="0"/>
                    <w:snapToGrid w:val="0"/>
                    <w:jc w:val="center"/>
                    <w:rPr>
                      <w:snapToGrid w:val="0"/>
                      <w:kern w:val="0"/>
                      <w:szCs w:val="21"/>
                    </w:rPr>
                  </w:pPr>
                  <w:r>
                    <w:rPr>
                      <w:snapToGrid w:val="0"/>
                      <w:kern w:val="0"/>
                      <w:szCs w:val="21"/>
                    </w:rPr>
                    <w:t>6~9</w:t>
                  </w:r>
                </w:p>
              </w:tc>
              <w:tc>
                <w:tcPr>
                  <w:tcW w:w="503" w:type="dxa"/>
                  <w:tcBorders>
                    <w:tl2br w:val="nil"/>
                    <w:tr2bl w:val="nil"/>
                  </w:tcBorders>
                  <w:vAlign w:val="center"/>
                </w:tcPr>
                <w:p w14:paraId="548851E1">
                  <w:pPr>
                    <w:adjustRightInd w:val="0"/>
                    <w:snapToGrid w:val="0"/>
                    <w:jc w:val="center"/>
                    <w:rPr>
                      <w:snapToGrid w:val="0"/>
                      <w:kern w:val="0"/>
                      <w:szCs w:val="21"/>
                    </w:rPr>
                  </w:pPr>
                  <w:r>
                    <w:rPr>
                      <w:snapToGrid w:val="0"/>
                      <w:kern w:val="0"/>
                      <w:szCs w:val="21"/>
                    </w:rPr>
                    <w:t>达标</w:t>
                  </w:r>
                </w:p>
              </w:tc>
            </w:tr>
            <w:tr w14:paraId="5B4AAF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07B5D7BD">
                  <w:pPr>
                    <w:adjustRightInd w:val="0"/>
                    <w:snapToGrid w:val="0"/>
                    <w:jc w:val="center"/>
                    <w:rPr>
                      <w:snapToGrid w:val="0"/>
                      <w:kern w:val="0"/>
                      <w:szCs w:val="21"/>
                    </w:rPr>
                  </w:pPr>
                </w:p>
              </w:tc>
              <w:tc>
                <w:tcPr>
                  <w:tcW w:w="1393" w:type="dxa"/>
                  <w:tcBorders>
                    <w:tl2br w:val="nil"/>
                    <w:tr2bl w:val="nil"/>
                  </w:tcBorders>
                  <w:vAlign w:val="center"/>
                </w:tcPr>
                <w:p w14:paraId="24D971E2">
                  <w:pPr>
                    <w:adjustRightInd w:val="0"/>
                    <w:snapToGrid w:val="0"/>
                    <w:jc w:val="center"/>
                    <w:rPr>
                      <w:snapToGrid w:val="0"/>
                      <w:kern w:val="0"/>
                      <w:szCs w:val="21"/>
                    </w:rPr>
                  </w:pPr>
                  <w:r>
                    <w:rPr>
                      <w:snapToGrid w:val="0"/>
                      <w:kern w:val="0"/>
                      <w:szCs w:val="21"/>
                    </w:rPr>
                    <w:t>化学需氧量</w:t>
                  </w:r>
                </w:p>
              </w:tc>
              <w:tc>
                <w:tcPr>
                  <w:tcW w:w="791" w:type="dxa"/>
                  <w:tcBorders>
                    <w:tl2br w:val="nil"/>
                    <w:tr2bl w:val="nil"/>
                  </w:tcBorders>
                  <w:vAlign w:val="center"/>
                </w:tcPr>
                <w:p w14:paraId="68744A5A">
                  <w:pPr>
                    <w:adjustRightInd w:val="0"/>
                    <w:snapToGrid w:val="0"/>
                    <w:jc w:val="center"/>
                    <w:rPr>
                      <w:snapToGrid w:val="0"/>
                      <w:kern w:val="0"/>
                      <w:szCs w:val="21"/>
                    </w:rPr>
                  </w:pPr>
                  <w:r>
                    <w:rPr>
                      <w:rFonts w:hint="eastAsia"/>
                      <w:snapToGrid w:val="0"/>
                      <w:kern w:val="0"/>
                      <w:szCs w:val="21"/>
                    </w:rPr>
                    <w:t>14</w:t>
                  </w:r>
                </w:p>
              </w:tc>
              <w:tc>
                <w:tcPr>
                  <w:tcW w:w="954" w:type="dxa"/>
                  <w:tcBorders>
                    <w:tl2br w:val="nil"/>
                    <w:tr2bl w:val="nil"/>
                  </w:tcBorders>
                  <w:vAlign w:val="center"/>
                </w:tcPr>
                <w:p w14:paraId="06042CE7">
                  <w:pPr>
                    <w:adjustRightInd w:val="0"/>
                    <w:snapToGrid w:val="0"/>
                    <w:jc w:val="center"/>
                    <w:rPr>
                      <w:snapToGrid w:val="0"/>
                      <w:kern w:val="0"/>
                      <w:szCs w:val="21"/>
                    </w:rPr>
                  </w:pPr>
                  <w:r>
                    <w:rPr>
                      <w:rFonts w:hint="eastAsia"/>
                      <w:snapToGrid w:val="0"/>
                      <w:kern w:val="0"/>
                      <w:szCs w:val="21"/>
                    </w:rPr>
                    <w:t>18</w:t>
                  </w:r>
                </w:p>
              </w:tc>
              <w:tc>
                <w:tcPr>
                  <w:tcW w:w="766" w:type="dxa"/>
                  <w:tcBorders>
                    <w:tl2br w:val="nil"/>
                    <w:tr2bl w:val="nil"/>
                  </w:tcBorders>
                  <w:vAlign w:val="center"/>
                </w:tcPr>
                <w:p w14:paraId="5FC4A5D6">
                  <w:pPr>
                    <w:adjustRightInd w:val="0"/>
                    <w:snapToGrid w:val="0"/>
                    <w:jc w:val="center"/>
                    <w:rPr>
                      <w:snapToGrid w:val="0"/>
                      <w:kern w:val="0"/>
                      <w:szCs w:val="21"/>
                    </w:rPr>
                  </w:pPr>
                  <w:r>
                    <w:rPr>
                      <w:rFonts w:hint="eastAsia"/>
                      <w:snapToGrid w:val="0"/>
                      <w:kern w:val="0"/>
                      <w:szCs w:val="21"/>
                    </w:rPr>
                    <w:t>16</w:t>
                  </w:r>
                </w:p>
              </w:tc>
              <w:tc>
                <w:tcPr>
                  <w:tcW w:w="952" w:type="dxa"/>
                  <w:tcBorders>
                    <w:tl2br w:val="nil"/>
                    <w:tr2bl w:val="nil"/>
                  </w:tcBorders>
                  <w:vAlign w:val="center"/>
                </w:tcPr>
                <w:p w14:paraId="760F8079">
                  <w:pPr>
                    <w:adjustRightInd w:val="0"/>
                    <w:snapToGrid w:val="0"/>
                    <w:jc w:val="center"/>
                    <w:rPr>
                      <w:snapToGrid w:val="0"/>
                      <w:kern w:val="0"/>
                      <w:szCs w:val="21"/>
                    </w:rPr>
                  </w:pPr>
                  <w:r>
                    <w:rPr>
                      <w:rFonts w:hint="eastAsia"/>
                      <w:snapToGrid w:val="0"/>
                      <w:kern w:val="0"/>
                      <w:szCs w:val="21"/>
                    </w:rPr>
                    <w:t>19</w:t>
                  </w:r>
                </w:p>
              </w:tc>
              <w:tc>
                <w:tcPr>
                  <w:tcW w:w="768" w:type="dxa"/>
                  <w:tcBorders>
                    <w:tl2br w:val="nil"/>
                    <w:tr2bl w:val="nil"/>
                  </w:tcBorders>
                  <w:vAlign w:val="center"/>
                </w:tcPr>
                <w:p w14:paraId="2C9E303E">
                  <w:pPr>
                    <w:adjustRightInd w:val="0"/>
                    <w:snapToGrid w:val="0"/>
                    <w:jc w:val="center"/>
                    <w:rPr>
                      <w:snapToGrid w:val="0"/>
                      <w:kern w:val="0"/>
                      <w:szCs w:val="21"/>
                    </w:rPr>
                  </w:pPr>
                  <w:r>
                    <w:rPr>
                      <w:rFonts w:hint="eastAsia"/>
                      <w:snapToGrid w:val="0"/>
                      <w:kern w:val="0"/>
                      <w:szCs w:val="21"/>
                    </w:rPr>
                    <w:t>18</w:t>
                  </w:r>
                </w:p>
              </w:tc>
              <w:tc>
                <w:tcPr>
                  <w:tcW w:w="860" w:type="dxa"/>
                  <w:tcBorders>
                    <w:tl2br w:val="nil"/>
                    <w:tr2bl w:val="nil"/>
                  </w:tcBorders>
                  <w:vAlign w:val="center"/>
                </w:tcPr>
                <w:p w14:paraId="38D5BBEF">
                  <w:pPr>
                    <w:adjustRightInd w:val="0"/>
                    <w:snapToGrid w:val="0"/>
                    <w:jc w:val="center"/>
                    <w:rPr>
                      <w:snapToGrid w:val="0"/>
                      <w:kern w:val="0"/>
                      <w:szCs w:val="21"/>
                    </w:rPr>
                  </w:pPr>
                  <w:r>
                    <w:rPr>
                      <w:rFonts w:hint="eastAsia"/>
                      <w:snapToGrid w:val="0"/>
                      <w:kern w:val="0"/>
                      <w:szCs w:val="21"/>
                    </w:rPr>
                    <w:t>16</w:t>
                  </w:r>
                </w:p>
              </w:tc>
              <w:tc>
                <w:tcPr>
                  <w:tcW w:w="600" w:type="dxa"/>
                  <w:tcBorders>
                    <w:tl2br w:val="nil"/>
                    <w:tr2bl w:val="nil"/>
                  </w:tcBorders>
                  <w:vAlign w:val="center"/>
                </w:tcPr>
                <w:p w14:paraId="4D3FC635">
                  <w:pPr>
                    <w:adjustRightInd w:val="0"/>
                    <w:snapToGrid w:val="0"/>
                    <w:jc w:val="center"/>
                    <w:rPr>
                      <w:snapToGrid w:val="0"/>
                      <w:kern w:val="0"/>
                      <w:szCs w:val="21"/>
                    </w:rPr>
                  </w:pPr>
                  <w:r>
                    <w:rPr>
                      <w:snapToGrid w:val="0"/>
                      <w:kern w:val="0"/>
                      <w:szCs w:val="21"/>
                    </w:rPr>
                    <w:t>20</w:t>
                  </w:r>
                </w:p>
              </w:tc>
              <w:tc>
                <w:tcPr>
                  <w:tcW w:w="503" w:type="dxa"/>
                  <w:tcBorders>
                    <w:tl2br w:val="nil"/>
                    <w:tr2bl w:val="nil"/>
                  </w:tcBorders>
                  <w:vAlign w:val="center"/>
                </w:tcPr>
                <w:p w14:paraId="16630D48">
                  <w:pPr>
                    <w:adjustRightInd w:val="0"/>
                    <w:snapToGrid w:val="0"/>
                    <w:jc w:val="center"/>
                    <w:rPr>
                      <w:snapToGrid w:val="0"/>
                      <w:kern w:val="0"/>
                      <w:szCs w:val="21"/>
                    </w:rPr>
                  </w:pPr>
                  <w:r>
                    <w:rPr>
                      <w:snapToGrid w:val="0"/>
                      <w:kern w:val="0"/>
                      <w:szCs w:val="21"/>
                    </w:rPr>
                    <w:t>达标</w:t>
                  </w:r>
                </w:p>
              </w:tc>
            </w:tr>
            <w:tr w14:paraId="74084E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48445FA8">
                  <w:pPr>
                    <w:adjustRightInd w:val="0"/>
                    <w:snapToGrid w:val="0"/>
                    <w:jc w:val="center"/>
                    <w:rPr>
                      <w:snapToGrid w:val="0"/>
                      <w:kern w:val="0"/>
                      <w:szCs w:val="21"/>
                    </w:rPr>
                  </w:pPr>
                </w:p>
              </w:tc>
              <w:tc>
                <w:tcPr>
                  <w:tcW w:w="1393" w:type="dxa"/>
                  <w:tcBorders>
                    <w:tl2br w:val="nil"/>
                    <w:tr2bl w:val="nil"/>
                  </w:tcBorders>
                  <w:vAlign w:val="center"/>
                </w:tcPr>
                <w:p w14:paraId="25097B72">
                  <w:pPr>
                    <w:adjustRightInd w:val="0"/>
                    <w:snapToGrid w:val="0"/>
                    <w:jc w:val="center"/>
                    <w:rPr>
                      <w:snapToGrid w:val="0"/>
                      <w:kern w:val="0"/>
                      <w:szCs w:val="21"/>
                    </w:rPr>
                  </w:pPr>
                  <w:r>
                    <w:rPr>
                      <w:snapToGrid w:val="0"/>
                      <w:kern w:val="0"/>
                      <w:szCs w:val="21"/>
                    </w:rPr>
                    <w:t>氨氮</w:t>
                  </w:r>
                </w:p>
              </w:tc>
              <w:tc>
                <w:tcPr>
                  <w:tcW w:w="791" w:type="dxa"/>
                  <w:tcBorders>
                    <w:tl2br w:val="nil"/>
                    <w:tr2bl w:val="nil"/>
                  </w:tcBorders>
                  <w:vAlign w:val="center"/>
                </w:tcPr>
                <w:p w14:paraId="1A248FE8">
                  <w:pPr>
                    <w:adjustRightInd w:val="0"/>
                    <w:snapToGrid w:val="0"/>
                    <w:jc w:val="center"/>
                    <w:rPr>
                      <w:snapToGrid w:val="0"/>
                      <w:kern w:val="0"/>
                      <w:szCs w:val="21"/>
                    </w:rPr>
                  </w:pPr>
                  <w:r>
                    <w:rPr>
                      <w:rFonts w:hint="eastAsia"/>
                      <w:snapToGrid w:val="0"/>
                      <w:kern w:val="0"/>
                      <w:szCs w:val="21"/>
                    </w:rPr>
                    <w:t>0.312</w:t>
                  </w:r>
                </w:p>
              </w:tc>
              <w:tc>
                <w:tcPr>
                  <w:tcW w:w="954" w:type="dxa"/>
                  <w:tcBorders>
                    <w:tl2br w:val="nil"/>
                    <w:tr2bl w:val="nil"/>
                  </w:tcBorders>
                  <w:vAlign w:val="center"/>
                </w:tcPr>
                <w:p w14:paraId="53BBE00F">
                  <w:pPr>
                    <w:adjustRightInd w:val="0"/>
                    <w:snapToGrid w:val="0"/>
                    <w:jc w:val="center"/>
                    <w:rPr>
                      <w:snapToGrid w:val="0"/>
                      <w:kern w:val="0"/>
                      <w:szCs w:val="21"/>
                    </w:rPr>
                  </w:pPr>
                  <w:r>
                    <w:rPr>
                      <w:rFonts w:hint="eastAsia"/>
                      <w:snapToGrid w:val="0"/>
                      <w:kern w:val="0"/>
                      <w:szCs w:val="21"/>
                    </w:rPr>
                    <w:t>0.279</w:t>
                  </w:r>
                </w:p>
              </w:tc>
              <w:tc>
                <w:tcPr>
                  <w:tcW w:w="766" w:type="dxa"/>
                  <w:tcBorders>
                    <w:tl2br w:val="nil"/>
                    <w:tr2bl w:val="nil"/>
                  </w:tcBorders>
                  <w:vAlign w:val="center"/>
                </w:tcPr>
                <w:p w14:paraId="62C28765">
                  <w:pPr>
                    <w:adjustRightInd w:val="0"/>
                    <w:snapToGrid w:val="0"/>
                    <w:jc w:val="center"/>
                    <w:rPr>
                      <w:snapToGrid w:val="0"/>
                      <w:kern w:val="0"/>
                      <w:szCs w:val="21"/>
                    </w:rPr>
                  </w:pPr>
                  <w:r>
                    <w:rPr>
                      <w:rFonts w:hint="eastAsia"/>
                      <w:snapToGrid w:val="0"/>
                      <w:kern w:val="0"/>
                      <w:szCs w:val="21"/>
                    </w:rPr>
                    <w:t>0.296</w:t>
                  </w:r>
                </w:p>
              </w:tc>
              <w:tc>
                <w:tcPr>
                  <w:tcW w:w="952" w:type="dxa"/>
                  <w:tcBorders>
                    <w:tl2br w:val="nil"/>
                    <w:tr2bl w:val="nil"/>
                  </w:tcBorders>
                  <w:vAlign w:val="center"/>
                </w:tcPr>
                <w:p w14:paraId="5D6027DE">
                  <w:pPr>
                    <w:adjustRightInd w:val="0"/>
                    <w:snapToGrid w:val="0"/>
                    <w:jc w:val="center"/>
                    <w:rPr>
                      <w:snapToGrid w:val="0"/>
                      <w:kern w:val="0"/>
                      <w:szCs w:val="21"/>
                    </w:rPr>
                  </w:pPr>
                  <w:r>
                    <w:rPr>
                      <w:rFonts w:hint="eastAsia"/>
                      <w:snapToGrid w:val="0"/>
                      <w:kern w:val="0"/>
                      <w:szCs w:val="21"/>
                    </w:rPr>
                    <w:t>0.347</w:t>
                  </w:r>
                </w:p>
              </w:tc>
              <w:tc>
                <w:tcPr>
                  <w:tcW w:w="768" w:type="dxa"/>
                  <w:tcBorders>
                    <w:tl2br w:val="nil"/>
                    <w:tr2bl w:val="nil"/>
                  </w:tcBorders>
                  <w:vAlign w:val="center"/>
                </w:tcPr>
                <w:p w14:paraId="2E2B9CF8">
                  <w:pPr>
                    <w:adjustRightInd w:val="0"/>
                    <w:snapToGrid w:val="0"/>
                    <w:jc w:val="center"/>
                    <w:rPr>
                      <w:snapToGrid w:val="0"/>
                      <w:kern w:val="0"/>
                      <w:szCs w:val="21"/>
                    </w:rPr>
                  </w:pPr>
                  <w:r>
                    <w:rPr>
                      <w:rFonts w:hint="eastAsia"/>
                      <w:snapToGrid w:val="0"/>
                      <w:kern w:val="0"/>
                      <w:szCs w:val="21"/>
                    </w:rPr>
                    <w:t>0.329</w:t>
                  </w:r>
                </w:p>
              </w:tc>
              <w:tc>
                <w:tcPr>
                  <w:tcW w:w="860" w:type="dxa"/>
                  <w:tcBorders>
                    <w:tl2br w:val="nil"/>
                    <w:tr2bl w:val="nil"/>
                  </w:tcBorders>
                  <w:vAlign w:val="center"/>
                </w:tcPr>
                <w:p w14:paraId="45387000">
                  <w:pPr>
                    <w:adjustRightInd w:val="0"/>
                    <w:snapToGrid w:val="0"/>
                    <w:jc w:val="center"/>
                    <w:rPr>
                      <w:snapToGrid w:val="0"/>
                      <w:kern w:val="0"/>
                      <w:szCs w:val="21"/>
                    </w:rPr>
                  </w:pPr>
                  <w:r>
                    <w:rPr>
                      <w:rFonts w:hint="eastAsia"/>
                      <w:snapToGrid w:val="0"/>
                      <w:kern w:val="0"/>
                      <w:szCs w:val="21"/>
                    </w:rPr>
                    <w:t>0.270</w:t>
                  </w:r>
                </w:p>
              </w:tc>
              <w:tc>
                <w:tcPr>
                  <w:tcW w:w="600" w:type="dxa"/>
                  <w:tcBorders>
                    <w:tl2br w:val="nil"/>
                    <w:tr2bl w:val="nil"/>
                  </w:tcBorders>
                  <w:vAlign w:val="center"/>
                </w:tcPr>
                <w:p w14:paraId="667AA1A7">
                  <w:pPr>
                    <w:adjustRightInd w:val="0"/>
                    <w:snapToGrid w:val="0"/>
                    <w:jc w:val="center"/>
                    <w:rPr>
                      <w:snapToGrid w:val="0"/>
                      <w:kern w:val="0"/>
                      <w:szCs w:val="21"/>
                    </w:rPr>
                  </w:pPr>
                  <w:r>
                    <w:rPr>
                      <w:snapToGrid w:val="0"/>
                      <w:kern w:val="0"/>
                      <w:szCs w:val="21"/>
                    </w:rPr>
                    <w:t>1.0</w:t>
                  </w:r>
                </w:p>
              </w:tc>
              <w:tc>
                <w:tcPr>
                  <w:tcW w:w="503" w:type="dxa"/>
                  <w:tcBorders>
                    <w:tl2br w:val="nil"/>
                    <w:tr2bl w:val="nil"/>
                  </w:tcBorders>
                  <w:vAlign w:val="center"/>
                </w:tcPr>
                <w:p w14:paraId="40C47500">
                  <w:pPr>
                    <w:adjustRightInd w:val="0"/>
                    <w:snapToGrid w:val="0"/>
                    <w:jc w:val="center"/>
                    <w:rPr>
                      <w:snapToGrid w:val="0"/>
                      <w:kern w:val="0"/>
                      <w:szCs w:val="21"/>
                    </w:rPr>
                  </w:pPr>
                  <w:r>
                    <w:rPr>
                      <w:snapToGrid w:val="0"/>
                      <w:kern w:val="0"/>
                      <w:szCs w:val="21"/>
                    </w:rPr>
                    <w:t>达标</w:t>
                  </w:r>
                </w:p>
              </w:tc>
            </w:tr>
            <w:tr w14:paraId="3F08E1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518B3C8A">
                  <w:pPr>
                    <w:adjustRightInd w:val="0"/>
                    <w:snapToGrid w:val="0"/>
                    <w:jc w:val="center"/>
                    <w:rPr>
                      <w:snapToGrid w:val="0"/>
                      <w:kern w:val="0"/>
                      <w:szCs w:val="21"/>
                    </w:rPr>
                  </w:pPr>
                </w:p>
              </w:tc>
              <w:tc>
                <w:tcPr>
                  <w:tcW w:w="1393" w:type="dxa"/>
                  <w:tcBorders>
                    <w:tl2br w:val="nil"/>
                    <w:tr2bl w:val="nil"/>
                  </w:tcBorders>
                  <w:vAlign w:val="center"/>
                </w:tcPr>
                <w:p w14:paraId="12F6A9DD">
                  <w:pPr>
                    <w:adjustRightInd w:val="0"/>
                    <w:snapToGrid w:val="0"/>
                    <w:jc w:val="center"/>
                    <w:rPr>
                      <w:snapToGrid w:val="0"/>
                      <w:kern w:val="0"/>
                      <w:szCs w:val="21"/>
                    </w:rPr>
                  </w:pPr>
                  <w:r>
                    <w:rPr>
                      <w:snapToGrid w:val="0"/>
                      <w:kern w:val="0"/>
                      <w:szCs w:val="21"/>
                    </w:rPr>
                    <w:t>总磷</w:t>
                  </w:r>
                </w:p>
              </w:tc>
              <w:tc>
                <w:tcPr>
                  <w:tcW w:w="791" w:type="dxa"/>
                  <w:tcBorders>
                    <w:tl2br w:val="nil"/>
                    <w:tr2bl w:val="nil"/>
                  </w:tcBorders>
                  <w:vAlign w:val="center"/>
                </w:tcPr>
                <w:p w14:paraId="02D01A76">
                  <w:pPr>
                    <w:adjustRightInd w:val="0"/>
                    <w:snapToGrid w:val="0"/>
                    <w:jc w:val="center"/>
                    <w:rPr>
                      <w:snapToGrid w:val="0"/>
                      <w:kern w:val="0"/>
                      <w:szCs w:val="21"/>
                    </w:rPr>
                  </w:pPr>
                  <w:r>
                    <w:rPr>
                      <w:rFonts w:hint="eastAsia"/>
                      <w:snapToGrid w:val="0"/>
                      <w:kern w:val="0"/>
                      <w:szCs w:val="21"/>
                    </w:rPr>
                    <w:t>0.10</w:t>
                  </w:r>
                </w:p>
              </w:tc>
              <w:tc>
                <w:tcPr>
                  <w:tcW w:w="954" w:type="dxa"/>
                  <w:tcBorders>
                    <w:tl2br w:val="nil"/>
                    <w:tr2bl w:val="nil"/>
                  </w:tcBorders>
                  <w:vAlign w:val="center"/>
                </w:tcPr>
                <w:p w14:paraId="15616BA2">
                  <w:pPr>
                    <w:adjustRightInd w:val="0"/>
                    <w:snapToGrid w:val="0"/>
                    <w:jc w:val="center"/>
                    <w:rPr>
                      <w:snapToGrid w:val="0"/>
                      <w:kern w:val="0"/>
                      <w:szCs w:val="21"/>
                    </w:rPr>
                  </w:pPr>
                  <w:r>
                    <w:rPr>
                      <w:rFonts w:hint="eastAsia"/>
                      <w:snapToGrid w:val="0"/>
                      <w:kern w:val="0"/>
                      <w:szCs w:val="21"/>
                    </w:rPr>
                    <w:t>0.11</w:t>
                  </w:r>
                </w:p>
              </w:tc>
              <w:tc>
                <w:tcPr>
                  <w:tcW w:w="766" w:type="dxa"/>
                  <w:tcBorders>
                    <w:tl2br w:val="nil"/>
                    <w:tr2bl w:val="nil"/>
                  </w:tcBorders>
                  <w:vAlign w:val="center"/>
                </w:tcPr>
                <w:p w14:paraId="7522AEEB">
                  <w:pPr>
                    <w:adjustRightInd w:val="0"/>
                    <w:snapToGrid w:val="0"/>
                    <w:jc w:val="center"/>
                    <w:rPr>
                      <w:snapToGrid w:val="0"/>
                      <w:kern w:val="0"/>
                      <w:szCs w:val="21"/>
                    </w:rPr>
                  </w:pPr>
                  <w:r>
                    <w:rPr>
                      <w:rFonts w:hint="eastAsia"/>
                      <w:snapToGrid w:val="0"/>
                      <w:kern w:val="0"/>
                      <w:szCs w:val="21"/>
                    </w:rPr>
                    <w:t>0.10</w:t>
                  </w:r>
                </w:p>
              </w:tc>
              <w:tc>
                <w:tcPr>
                  <w:tcW w:w="952" w:type="dxa"/>
                  <w:tcBorders>
                    <w:tl2br w:val="nil"/>
                    <w:tr2bl w:val="nil"/>
                  </w:tcBorders>
                  <w:vAlign w:val="center"/>
                </w:tcPr>
                <w:p w14:paraId="0BA386F2">
                  <w:pPr>
                    <w:adjustRightInd w:val="0"/>
                    <w:snapToGrid w:val="0"/>
                    <w:jc w:val="center"/>
                    <w:rPr>
                      <w:snapToGrid w:val="0"/>
                      <w:kern w:val="0"/>
                      <w:szCs w:val="21"/>
                    </w:rPr>
                  </w:pPr>
                  <w:r>
                    <w:rPr>
                      <w:rFonts w:hint="eastAsia"/>
                      <w:snapToGrid w:val="0"/>
                      <w:kern w:val="0"/>
                      <w:szCs w:val="21"/>
                    </w:rPr>
                    <w:t>0.09</w:t>
                  </w:r>
                </w:p>
              </w:tc>
              <w:tc>
                <w:tcPr>
                  <w:tcW w:w="768" w:type="dxa"/>
                  <w:tcBorders>
                    <w:tl2br w:val="nil"/>
                    <w:tr2bl w:val="nil"/>
                  </w:tcBorders>
                  <w:vAlign w:val="center"/>
                </w:tcPr>
                <w:p w14:paraId="242F879B">
                  <w:pPr>
                    <w:adjustRightInd w:val="0"/>
                    <w:snapToGrid w:val="0"/>
                    <w:jc w:val="center"/>
                    <w:rPr>
                      <w:snapToGrid w:val="0"/>
                      <w:kern w:val="0"/>
                      <w:szCs w:val="21"/>
                    </w:rPr>
                  </w:pPr>
                  <w:r>
                    <w:rPr>
                      <w:rFonts w:hint="eastAsia"/>
                      <w:snapToGrid w:val="0"/>
                      <w:kern w:val="0"/>
                      <w:szCs w:val="21"/>
                    </w:rPr>
                    <w:t>0.10</w:t>
                  </w:r>
                </w:p>
              </w:tc>
              <w:tc>
                <w:tcPr>
                  <w:tcW w:w="860" w:type="dxa"/>
                  <w:tcBorders>
                    <w:tl2br w:val="nil"/>
                    <w:tr2bl w:val="nil"/>
                  </w:tcBorders>
                  <w:vAlign w:val="center"/>
                </w:tcPr>
                <w:p w14:paraId="697F961D">
                  <w:pPr>
                    <w:adjustRightInd w:val="0"/>
                    <w:snapToGrid w:val="0"/>
                    <w:jc w:val="center"/>
                    <w:rPr>
                      <w:snapToGrid w:val="0"/>
                      <w:kern w:val="0"/>
                      <w:szCs w:val="21"/>
                    </w:rPr>
                  </w:pPr>
                  <w:r>
                    <w:rPr>
                      <w:rFonts w:hint="eastAsia"/>
                      <w:snapToGrid w:val="0"/>
                      <w:kern w:val="0"/>
                      <w:szCs w:val="21"/>
                    </w:rPr>
                    <w:t>0.11</w:t>
                  </w:r>
                </w:p>
              </w:tc>
              <w:tc>
                <w:tcPr>
                  <w:tcW w:w="600" w:type="dxa"/>
                  <w:tcBorders>
                    <w:tl2br w:val="nil"/>
                    <w:tr2bl w:val="nil"/>
                  </w:tcBorders>
                  <w:vAlign w:val="center"/>
                </w:tcPr>
                <w:p w14:paraId="3E87927F">
                  <w:pPr>
                    <w:adjustRightInd w:val="0"/>
                    <w:snapToGrid w:val="0"/>
                    <w:jc w:val="center"/>
                    <w:rPr>
                      <w:snapToGrid w:val="0"/>
                      <w:kern w:val="0"/>
                      <w:szCs w:val="21"/>
                    </w:rPr>
                  </w:pPr>
                  <w:r>
                    <w:rPr>
                      <w:snapToGrid w:val="0"/>
                      <w:kern w:val="0"/>
                      <w:szCs w:val="21"/>
                    </w:rPr>
                    <w:t>0.2</w:t>
                  </w:r>
                </w:p>
              </w:tc>
              <w:tc>
                <w:tcPr>
                  <w:tcW w:w="503" w:type="dxa"/>
                  <w:tcBorders>
                    <w:tl2br w:val="nil"/>
                    <w:tr2bl w:val="nil"/>
                  </w:tcBorders>
                  <w:vAlign w:val="center"/>
                </w:tcPr>
                <w:p w14:paraId="509F2370">
                  <w:pPr>
                    <w:adjustRightInd w:val="0"/>
                    <w:snapToGrid w:val="0"/>
                    <w:jc w:val="center"/>
                    <w:rPr>
                      <w:snapToGrid w:val="0"/>
                      <w:kern w:val="0"/>
                      <w:szCs w:val="21"/>
                    </w:rPr>
                  </w:pPr>
                  <w:r>
                    <w:rPr>
                      <w:snapToGrid w:val="0"/>
                      <w:kern w:val="0"/>
                      <w:szCs w:val="21"/>
                    </w:rPr>
                    <w:t>达标</w:t>
                  </w:r>
                </w:p>
              </w:tc>
            </w:tr>
            <w:tr w14:paraId="30D2BA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restart"/>
                  <w:tcBorders>
                    <w:tl2br w:val="nil"/>
                    <w:tr2bl w:val="nil"/>
                  </w:tcBorders>
                  <w:vAlign w:val="center"/>
                </w:tcPr>
                <w:p w14:paraId="6252239B">
                  <w:pPr>
                    <w:adjustRightInd w:val="0"/>
                    <w:snapToGrid w:val="0"/>
                    <w:jc w:val="center"/>
                    <w:rPr>
                      <w:snapToGrid w:val="0"/>
                      <w:kern w:val="0"/>
                      <w:szCs w:val="21"/>
                    </w:rPr>
                  </w:pPr>
                  <w:r>
                    <w:rPr>
                      <w:snapToGrid w:val="0"/>
                      <w:kern w:val="0"/>
                      <w:szCs w:val="21"/>
                    </w:rPr>
                    <w:t>尧塘河W2金坛区第二污水处理</w:t>
                  </w:r>
                  <w:r>
                    <w:rPr>
                      <w:rFonts w:hint="eastAsia"/>
                      <w:snapToGrid w:val="0"/>
                      <w:kern w:val="0"/>
                      <w:szCs w:val="21"/>
                    </w:rPr>
                    <w:t>厂</w:t>
                  </w:r>
                  <w:r>
                    <w:rPr>
                      <w:snapToGrid w:val="0"/>
                      <w:kern w:val="0"/>
                      <w:szCs w:val="21"/>
                    </w:rPr>
                    <w:t>排口下游</w:t>
                  </w:r>
                  <w:r>
                    <w:rPr>
                      <w:rFonts w:hint="eastAsia"/>
                      <w:snapToGrid w:val="0"/>
                      <w:kern w:val="0"/>
                      <w:szCs w:val="21"/>
                    </w:rPr>
                    <w:t>15</w:t>
                  </w:r>
                  <w:r>
                    <w:rPr>
                      <w:snapToGrid w:val="0"/>
                      <w:kern w:val="0"/>
                      <w:szCs w:val="21"/>
                    </w:rPr>
                    <w:t>00m</w:t>
                  </w:r>
                </w:p>
              </w:tc>
              <w:tc>
                <w:tcPr>
                  <w:tcW w:w="1393" w:type="dxa"/>
                  <w:tcBorders>
                    <w:tl2br w:val="nil"/>
                    <w:tr2bl w:val="nil"/>
                  </w:tcBorders>
                  <w:vAlign w:val="center"/>
                </w:tcPr>
                <w:p w14:paraId="0236883F">
                  <w:pPr>
                    <w:adjustRightInd w:val="0"/>
                    <w:snapToGrid w:val="0"/>
                    <w:jc w:val="center"/>
                    <w:rPr>
                      <w:snapToGrid w:val="0"/>
                      <w:kern w:val="0"/>
                      <w:szCs w:val="21"/>
                    </w:rPr>
                  </w:pPr>
                  <w:r>
                    <w:rPr>
                      <w:snapToGrid w:val="0"/>
                      <w:kern w:val="0"/>
                      <w:szCs w:val="21"/>
                    </w:rPr>
                    <w:t>样品状态</w:t>
                  </w:r>
                </w:p>
              </w:tc>
              <w:tc>
                <w:tcPr>
                  <w:tcW w:w="791" w:type="dxa"/>
                  <w:tcBorders>
                    <w:tl2br w:val="nil"/>
                    <w:tr2bl w:val="nil"/>
                  </w:tcBorders>
                  <w:vAlign w:val="center"/>
                </w:tcPr>
                <w:p w14:paraId="03C8D59D">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954" w:type="dxa"/>
                  <w:tcBorders>
                    <w:tl2br w:val="nil"/>
                    <w:tr2bl w:val="nil"/>
                  </w:tcBorders>
                  <w:vAlign w:val="center"/>
                </w:tcPr>
                <w:p w14:paraId="6A721DEA">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766" w:type="dxa"/>
                  <w:tcBorders>
                    <w:tl2br w:val="nil"/>
                    <w:tr2bl w:val="nil"/>
                  </w:tcBorders>
                  <w:vAlign w:val="center"/>
                </w:tcPr>
                <w:p w14:paraId="6F9744A2">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952" w:type="dxa"/>
                  <w:tcBorders>
                    <w:tl2br w:val="nil"/>
                    <w:tr2bl w:val="nil"/>
                  </w:tcBorders>
                  <w:vAlign w:val="center"/>
                </w:tcPr>
                <w:p w14:paraId="5E42182E">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768" w:type="dxa"/>
                  <w:tcBorders>
                    <w:tl2br w:val="nil"/>
                    <w:tr2bl w:val="nil"/>
                  </w:tcBorders>
                  <w:vAlign w:val="center"/>
                </w:tcPr>
                <w:p w14:paraId="39DAF1A5">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860" w:type="dxa"/>
                  <w:tcBorders>
                    <w:tl2br w:val="nil"/>
                    <w:tr2bl w:val="nil"/>
                  </w:tcBorders>
                  <w:vAlign w:val="center"/>
                </w:tcPr>
                <w:p w14:paraId="6D0493A0">
                  <w:pPr>
                    <w:adjustRightInd w:val="0"/>
                    <w:snapToGrid w:val="0"/>
                    <w:jc w:val="center"/>
                    <w:rPr>
                      <w:snapToGrid w:val="0"/>
                      <w:kern w:val="0"/>
                      <w:szCs w:val="21"/>
                    </w:rPr>
                  </w:pPr>
                  <w:r>
                    <w:rPr>
                      <w:snapToGrid w:val="0"/>
                      <w:kern w:val="0"/>
                      <w:szCs w:val="21"/>
                    </w:rPr>
                    <w:t>无色、</w:t>
                  </w:r>
                  <w:r>
                    <w:rPr>
                      <w:rFonts w:hint="eastAsia"/>
                      <w:snapToGrid w:val="0"/>
                      <w:kern w:val="0"/>
                      <w:szCs w:val="21"/>
                    </w:rPr>
                    <w:t>嗅（无）</w:t>
                  </w:r>
                </w:p>
              </w:tc>
              <w:tc>
                <w:tcPr>
                  <w:tcW w:w="600" w:type="dxa"/>
                  <w:tcBorders>
                    <w:tl2br w:val="nil"/>
                    <w:tr2bl w:val="nil"/>
                  </w:tcBorders>
                  <w:vAlign w:val="center"/>
                </w:tcPr>
                <w:p w14:paraId="6892BC70">
                  <w:pPr>
                    <w:adjustRightInd w:val="0"/>
                    <w:snapToGrid w:val="0"/>
                    <w:jc w:val="center"/>
                    <w:rPr>
                      <w:snapToGrid w:val="0"/>
                      <w:kern w:val="0"/>
                      <w:szCs w:val="21"/>
                    </w:rPr>
                  </w:pPr>
                  <w:r>
                    <w:rPr>
                      <w:snapToGrid w:val="0"/>
                      <w:kern w:val="0"/>
                      <w:szCs w:val="21"/>
                    </w:rPr>
                    <w:t>/</w:t>
                  </w:r>
                </w:p>
              </w:tc>
              <w:tc>
                <w:tcPr>
                  <w:tcW w:w="503" w:type="dxa"/>
                  <w:tcBorders>
                    <w:tl2br w:val="nil"/>
                    <w:tr2bl w:val="nil"/>
                  </w:tcBorders>
                  <w:vAlign w:val="center"/>
                </w:tcPr>
                <w:p w14:paraId="362E293A">
                  <w:pPr>
                    <w:adjustRightInd w:val="0"/>
                    <w:snapToGrid w:val="0"/>
                    <w:jc w:val="center"/>
                    <w:rPr>
                      <w:snapToGrid w:val="0"/>
                      <w:kern w:val="0"/>
                      <w:szCs w:val="21"/>
                    </w:rPr>
                  </w:pPr>
                  <w:r>
                    <w:rPr>
                      <w:snapToGrid w:val="0"/>
                      <w:kern w:val="0"/>
                      <w:szCs w:val="21"/>
                    </w:rPr>
                    <w:t>/</w:t>
                  </w:r>
                </w:p>
              </w:tc>
            </w:tr>
            <w:tr w14:paraId="01DB96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39D3B076">
                  <w:pPr>
                    <w:adjustRightInd w:val="0"/>
                    <w:snapToGrid w:val="0"/>
                    <w:jc w:val="center"/>
                    <w:rPr>
                      <w:snapToGrid w:val="0"/>
                      <w:kern w:val="0"/>
                      <w:szCs w:val="21"/>
                    </w:rPr>
                  </w:pPr>
                </w:p>
              </w:tc>
              <w:tc>
                <w:tcPr>
                  <w:tcW w:w="1393" w:type="dxa"/>
                  <w:tcBorders>
                    <w:tl2br w:val="nil"/>
                    <w:tr2bl w:val="nil"/>
                  </w:tcBorders>
                  <w:vAlign w:val="center"/>
                </w:tcPr>
                <w:p w14:paraId="50BAB63C">
                  <w:pPr>
                    <w:adjustRightInd w:val="0"/>
                    <w:snapToGrid w:val="0"/>
                    <w:jc w:val="center"/>
                    <w:rPr>
                      <w:snapToGrid w:val="0"/>
                      <w:kern w:val="0"/>
                      <w:szCs w:val="21"/>
                    </w:rPr>
                  </w:pPr>
                  <w:r>
                    <w:rPr>
                      <w:snapToGrid w:val="0"/>
                      <w:kern w:val="0"/>
                      <w:szCs w:val="21"/>
                    </w:rPr>
                    <w:t>pH值（无量纲）</w:t>
                  </w:r>
                </w:p>
              </w:tc>
              <w:tc>
                <w:tcPr>
                  <w:tcW w:w="791" w:type="dxa"/>
                  <w:tcBorders>
                    <w:tl2br w:val="nil"/>
                    <w:tr2bl w:val="nil"/>
                  </w:tcBorders>
                  <w:vAlign w:val="center"/>
                </w:tcPr>
                <w:p w14:paraId="48997FAA">
                  <w:pPr>
                    <w:adjustRightInd w:val="0"/>
                    <w:snapToGrid w:val="0"/>
                    <w:jc w:val="center"/>
                    <w:rPr>
                      <w:snapToGrid w:val="0"/>
                      <w:kern w:val="0"/>
                      <w:szCs w:val="21"/>
                    </w:rPr>
                  </w:pPr>
                  <w:r>
                    <w:rPr>
                      <w:snapToGrid w:val="0"/>
                      <w:kern w:val="0"/>
                      <w:szCs w:val="21"/>
                    </w:rPr>
                    <w:t>7.</w:t>
                  </w:r>
                  <w:r>
                    <w:rPr>
                      <w:rFonts w:hint="eastAsia"/>
                      <w:snapToGrid w:val="0"/>
                      <w:kern w:val="0"/>
                      <w:szCs w:val="21"/>
                    </w:rPr>
                    <w:t>2</w:t>
                  </w:r>
                </w:p>
              </w:tc>
              <w:tc>
                <w:tcPr>
                  <w:tcW w:w="954" w:type="dxa"/>
                  <w:tcBorders>
                    <w:tl2br w:val="nil"/>
                    <w:tr2bl w:val="nil"/>
                  </w:tcBorders>
                  <w:vAlign w:val="center"/>
                </w:tcPr>
                <w:p w14:paraId="39ACDA1D">
                  <w:pPr>
                    <w:adjustRightInd w:val="0"/>
                    <w:snapToGrid w:val="0"/>
                    <w:jc w:val="center"/>
                    <w:rPr>
                      <w:snapToGrid w:val="0"/>
                      <w:kern w:val="0"/>
                      <w:szCs w:val="21"/>
                    </w:rPr>
                  </w:pPr>
                  <w:r>
                    <w:rPr>
                      <w:snapToGrid w:val="0"/>
                      <w:kern w:val="0"/>
                      <w:szCs w:val="21"/>
                    </w:rPr>
                    <w:t>7.</w:t>
                  </w:r>
                  <w:r>
                    <w:rPr>
                      <w:rFonts w:hint="eastAsia"/>
                      <w:snapToGrid w:val="0"/>
                      <w:kern w:val="0"/>
                      <w:szCs w:val="21"/>
                    </w:rPr>
                    <w:t>1</w:t>
                  </w:r>
                </w:p>
              </w:tc>
              <w:tc>
                <w:tcPr>
                  <w:tcW w:w="766" w:type="dxa"/>
                  <w:tcBorders>
                    <w:tl2br w:val="nil"/>
                    <w:tr2bl w:val="nil"/>
                  </w:tcBorders>
                  <w:vAlign w:val="center"/>
                </w:tcPr>
                <w:p w14:paraId="01CA264F">
                  <w:pPr>
                    <w:adjustRightInd w:val="0"/>
                    <w:snapToGrid w:val="0"/>
                    <w:jc w:val="center"/>
                    <w:rPr>
                      <w:snapToGrid w:val="0"/>
                      <w:kern w:val="0"/>
                      <w:szCs w:val="21"/>
                    </w:rPr>
                  </w:pPr>
                  <w:r>
                    <w:rPr>
                      <w:snapToGrid w:val="0"/>
                      <w:kern w:val="0"/>
                      <w:szCs w:val="21"/>
                    </w:rPr>
                    <w:t>7.</w:t>
                  </w:r>
                  <w:r>
                    <w:rPr>
                      <w:rFonts w:hint="eastAsia"/>
                      <w:snapToGrid w:val="0"/>
                      <w:kern w:val="0"/>
                      <w:szCs w:val="21"/>
                    </w:rPr>
                    <w:t>2</w:t>
                  </w:r>
                </w:p>
              </w:tc>
              <w:tc>
                <w:tcPr>
                  <w:tcW w:w="952" w:type="dxa"/>
                  <w:tcBorders>
                    <w:tl2br w:val="nil"/>
                    <w:tr2bl w:val="nil"/>
                  </w:tcBorders>
                  <w:vAlign w:val="center"/>
                </w:tcPr>
                <w:p w14:paraId="6DC4B3D0">
                  <w:pPr>
                    <w:adjustRightInd w:val="0"/>
                    <w:snapToGrid w:val="0"/>
                    <w:jc w:val="center"/>
                    <w:rPr>
                      <w:snapToGrid w:val="0"/>
                      <w:kern w:val="0"/>
                      <w:szCs w:val="21"/>
                    </w:rPr>
                  </w:pPr>
                  <w:r>
                    <w:rPr>
                      <w:snapToGrid w:val="0"/>
                      <w:kern w:val="0"/>
                      <w:szCs w:val="21"/>
                    </w:rPr>
                    <w:t>7.</w:t>
                  </w:r>
                  <w:r>
                    <w:rPr>
                      <w:rFonts w:hint="eastAsia"/>
                      <w:snapToGrid w:val="0"/>
                      <w:kern w:val="0"/>
                      <w:szCs w:val="21"/>
                    </w:rPr>
                    <w:t>1</w:t>
                  </w:r>
                </w:p>
              </w:tc>
              <w:tc>
                <w:tcPr>
                  <w:tcW w:w="768" w:type="dxa"/>
                  <w:tcBorders>
                    <w:tl2br w:val="nil"/>
                    <w:tr2bl w:val="nil"/>
                  </w:tcBorders>
                  <w:vAlign w:val="center"/>
                </w:tcPr>
                <w:p w14:paraId="59BC0688">
                  <w:pPr>
                    <w:adjustRightInd w:val="0"/>
                    <w:snapToGrid w:val="0"/>
                    <w:jc w:val="center"/>
                    <w:rPr>
                      <w:snapToGrid w:val="0"/>
                      <w:kern w:val="0"/>
                      <w:szCs w:val="21"/>
                    </w:rPr>
                  </w:pPr>
                  <w:r>
                    <w:rPr>
                      <w:snapToGrid w:val="0"/>
                      <w:kern w:val="0"/>
                      <w:szCs w:val="21"/>
                    </w:rPr>
                    <w:t>7.</w:t>
                  </w:r>
                  <w:r>
                    <w:rPr>
                      <w:rFonts w:hint="eastAsia"/>
                      <w:snapToGrid w:val="0"/>
                      <w:kern w:val="0"/>
                      <w:szCs w:val="21"/>
                    </w:rPr>
                    <w:t>1</w:t>
                  </w:r>
                </w:p>
              </w:tc>
              <w:tc>
                <w:tcPr>
                  <w:tcW w:w="860" w:type="dxa"/>
                  <w:tcBorders>
                    <w:tl2br w:val="nil"/>
                    <w:tr2bl w:val="nil"/>
                  </w:tcBorders>
                  <w:vAlign w:val="center"/>
                </w:tcPr>
                <w:p w14:paraId="0CE2D339">
                  <w:pPr>
                    <w:adjustRightInd w:val="0"/>
                    <w:snapToGrid w:val="0"/>
                    <w:jc w:val="center"/>
                    <w:rPr>
                      <w:snapToGrid w:val="0"/>
                      <w:kern w:val="0"/>
                      <w:szCs w:val="21"/>
                    </w:rPr>
                  </w:pPr>
                  <w:r>
                    <w:rPr>
                      <w:snapToGrid w:val="0"/>
                      <w:kern w:val="0"/>
                      <w:szCs w:val="21"/>
                    </w:rPr>
                    <w:t>7.1</w:t>
                  </w:r>
                </w:p>
              </w:tc>
              <w:tc>
                <w:tcPr>
                  <w:tcW w:w="600" w:type="dxa"/>
                  <w:tcBorders>
                    <w:tl2br w:val="nil"/>
                    <w:tr2bl w:val="nil"/>
                  </w:tcBorders>
                  <w:vAlign w:val="center"/>
                </w:tcPr>
                <w:p w14:paraId="60AAD498">
                  <w:pPr>
                    <w:adjustRightInd w:val="0"/>
                    <w:snapToGrid w:val="0"/>
                    <w:jc w:val="center"/>
                    <w:rPr>
                      <w:snapToGrid w:val="0"/>
                      <w:kern w:val="0"/>
                      <w:szCs w:val="21"/>
                    </w:rPr>
                  </w:pPr>
                  <w:r>
                    <w:rPr>
                      <w:snapToGrid w:val="0"/>
                      <w:kern w:val="0"/>
                      <w:szCs w:val="21"/>
                    </w:rPr>
                    <w:t>6~9</w:t>
                  </w:r>
                </w:p>
              </w:tc>
              <w:tc>
                <w:tcPr>
                  <w:tcW w:w="503" w:type="dxa"/>
                  <w:tcBorders>
                    <w:tl2br w:val="nil"/>
                    <w:tr2bl w:val="nil"/>
                  </w:tcBorders>
                  <w:vAlign w:val="center"/>
                </w:tcPr>
                <w:p w14:paraId="2FD8F285">
                  <w:pPr>
                    <w:adjustRightInd w:val="0"/>
                    <w:snapToGrid w:val="0"/>
                    <w:jc w:val="center"/>
                    <w:rPr>
                      <w:snapToGrid w:val="0"/>
                      <w:kern w:val="0"/>
                      <w:szCs w:val="21"/>
                    </w:rPr>
                  </w:pPr>
                  <w:r>
                    <w:rPr>
                      <w:snapToGrid w:val="0"/>
                      <w:kern w:val="0"/>
                      <w:szCs w:val="21"/>
                    </w:rPr>
                    <w:t>达标</w:t>
                  </w:r>
                </w:p>
              </w:tc>
            </w:tr>
            <w:tr w14:paraId="3A7369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6BF560FB">
                  <w:pPr>
                    <w:adjustRightInd w:val="0"/>
                    <w:snapToGrid w:val="0"/>
                    <w:jc w:val="center"/>
                    <w:rPr>
                      <w:snapToGrid w:val="0"/>
                      <w:kern w:val="0"/>
                      <w:szCs w:val="21"/>
                    </w:rPr>
                  </w:pPr>
                </w:p>
              </w:tc>
              <w:tc>
                <w:tcPr>
                  <w:tcW w:w="1393" w:type="dxa"/>
                  <w:tcBorders>
                    <w:tl2br w:val="nil"/>
                    <w:tr2bl w:val="nil"/>
                  </w:tcBorders>
                  <w:vAlign w:val="center"/>
                </w:tcPr>
                <w:p w14:paraId="1C0739FB">
                  <w:pPr>
                    <w:adjustRightInd w:val="0"/>
                    <w:snapToGrid w:val="0"/>
                    <w:jc w:val="center"/>
                    <w:rPr>
                      <w:snapToGrid w:val="0"/>
                      <w:kern w:val="0"/>
                      <w:szCs w:val="21"/>
                    </w:rPr>
                  </w:pPr>
                  <w:r>
                    <w:rPr>
                      <w:snapToGrid w:val="0"/>
                      <w:kern w:val="0"/>
                      <w:szCs w:val="21"/>
                    </w:rPr>
                    <w:t>化学需氧量</w:t>
                  </w:r>
                </w:p>
              </w:tc>
              <w:tc>
                <w:tcPr>
                  <w:tcW w:w="791" w:type="dxa"/>
                  <w:tcBorders>
                    <w:tl2br w:val="nil"/>
                    <w:tr2bl w:val="nil"/>
                  </w:tcBorders>
                  <w:vAlign w:val="center"/>
                </w:tcPr>
                <w:p w14:paraId="255C0D8E">
                  <w:pPr>
                    <w:adjustRightInd w:val="0"/>
                    <w:snapToGrid w:val="0"/>
                    <w:jc w:val="center"/>
                    <w:rPr>
                      <w:snapToGrid w:val="0"/>
                      <w:kern w:val="0"/>
                      <w:szCs w:val="21"/>
                    </w:rPr>
                  </w:pPr>
                  <w:r>
                    <w:rPr>
                      <w:rFonts w:hint="eastAsia"/>
                      <w:snapToGrid w:val="0"/>
                      <w:kern w:val="0"/>
                      <w:szCs w:val="21"/>
                    </w:rPr>
                    <w:t>12</w:t>
                  </w:r>
                </w:p>
              </w:tc>
              <w:tc>
                <w:tcPr>
                  <w:tcW w:w="954" w:type="dxa"/>
                  <w:tcBorders>
                    <w:tl2br w:val="nil"/>
                    <w:tr2bl w:val="nil"/>
                  </w:tcBorders>
                  <w:vAlign w:val="center"/>
                </w:tcPr>
                <w:p w14:paraId="5CFFB3D2">
                  <w:pPr>
                    <w:adjustRightInd w:val="0"/>
                    <w:snapToGrid w:val="0"/>
                    <w:jc w:val="center"/>
                    <w:rPr>
                      <w:snapToGrid w:val="0"/>
                      <w:kern w:val="0"/>
                      <w:szCs w:val="21"/>
                    </w:rPr>
                  </w:pPr>
                  <w:r>
                    <w:rPr>
                      <w:rFonts w:hint="eastAsia"/>
                      <w:snapToGrid w:val="0"/>
                      <w:kern w:val="0"/>
                      <w:szCs w:val="21"/>
                    </w:rPr>
                    <w:t>16</w:t>
                  </w:r>
                </w:p>
              </w:tc>
              <w:tc>
                <w:tcPr>
                  <w:tcW w:w="766" w:type="dxa"/>
                  <w:tcBorders>
                    <w:tl2br w:val="nil"/>
                    <w:tr2bl w:val="nil"/>
                  </w:tcBorders>
                  <w:vAlign w:val="center"/>
                </w:tcPr>
                <w:p w14:paraId="3FFA393B">
                  <w:pPr>
                    <w:adjustRightInd w:val="0"/>
                    <w:snapToGrid w:val="0"/>
                    <w:jc w:val="center"/>
                    <w:rPr>
                      <w:snapToGrid w:val="0"/>
                      <w:kern w:val="0"/>
                      <w:szCs w:val="21"/>
                    </w:rPr>
                  </w:pPr>
                  <w:r>
                    <w:rPr>
                      <w:rFonts w:hint="eastAsia"/>
                      <w:snapToGrid w:val="0"/>
                      <w:kern w:val="0"/>
                      <w:szCs w:val="21"/>
                    </w:rPr>
                    <w:t>15</w:t>
                  </w:r>
                </w:p>
              </w:tc>
              <w:tc>
                <w:tcPr>
                  <w:tcW w:w="952" w:type="dxa"/>
                  <w:tcBorders>
                    <w:tl2br w:val="nil"/>
                    <w:tr2bl w:val="nil"/>
                  </w:tcBorders>
                  <w:vAlign w:val="center"/>
                </w:tcPr>
                <w:p w14:paraId="60B4F0C6">
                  <w:pPr>
                    <w:adjustRightInd w:val="0"/>
                    <w:snapToGrid w:val="0"/>
                    <w:jc w:val="center"/>
                    <w:rPr>
                      <w:snapToGrid w:val="0"/>
                      <w:kern w:val="0"/>
                      <w:szCs w:val="21"/>
                    </w:rPr>
                  </w:pPr>
                  <w:r>
                    <w:rPr>
                      <w:rFonts w:hint="eastAsia"/>
                      <w:snapToGrid w:val="0"/>
                      <w:kern w:val="0"/>
                      <w:szCs w:val="21"/>
                    </w:rPr>
                    <w:t>14</w:t>
                  </w:r>
                </w:p>
              </w:tc>
              <w:tc>
                <w:tcPr>
                  <w:tcW w:w="768" w:type="dxa"/>
                  <w:tcBorders>
                    <w:tl2br w:val="nil"/>
                    <w:tr2bl w:val="nil"/>
                  </w:tcBorders>
                  <w:vAlign w:val="center"/>
                </w:tcPr>
                <w:p w14:paraId="365D1D17">
                  <w:pPr>
                    <w:adjustRightInd w:val="0"/>
                    <w:snapToGrid w:val="0"/>
                    <w:jc w:val="center"/>
                    <w:rPr>
                      <w:snapToGrid w:val="0"/>
                      <w:kern w:val="0"/>
                      <w:szCs w:val="21"/>
                    </w:rPr>
                  </w:pPr>
                  <w:r>
                    <w:rPr>
                      <w:rFonts w:hint="eastAsia"/>
                      <w:snapToGrid w:val="0"/>
                      <w:kern w:val="0"/>
                      <w:szCs w:val="21"/>
                    </w:rPr>
                    <w:t>13</w:t>
                  </w:r>
                </w:p>
              </w:tc>
              <w:tc>
                <w:tcPr>
                  <w:tcW w:w="860" w:type="dxa"/>
                  <w:tcBorders>
                    <w:tl2br w:val="nil"/>
                    <w:tr2bl w:val="nil"/>
                  </w:tcBorders>
                  <w:vAlign w:val="center"/>
                </w:tcPr>
                <w:p w14:paraId="2908D0ED">
                  <w:pPr>
                    <w:adjustRightInd w:val="0"/>
                    <w:snapToGrid w:val="0"/>
                    <w:jc w:val="center"/>
                    <w:rPr>
                      <w:snapToGrid w:val="0"/>
                      <w:kern w:val="0"/>
                      <w:szCs w:val="21"/>
                    </w:rPr>
                  </w:pPr>
                  <w:r>
                    <w:rPr>
                      <w:rFonts w:hint="eastAsia"/>
                      <w:snapToGrid w:val="0"/>
                      <w:kern w:val="0"/>
                      <w:szCs w:val="21"/>
                    </w:rPr>
                    <w:t>14</w:t>
                  </w:r>
                </w:p>
              </w:tc>
              <w:tc>
                <w:tcPr>
                  <w:tcW w:w="600" w:type="dxa"/>
                  <w:tcBorders>
                    <w:tl2br w:val="nil"/>
                    <w:tr2bl w:val="nil"/>
                  </w:tcBorders>
                  <w:vAlign w:val="center"/>
                </w:tcPr>
                <w:p w14:paraId="2EDECBAF">
                  <w:pPr>
                    <w:adjustRightInd w:val="0"/>
                    <w:snapToGrid w:val="0"/>
                    <w:jc w:val="center"/>
                    <w:rPr>
                      <w:snapToGrid w:val="0"/>
                      <w:kern w:val="0"/>
                      <w:szCs w:val="21"/>
                    </w:rPr>
                  </w:pPr>
                  <w:r>
                    <w:rPr>
                      <w:snapToGrid w:val="0"/>
                      <w:kern w:val="0"/>
                      <w:szCs w:val="21"/>
                    </w:rPr>
                    <w:t>20</w:t>
                  </w:r>
                </w:p>
              </w:tc>
              <w:tc>
                <w:tcPr>
                  <w:tcW w:w="503" w:type="dxa"/>
                  <w:tcBorders>
                    <w:tl2br w:val="nil"/>
                    <w:tr2bl w:val="nil"/>
                  </w:tcBorders>
                  <w:vAlign w:val="center"/>
                </w:tcPr>
                <w:p w14:paraId="67A9F503">
                  <w:pPr>
                    <w:adjustRightInd w:val="0"/>
                    <w:snapToGrid w:val="0"/>
                    <w:jc w:val="center"/>
                    <w:rPr>
                      <w:snapToGrid w:val="0"/>
                      <w:kern w:val="0"/>
                      <w:szCs w:val="21"/>
                    </w:rPr>
                  </w:pPr>
                  <w:r>
                    <w:rPr>
                      <w:snapToGrid w:val="0"/>
                      <w:kern w:val="0"/>
                      <w:szCs w:val="21"/>
                    </w:rPr>
                    <w:t>达标</w:t>
                  </w:r>
                </w:p>
              </w:tc>
            </w:tr>
            <w:tr w14:paraId="388F8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5E4B0BB7">
                  <w:pPr>
                    <w:adjustRightInd w:val="0"/>
                    <w:snapToGrid w:val="0"/>
                    <w:jc w:val="center"/>
                    <w:rPr>
                      <w:snapToGrid w:val="0"/>
                      <w:kern w:val="0"/>
                      <w:szCs w:val="21"/>
                    </w:rPr>
                  </w:pPr>
                </w:p>
              </w:tc>
              <w:tc>
                <w:tcPr>
                  <w:tcW w:w="1393" w:type="dxa"/>
                  <w:tcBorders>
                    <w:tl2br w:val="nil"/>
                    <w:tr2bl w:val="nil"/>
                  </w:tcBorders>
                  <w:vAlign w:val="center"/>
                </w:tcPr>
                <w:p w14:paraId="4D4FDD6B">
                  <w:pPr>
                    <w:adjustRightInd w:val="0"/>
                    <w:snapToGrid w:val="0"/>
                    <w:jc w:val="center"/>
                    <w:rPr>
                      <w:snapToGrid w:val="0"/>
                      <w:kern w:val="0"/>
                      <w:szCs w:val="21"/>
                    </w:rPr>
                  </w:pPr>
                  <w:r>
                    <w:rPr>
                      <w:snapToGrid w:val="0"/>
                      <w:kern w:val="0"/>
                      <w:szCs w:val="21"/>
                    </w:rPr>
                    <w:t>氨氮</w:t>
                  </w:r>
                </w:p>
              </w:tc>
              <w:tc>
                <w:tcPr>
                  <w:tcW w:w="791" w:type="dxa"/>
                  <w:tcBorders>
                    <w:tl2br w:val="nil"/>
                    <w:tr2bl w:val="nil"/>
                  </w:tcBorders>
                  <w:vAlign w:val="center"/>
                </w:tcPr>
                <w:p w14:paraId="722C2466">
                  <w:pPr>
                    <w:adjustRightInd w:val="0"/>
                    <w:snapToGrid w:val="0"/>
                    <w:jc w:val="center"/>
                    <w:rPr>
                      <w:snapToGrid w:val="0"/>
                      <w:kern w:val="0"/>
                      <w:szCs w:val="21"/>
                    </w:rPr>
                  </w:pPr>
                  <w:r>
                    <w:rPr>
                      <w:rFonts w:hint="eastAsia"/>
                      <w:snapToGrid w:val="0"/>
                      <w:kern w:val="0"/>
                      <w:szCs w:val="21"/>
                    </w:rPr>
                    <w:t>0.290</w:t>
                  </w:r>
                </w:p>
              </w:tc>
              <w:tc>
                <w:tcPr>
                  <w:tcW w:w="954" w:type="dxa"/>
                  <w:tcBorders>
                    <w:tl2br w:val="nil"/>
                    <w:tr2bl w:val="nil"/>
                  </w:tcBorders>
                  <w:vAlign w:val="center"/>
                </w:tcPr>
                <w:p w14:paraId="54C5E923">
                  <w:pPr>
                    <w:adjustRightInd w:val="0"/>
                    <w:snapToGrid w:val="0"/>
                    <w:jc w:val="center"/>
                    <w:rPr>
                      <w:snapToGrid w:val="0"/>
                      <w:kern w:val="0"/>
                      <w:szCs w:val="21"/>
                    </w:rPr>
                  </w:pPr>
                  <w:r>
                    <w:rPr>
                      <w:rFonts w:hint="eastAsia"/>
                      <w:snapToGrid w:val="0"/>
                      <w:kern w:val="0"/>
                      <w:szCs w:val="21"/>
                    </w:rPr>
                    <w:t>0.347</w:t>
                  </w:r>
                </w:p>
              </w:tc>
              <w:tc>
                <w:tcPr>
                  <w:tcW w:w="766" w:type="dxa"/>
                  <w:tcBorders>
                    <w:tl2br w:val="nil"/>
                    <w:tr2bl w:val="nil"/>
                  </w:tcBorders>
                  <w:vAlign w:val="center"/>
                </w:tcPr>
                <w:p w14:paraId="1B966FE0">
                  <w:pPr>
                    <w:adjustRightInd w:val="0"/>
                    <w:snapToGrid w:val="0"/>
                    <w:jc w:val="center"/>
                    <w:rPr>
                      <w:snapToGrid w:val="0"/>
                      <w:kern w:val="0"/>
                      <w:szCs w:val="21"/>
                    </w:rPr>
                  </w:pPr>
                  <w:r>
                    <w:rPr>
                      <w:rFonts w:hint="eastAsia"/>
                      <w:snapToGrid w:val="0"/>
                      <w:kern w:val="0"/>
                      <w:szCs w:val="21"/>
                    </w:rPr>
                    <w:t>0.336</w:t>
                  </w:r>
                </w:p>
              </w:tc>
              <w:tc>
                <w:tcPr>
                  <w:tcW w:w="952" w:type="dxa"/>
                  <w:tcBorders>
                    <w:tl2br w:val="nil"/>
                    <w:tr2bl w:val="nil"/>
                  </w:tcBorders>
                  <w:vAlign w:val="center"/>
                </w:tcPr>
                <w:p w14:paraId="69D410F8">
                  <w:pPr>
                    <w:adjustRightInd w:val="0"/>
                    <w:snapToGrid w:val="0"/>
                    <w:jc w:val="center"/>
                    <w:rPr>
                      <w:snapToGrid w:val="0"/>
                      <w:kern w:val="0"/>
                      <w:szCs w:val="21"/>
                    </w:rPr>
                  </w:pPr>
                  <w:r>
                    <w:rPr>
                      <w:rFonts w:hint="eastAsia"/>
                      <w:snapToGrid w:val="0"/>
                      <w:kern w:val="0"/>
                      <w:szCs w:val="21"/>
                    </w:rPr>
                    <w:t>0.280</w:t>
                  </w:r>
                </w:p>
              </w:tc>
              <w:tc>
                <w:tcPr>
                  <w:tcW w:w="768" w:type="dxa"/>
                  <w:tcBorders>
                    <w:tl2br w:val="nil"/>
                    <w:tr2bl w:val="nil"/>
                  </w:tcBorders>
                  <w:vAlign w:val="center"/>
                </w:tcPr>
                <w:p w14:paraId="55807FD5">
                  <w:pPr>
                    <w:adjustRightInd w:val="0"/>
                    <w:snapToGrid w:val="0"/>
                    <w:jc w:val="center"/>
                    <w:rPr>
                      <w:snapToGrid w:val="0"/>
                      <w:kern w:val="0"/>
                      <w:szCs w:val="21"/>
                    </w:rPr>
                  </w:pPr>
                  <w:r>
                    <w:rPr>
                      <w:rFonts w:hint="eastAsia"/>
                      <w:snapToGrid w:val="0"/>
                      <w:kern w:val="0"/>
                      <w:szCs w:val="21"/>
                    </w:rPr>
                    <w:t>0.290</w:t>
                  </w:r>
                </w:p>
              </w:tc>
              <w:tc>
                <w:tcPr>
                  <w:tcW w:w="860" w:type="dxa"/>
                  <w:tcBorders>
                    <w:tl2br w:val="nil"/>
                    <w:tr2bl w:val="nil"/>
                  </w:tcBorders>
                  <w:vAlign w:val="center"/>
                </w:tcPr>
                <w:p w14:paraId="337F91F3">
                  <w:pPr>
                    <w:adjustRightInd w:val="0"/>
                    <w:snapToGrid w:val="0"/>
                    <w:jc w:val="center"/>
                    <w:rPr>
                      <w:snapToGrid w:val="0"/>
                      <w:kern w:val="0"/>
                      <w:szCs w:val="21"/>
                    </w:rPr>
                  </w:pPr>
                  <w:r>
                    <w:rPr>
                      <w:rFonts w:hint="eastAsia"/>
                      <w:snapToGrid w:val="0"/>
                      <w:kern w:val="0"/>
                      <w:szCs w:val="21"/>
                    </w:rPr>
                    <w:t>0.230</w:t>
                  </w:r>
                </w:p>
              </w:tc>
              <w:tc>
                <w:tcPr>
                  <w:tcW w:w="600" w:type="dxa"/>
                  <w:tcBorders>
                    <w:tl2br w:val="nil"/>
                    <w:tr2bl w:val="nil"/>
                  </w:tcBorders>
                  <w:vAlign w:val="center"/>
                </w:tcPr>
                <w:p w14:paraId="11B3EA66">
                  <w:pPr>
                    <w:adjustRightInd w:val="0"/>
                    <w:snapToGrid w:val="0"/>
                    <w:jc w:val="center"/>
                    <w:rPr>
                      <w:snapToGrid w:val="0"/>
                      <w:kern w:val="0"/>
                      <w:szCs w:val="21"/>
                    </w:rPr>
                  </w:pPr>
                  <w:r>
                    <w:rPr>
                      <w:snapToGrid w:val="0"/>
                      <w:kern w:val="0"/>
                      <w:szCs w:val="21"/>
                    </w:rPr>
                    <w:t>1.0</w:t>
                  </w:r>
                </w:p>
              </w:tc>
              <w:tc>
                <w:tcPr>
                  <w:tcW w:w="503" w:type="dxa"/>
                  <w:tcBorders>
                    <w:tl2br w:val="nil"/>
                    <w:tr2bl w:val="nil"/>
                  </w:tcBorders>
                  <w:vAlign w:val="center"/>
                </w:tcPr>
                <w:p w14:paraId="24F59A68">
                  <w:pPr>
                    <w:adjustRightInd w:val="0"/>
                    <w:snapToGrid w:val="0"/>
                    <w:jc w:val="center"/>
                    <w:rPr>
                      <w:snapToGrid w:val="0"/>
                      <w:kern w:val="0"/>
                      <w:szCs w:val="21"/>
                    </w:rPr>
                  </w:pPr>
                  <w:r>
                    <w:rPr>
                      <w:snapToGrid w:val="0"/>
                      <w:kern w:val="0"/>
                      <w:szCs w:val="21"/>
                    </w:rPr>
                    <w:t>达标</w:t>
                  </w:r>
                </w:p>
              </w:tc>
            </w:tr>
            <w:tr w14:paraId="50897F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41" w:type="dxa"/>
                  <w:vMerge w:val="continue"/>
                  <w:tcBorders>
                    <w:tl2br w:val="nil"/>
                    <w:tr2bl w:val="nil"/>
                  </w:tcBorders>
                  <w:vAlign w:val="center"/>
                </w:tcPr>
                <w:p w14:paraId="08CE5B0A">
                  <w:pPr>
                    <w:adjustRightInd w:val="0"/>
                    <w:snapToGrid w:val="0"/>
                    <w:jc w:val="center"/>
                    <w:rPr>
                      <w:snapToGrid w:val="0"/>
                      <w:kern w:val="0"/>
                      <w:szCs w:val="21"/>
                    </w:rPr>
                  </w:pPr>
                </w:p>
              </w:tc>
              <w:tc>
                <w:tcPr>
                  <w:tcW w:w="1393" w:type="dxa"/>
                  <w:tcBorders>
                    <w:tl2br w:val="nil"/>
                    <w:tr2bl w:val="nil"/>
                  </w:tcBorders>
                  <w:vAlign w:val="center"/>
                </w:tcPr>
                <w:p w14:paraId="6AFE53BC">
                  <w:pPr>
                    <w:adjustRightInd w:val="0"/>
                    <w:snapToGrid w:val="0"/>
                    <w:jc w:val="center"/>
                    <w:rPr>
                      <w:snapToGrid w:val="0"/>
                      <w:kern w:val="0"/>
                      <w:szCs w:val="21"/>
                    </w:rPr>
                  </w:pPr>
                  <w:r>
                    <w:rPr>
                      <w:snapToGrid w:val="0"/>
                      <w:kern w:val="0"/>
                      <w:szCs w:val="21"/>
                    </w:rPr>
                    <w:t>总磷</w:t>
                  </w:r>
                </w:p>
              </w:tc>
              <w:tc>
                <w:tcPr>
                  <w:tcW w:w="791" w:type="dxa"/>
                  <w:tcBorders>
                    <w:tl2br w:val="nil"/>
                    <w:tr2bl w:val="nil"/>
                  </w:tcBorders>
                  <w:vAlign w:val="center"/>
                </w:tcPr>
                <w:p w14:paraId="78374F1F">
                  <w:pPr>
                    <w:adjustRightInd w:val="0"/>
                    <w:snapToGrid w:val="0"/>
                    <w:jc w:val="center"/>
                    <w:rPr>
                      <w:snapToGrid w:val="0"/>
                      <w:kern w:val="0"/>
                      <w:szCs w:val="21"/>
                    </w:rPr>
                  </w:pPr>
                  <w:r>
                    <w:rPr>
                      <w:rFonts w:hint="eastAsia"/>
                      <w:snapToGrid w:val="0"/>
                      <w:kern w:val="0"/>
                      <w:szCs w:val="21"/>
                    </w:rPr>
                    <w:t>0.09</w:t>
                  </w:r>
                </w:p>
              </w:tc>
              <w:tc>
                <w:tcPr>
                  <w:tcW w:w="954" w:type="dxa"/>
                  <w:tcBorders>
                    <w:tl2br w:val="nil"/>
                    <w:tr2bl w:val="nil"/>
                  </w:tcBorders>
                  <w:vAlign w:val="center"/>
                </w:tcPr>
                <w:p w14:paraId="3F343474">
                  <w:pPr>
                    <w:adjustRightInd w:val="0"/>
                    <w:snapToGrid w:val="0"/>
                    <w:jc w:val="center"/>
                    <w:rPr>
                      <w:snapToGrid w:val="0"/>
                      <w:kern w:val="0"/>
                      <w:szCs w:val="21"/>
                    </w:rPr>
                  </w:pPr>
                  <w:r>
                    <w:rPr>
                      <w:rFonts w:hint="eastAsia"/>
                      <w:snapToGrid w:val="0"/>
                      <w:kern w:val="0"/>
                      <w:szCs w:val="21"/>
                    </w:rPr>
                    <w:t>0.08</w:t>
                  </w:r>
                </w:p>
              </w:tc>
              <w:tc>
                <w:tcPr>
                  <w:tcW w:w="766" w:type="dxa"/>
                  <w:tcBorders>
                    <w:tl2br w:val="nil"/>
                    <w:tr2bl w:val="nil"/>
                  </w:tcBorders>
                  <w:vAlign w:val="center"/>
                </w:tcPr>
                <w:p w14:paraId="43183C9A">
                  <w:pPr>
                    <w:adjustRightInd w:val="0"/>
                    <w:snapToGrid w:val="0"/>
                    <w:jc w:val="center"/>
                    <w:rPr>
                      <w:snapToGrid w:val="0"/>
                      <w:kern w:val="0"/>
                      <w:szCs w:val="21"/>
                    </w:rPr>
                  </w:pPr>
                  <w:r>
                    <w:rPr>
                      <w:rFonts w:hint="eastAsia"/>
                      <w:snapToGrid w:val="0"/>
                      <w:kern w:val="0"/>
                      <w:szCs w:val="21"/>
                    </w:rPr>
                    <w:t>0.12</w:t>
                  </w:r>
                </w:p>
              </w:tc>
              <w:tc>
                <w:tcPr>
                  <w:tcW w:w="952" w:type="dxa"/>
                  <w:tcBorders>
                    <w:tl2br w:val="nil"/>
                    <w:tr2bl w:val="nil"/>
                  </w:tcBorders>
                  <w:vAlign w:val="center"/>
                </w:tcPr>
                <w:p w14:paraId="458ED390">
                  <w:pPr>
                    <w:adjustRightInd w:val="0"/>
                    <w:snapToGrid w:val="0"/>
                    <w:jc w:val="center"/>
                    <w:rPr>
                      <w:snapToGrid w:val="0"/>
                      <w:kern w:val="0"/>
                      <w:szCs w:val="21"/>
                    </w:rPr>
                  </w:pPr>
                  <w:r>
                    <w:rPr>
                      <w:rFonts w:hint="eastAsia"/>
                      <w:snapToGrid w:val="0"/>
                      <w:kern w:val="0"/>
                      <w:szCs w:val="21"/>
                    </w:rPr>
                    <w:t>0.11</w:t>
                  </w:r>
                </w:p>
              </w:tc>
              <w:tc>
                <w:tcPr>
                  <w:tcW w:w="768" w:type="dxa"/>
                  <w:tcBorders>
                    <w:tl2br w:val="nil"/>
                    <w:tr2bl w:val="nil"/>
                  </w:tcBorders>
                  <w:vAlign w:val="center"/>
                </w:tcPr>
                <w:p w14:paraId="45BCA0D5">
                  <w:pPr>
                    <w:adjustRightInd w:val="0"/>
                    <w:snapToGrid w:val="0"/>
                    <w:jc w:val="center"/>
                    <w:rPr>
                      <w:snapToGrid w:val="0"/>
                      <w:kern w:val="0"/>
                      <w:szCs w:val="21"/>
                    </w:rPr>
                  </w:pPr>
                  <w:r>
                    <w:rPr>
                      <w:rFonts w:hint="eastAsia"/>
                      <w:snapToGrid w:val="0"/>
                      <w:kern w:val="0"/>
                      <w:szCs w:val="21"/>
                    </w:rPr>
                    <w:t>0.11</w:t>
                  </w:r>
                </w:p>
              </w:tc>
              <w:tc>
                <w:tcPr>
                  <w:tcW w:w="860" w:type="dxa"/>
                  <w:tcBorders>
                    <w:tl2br w:val="nil"/>
                    <w:tr2bl w:val="nil"/>
                  </w:tcBorders>
                  <w:vAlign w:val="center"/>
                </w:tcPr>
                <w:p w14:paraId="27373074">
                  <w:pPr>
                    <w:adjustRightInd w:val="0"/>
                    <w:snapToGrid w:val="0"/>
                    <w:jc w:val="center"/>
                    <w:rPr>
                      <w:snapToGrid w:val="0"/>
                      <w:kern w:val="0"/>
                      <w:szCs w:val="21"/>
                    </w:rPr>
                  </w:pPr>
                  <w:r>
                    <w:rPr>
                      <w:rFonts w:hint="eastAsia"/>
                      <w:snapToGrid w:val="0"/>
                      <w:kern w:val="0"/>
                      <w:szCs w:val="21"/>
                    </w:rPr>
                    <w:t>0.14</w:t>
                  </w:r>
                </w:p>
              </w:tc>
              <w:tc>
                <w:tcPr>
                  <w:tcW w:w="600" w:type="dxa"/>
                  <w:tcBorders>
                    <w:tl2br w:val="nil"/>
                    <w:tr2bl w:val="nil"/>
                  </w:tcBorders>
                  <w:vAlign w:val="center"/>
                </w:tcPr>
                <w:p w14:paraId="3767A798">
                  <w:pPr>
                    <w:adjustRightInd w:val="0"/>
                    <w:snapToGrid w:val="0"/>
                    <w:jc w:val="center"/>
                    <w:rPr>
                      <w:snapToGrid w:val="0"/>
                      <w:kern w:val="0"/>
                      <w:szCs w:val="21"/>
                    </w:rPr>
                  </w:pPr>
                  <w:r>
                    <w:rPr>
                      <w:snapToGrid w:val="0"/>
                      <w:kern w:val="0"/>
                      <w:szCs w:val="21"/>
                    </w:rPr>
                    <w:t>0.2</w:t>
                  </w:r>
                </w:p>
              </w:tc>
              <w:tc>
                <w:tcPr>
                  <w:tcW w:w="503" w:type="dxa"/>
                  <w:tcBorders>
                    <w:tl2br w:val="nil"/>
                    <w:tr2bl w:val="nil"/>
                  </w:tcBorders>
                  <w:vAlign w:val="center"/>
                </w:tcPr>
                <w:p w14:paraId="3BE9EA2D">
                  <w:pPr>
                    <w:adjustRightInd w:val="0"/>
                    <w:snapToGrid w:val="0"/>
                    <w:jc w:val="center"/>
                    <w:rPr>
                      <w:snapToGrid w:val="0"/>
                      <w:kern w:val="0"/>
                      <w:szCs w:val="21"/>
                    </w:rPr>
                  </w:pPr>
                  <w:r>
                    <w:rPr>
                      <w:snapToGrid w:val="0"/>
                      <w:kern w:val="0"/>
                      <w:szCs w:val="21"/>
                    </w:rPr>
                    <w:t>达标</w:t>
                  </w:r>
                </w:p>
              </w:tc>
            </w:tr>
          </w:tbl>
          <w:p w14:paraId="1D5E6371">
            <w:pPr>
              <w:adjustRightInd w:val="0"/>
              <w:snapToGrid w:val="0"/>
              <w:spacing w:beforeLines="50" w:line="360" w:lineRule="auto"/>
              <w:ind w:firstLine="411" w:firstLineChars="196"/>
              <w:rPr>
                <w:szCs w:val="21"/>
              </w:rPr>
            </w:pPr>
            <w:r>
              <w:t>以上监测数据表明，尧塘河现状监测因子均能满足《地表水环境质量标准》（GB3838-2002）中</w:t>
            </w:r>
            <w:r>
              <w:fldChar w:fldCharType="begin"/>
            </w:r>
            <w:r>
              <w:instrText xml:space="preserve"> = 3 \* ROMAN \* MERGEFORMAT </w:instrText>
            </w:r>
            <w:r>
              <w:fldChar w:fldCharType="separate"/>
            </w:r>
            <w:r>
              <w:t>III</w:t>
            </w:r>
            <w:r>
              <w:fldChar w:fldCharType="end"/>
            </w:r>
            <w:r>
              <w:t>类标准，项目地表水评价范围水环境质量良好。</w:t>
            </w:r>
          </w:p>
          <w:p w14:paraId="3B29F3A5">
            <w:pPr>
              <w:spacing w:line="360" w:lineRule="auto"/>
              <w:ind w:firstLine="422" w:firstLineChars="200"/>
              <w:rPr>
                <w:b/>
                <w:bCs/>
                <w:szCs w:val="21"/>
              </w:rPr>
            </w:pPr>
            <w:r>
              <w:rPr>
                <w:b/>
                <w:bCs/>
                <w:szCs w:val="21"/>
              </w:rPr>
              <w:t>3、噪声</w:t>
            </w:r>
          </w:p>
          <w:p w14:paraId="29AB0B6D">
            <w:pPr>
              <w:adjustRightInd w:val="0"/>
              <w:snapToGrid w:val="0"/>
              <w:spacing w:line="360" w:lineRule="auto"/>
              <w:ind w:firstLine="420" w:firstLineChars="200"/>
              <w:jc w:val="left"/>
            </w:pPr>
            <w:r>
              <w:t>本项目厂界外50m范围内</w:t>
            </w:r>
            <w:r>
              <w:rPr>
                <w:rFonts w:hint="eastAsia"/>
              </w:rPr>
              <w:t>无</w:t>
            </w:r>
            <w:r>
              <w:t>声环境保护目标，</w:t>
            </w:r>
            <w:r>
              <w:rPr>
                <w:rFonts w:hint="eastAsia"/>
              </w:rPr>
              <w:t>无需</w:t>
            </w:r>
            <w:r>
              <w:t>开展声环境质量现状调查。</w:t>
            </w:r>
          </w:p>
          <w:p w14:paraId="51222ACC">
            <w:pPr>
              <w:pStyle w:val="73"/>
              <w:spacing w:after="0" w:line="360" w:lineRule="auto"/>
              <w:ind w:left="420" w:leftChars="200"/>
              <w:rPr>
                <w:rFonts w:ascii="Times New Roman" w:hAnsi="Times New Roman" w:cs="Times New Roman"/>
                <w:b/>
                <w:bCs/>
                <w:snapToGrid w:val="0"/>
                <w:color w:val="auto"/>
                <w:sz w:val="21"/>
                <w:szCs w:val="21"/>
              </w:rPr>
            </w:pPr>
            <w:r>
              <w:rPr>
                <w:rFonts w:hint="eastAsia" w:ascii="Times New Roman" w:hAnsi="Times New Roman" w:cs="Times New Roman"/>
                <w:b/>
                <w:bCs/>
                <w:snapToGrid w:val="0"/>
                <w:color w:val="auto"/>
                <w:sz w:val="21"/>
                <w:szCs w:val="21"/>
              </w:rPr>
              <w:t>4、</w:t>
            </w:r>
            <w:r>
              <w:rPr>
                <w:rFonts w:ascii="Times New Roman" w:hAnsi="Times New Roman" w:cs="Times New Roman"/>
                <w:b/>
                <w:bCs/>
                <w:snapToGrid w:val="0"/>
                <w:color w:val="auto"/>
                <w:sz w:val="21"/>
                <w:szCs w:val="21"/>
              </w:rPr>
              <w:t>生态环境</w:t>
            </w:r>
          </w:p>
          <w:p w14:paraId="37817433">
            <w:pPr>
              <w:pStyle w:val="73"/>
              <w:spacing w:after="0" w:line="360" w:lineRule="auto"/>
              <w:ind w:firstLine="420" w:firstLineChars="200"/>
              <w:rPr>
                <w:rFonts w:ascii="Times New Roman" w:hAnsi="Times New Roman" w:cs="Times New Roman"/>
                <w:snapToGrid w:val="0"/>
                <w:color w:val="auto"/>
                <w:sz w:val="21"/>
                <w:szCs w:val="21"/>
              </w:rPr>
            </w:pPr>
            <w:r>
              <w:rPr>
                <w:rFonts w:ascii="Times New Roman" w:hAnsi="Times New Roman" w:cs="Times New Roman"/>
                <w:snapToGrid w:val="0"/>
                <w:color w:val="auto"/>
                <w:sz w:val="21"/>
                <w:szCs w:val="21"/>
              </w:rPr>
              <w:t>本项目位于江苏省常州市金坛区尧塘街道金博路1号，</w:t>
            </w:r>
            <w:r>
              <w:rPr>
                <w:rFonts w:hint="eastAsia" w:ascii="Times New Roman" w:hAnsi="Times New Roman" w:cs="Times New Roman"/>
                <w:snapToGrid w:val="0"/>
                <w:color w:val="auto"/>
                <w:sz w:val="21"/>
                <w:szCs w:val="21"/>
              </w:rPr>
              <w:t>不新增用地</w:t>
            </w:r>
            <w:r>
              <w:rPr>
                <w:rFonts w:ascii="Times New Roman" w:hAnsi="Times New Roman" w:cs="Times New Roman"/>
                <w:snapToGrid w:val="0"/>
                <w:color w:val="auto"/>
                <w:sz w:val="21"/>
                <w:szCs w:val="21"/>
              </w:rPr>
              <w:t>且用地范围内无生态环境保护目标，</w:t>
            </w:r>
            <w:r>
              <w:rPr>
                <w:rFonts w:hint="eastAsia" w:ascii="Times New Roman" w:hAnsi="Times New Roman" w:cs="Times New Roman"/>
                <w:snapToGrid w:val="0"/>
                <w:color w:val="auto"/>
                <w:sz w:val="21"/>
                <w:szCs w:val="21"/>
              </w:rPr>
              <w:t>无需</w:t>
            </w:r>
            <w:r>
              <w:rPr>
                <w:rFonts w:ascii="Times New Roman" w:hAnsi="Times New Roman" w:cs="Times New Roman"/>
                <w:snapToGrid w:val="0"/>
                <w:color w:val="auto"/>
                <w:sz w:val="21"/>
                <w:szCs w:val="21"/>
              </w:rPr>
              <w:t>进行生态现状调查。</w:t>
            </w:r>
          </w:p>
          <w:p w14:paraId="7BF9B952">
            <w:pPr>
              <w:pStyle w:val="73"/>
              <w:spacing w:after="0" w:line="360" w:lineRule="auto"/>
              <w:ind w:left="420" w:leftChars="200"/>
              <w:rPr>
                <w:rFonts w:ascii="Times New Roman" w:hAnsi="Times New Roman" w:cs="Times New Roman"/>
                <w:b/>
                <w:bCs/>
                <w:snapToGrid w:val="0"/>
                <w:color w:val="auto"/>
                <w:sz w:val="21"/>
                <w:szCs w:val="21"/>
              </w:rPr>
            </w:pPr>
            <w:r>
              <w:rPr>
                <w:rFonts w:hint="eastAsia" w:ascii="Times New Roman" w:hAnsi="Times New Roman" w:cs="Times New Roman"/>
                <w:b/>
                <w:bCs/>
                <w:snapToGrid w:val="0"/>
                <w:color w:val="auto"/>
                <w:sz w:val="21"/>
                <w:szCs w:val="21"/>
              </w:rPr>
              <w:t>5、</w:t>
            </w:r>
            <w:r>
              <w:rPr>
                <w:rFonts w:ascii="Times New Roman" w:hAnsi="Times New Roman" w:cs="Times New Roman"/>
                <w:b/>
                <w:bCs/>
                <w:snapToGrid w:val="0"/>
                <w:color w:val="auto"/>
                <w:sz w:val="21"/>
                <w:szCs w:val="21"/>
              </w:rPr>
              <w:t>电磁辐射</w:t>
            </w:r>
          </w:p>
          <w:p w14:paraId="40B1D8D6">
            <w:pPr>
              <w:adjustRightInd w:val="0"/>
              <w:snapToGrid w:val="0"/>
              <w:spacing w:line="360" w:lineRule="auto"/>
              <w:ind w:firstLine="420" w:firstLineChars="200"/>
              <w:jc w:val="left"/>
              <w:rPr>
                <w:snapToGrid w:val="0"/>
                <w:kern w:val="0"/>
                <w:szCs w:val="21"/>
              </w:rPr>
            </w:pPr>
            <w:r>
              <w:rPr>
                <w:snapToGrid w:val="0"/>
                <w:kern w:val="0"/>
                <w:szCs w:val="21"/>
              </w:rPr>
              <w:t>本项目不存在电磁辐射影响。</w:t>
            </w:r>
          </w:p>
          <w:p w14:paraId="3B3CF044">
            <w:pPr>
              <w:pStyle w:val="73"/>
              <w:spacing w:after="0" w:line="360" w:lineRule="auto"/>
              <w:ind w:left="420" w:leftChars="200"/>
              <w:rPr>
                <w:rFonts w:ascii="Times New Roman" w:hAnsi="Times New Roman" w:cs="Times New Roman"/>
                <w:b/>
                <w:bCs/>
                <w:snapToGrid w:val="0"/>
                <w:color w:val="auto"/>
                <w:sz w:val="21"/>
                <w:szCs w:val="21"/>
              </w:rPr>
            </w:pPr>
            <w:r>
              <w:rPr>
                <w:rFonts w:hint="eastAsia" w:ascii="Times New Roman" w:hAnsi="Times New Roman" w:cs="Times New Roman"/>
                <w:b/>
                <w:bCs/>
                <w:snapToGrid w:val="0"/>
                <w:color w:val="auto"/>
                <w:sz w:val="21"/>
                <w:szCs w:val="21"/>
              </w:rPr>
              <w:t>6、</w:t>
            </w:r>
            <w:r>
              <w:rPr>
                <w:rFonts w:ascii="Times New Roman" w:hAnsi="Times New Roman" w:cs="Times New Roman"/>
                <w:b/>
                <w:bCs/>
                <w:snapToGrid w:val="0"/>
                <w:color w:val="auto"/>
                <w:sz w:val="21"/>
                <w:szCs w:val="21"/>
              </w:rPr>
              <w:t>地下水、土壤</w:t>
            </w:r>
          </w:p>
          <w:p w14:paraId="16151D1D">
            <w:pPr>
              <w:topLinePunct/>
              <w:adjustRightInd w:val="0"/>
              <w:snapToGrid w:val="0"/>
              <w:spacing w:line="360" w:lineRule="auto"/>
              <w:ind w:firstLine="420" w:firstLineChars="200"/>
              <w:rPr>
                <w:szCs w:val="21"/>
              </w:rPr>
            </w:pPr>
            <w:r>
              <w:rPr>
                <w:szCs w:val="21"/>
              </w:rPr>
              <w:t>根据《关于印发&lt;建设项目环境影响报告表&gt;内容、格式及编制技术指南的通知》（环办环评[2020]33号）：“地下水和土壤环境原则上不开展环境质量现状调查。建设项目存在土壤、地下水环境污染途径的，应结合污染源、保护目标分布情况开展现状调查以留作背景值”。</w:t>
            </w:r>
          </w:p>
          <w:p w14:paraId="3F112E74">
            <w:pPr>
              <w:topLinePunct/>
              <w:adjustRightInd w:val="0"/>
              <w:snapToGrid w:val="0"/>
              <w:spacing w:line="360" w:lineRule="auto"/>
              <w:ind w:firstLine="420" w:firstLineChars="200"/>
              <w:rPr>
                <w:szCs w:val="21"/>
              </w:rPr>
            </w:pPr>
            <w:r>
              <w:rPr>
                <w:szCs w:val="21"/>
              </w:rPr>
              <w:t>本项目产品为</w:t>
            </w:r>
            <w:r>
              <w:rPr>
                <w:rFonts w:hint="eastAsia"/>
                <w:szCs w:val="21"/>
              </w:rPr>
              <w:t>橡胶配件</w:t>
            </w:r>
            <w:r>
              <w:rPr>
                <w:szCs w:val="21"/>
              </w:rPr>
              <w:t>，参照《农用地土壤污染状况详查点位布设技术规定》</w:t>
            </w:r>
            <w:r>
              <w:rPr>
                <w:rFonts w:hint="eastAsia"/>
                <w:szCs w:val="21"/>
              </w:rPr>
              <w:t>（</w:t>
            </w:r>
            <w:r>
              <w:rPr>
                <w:szCs w:val="21"/>
              </w:rPr>
              <w:t>环办土壤函〔2017〕1021号</w:t>
            </w:r>
            <w:r>
              <w:rPr>
                <w:rFonts w:hint="eastAsia"/>
                <w:szCs w:val="21"/>
              </w:rPr>
              <w:t>）</w:t>
            </w:r>
            <w:r>
              <w:rPr>
                <w:szCs w:val="21"/>
              </w:rPr>
              <w:t>相关内容，项目未列入需考虑大气沉降影响行业。另外，大气沉降主要考虑重点重金属、持久性有机污染物（特别是二噁英，典型行业有铅蓄电池和危废焚烧等）、难降解有机污染物以及最高法司法解释中规定的（主要有危废、剧毒化合物、重金属、农药等持久性有机污染物）。本项目</w:t>
            </w:r>
            <w:r>
              <w:rPr>
                <w:rFonts w:hint="eastAsia"/>
                <w:szCs w:val="21"/>
              </w:rPr>
              <w:t>不排放含</w:t>
            </w:r>
            <w:r>
              <w:rPr>
                <w:szCs w:val="21"/>
              </w:rPr>
              <w:t>重点重金属</w:t>
            </w:r>
            <w:r>
              <w:rPr>
                <w:rFonts w:hint="eastAsia"/>
                <w:szCs w:val="21"/>
              </w:rPr>
              <w:t>的废气，排放少量的有机废气，但通过二级活性炭吸附装置处理后排放量很少</w:t>
            </w:r>
            <w:r>
              <w:rPr>
                <w:szCs w:val="21"/>
              </w:rPr>
              <w:t>，大气沉降对土壤基本无影响。本项目厂房地面</w:t>
            </w:r>
            <w:r>
              <w:rPr>
                <w:rFonts w:hint="eastAsia"/>
                <w:szCs w:val="21"/>
              </w:rPr>
              <w:t>已做环氧地坪，</w:t>
            </w:r>
            <w:r>
              <w:rPr>
                <w:szCs w:val="21"/>
              </w:rPr>
              <w:t>使用的原料均为密</w:t>
            </w:r>
            <w:r>
              <w:rPr>
                <w:rFonts w:hint="eastAsia"/>
                <w:szCs w:val="21"/>
              </w:rPr>
              <w:t>封包</w:t>
            </w:r>
            <w:r>
              <w:rPr>
                <w:szCs w:val="21"/>
              </w:rPr>
              <w:t>装</w:t>
            </w:r>
            <w:r>
              <w:rPr>
                <w:rFonts w:hint="eastAsia"/>
                <w:szCs w:val="21"/>
              </w:rPr>
              <w:t>，</w:t>
            </w:r>
            <w:r>
              <w:rPr>
                <w:szCs w:val="21"/>
              </w:rPr>
              <w:t>存放于</w:t>
            </w:r>
            <w:r>
              <w:rPr>
                <w:rFonts w:hint="eastAsia"/>
                <w:szCs w:val="21"/>
              </w:rPr>
              <w:t>化学品仓库</w:t>
            </w:r>
            <w:r>
              <w:rPr>
                <w:szCs w:val="21"/>
              </w:rPr>
              <w:t>，在落实本项目提出的措施后，正常工况下，不存在污染途径，可不进行</w:t>
            </w:r>
            <w:r>
              <w:rPr>
                <w:rFonts w:hint="eastAsia"/>
                <w:szCs w:val="21"/>
              </w:rPr>
              <w:t>土壤及</w:t>
            </w:r>
            <w:r>
              <w:rPr>
                <w:szCs w:val="21"/>
              </w:rPr>
              <w:t>地下水评价。</w:t>
            </w:r>
          </w:p>
          <w:p w14:paraId="04D3D13F">
            <w:pPr>
              <w:topLinePunct/>
              <w:adjustRightInd w:val="0"/>
              <w:snapToGrid w:val="0"/>
              <w:spacing w:line="360" w:lineRule="auto"/>
              <w:ind w:firstLine="420" w:firstLineChars="200"/>
              <w:rPr>
                <w:szCs w:val="21"/>
              </w:rPr>
            </w:pPr>
          </w:p>
          <w:p w14:paraId="75243BB9">
            <w:pPr>
              <w:topLinePunct/>
              <w:adjustRightInd w:val="0"/>
              <w:snapToGrid w:val="0"/>
              <w:spacing w:line="360" w:lineRule="auto"/>
              <w:ind w:firstLine="420" w:firstLineChars="200"/>
              <w:rPr>
                <w:szCs w:val="21"/>
              </w:rPr>
            </w:pPr>
          </w:p>
          <w:p w14:paraId="475E38C6">
            <w:pPr>
              <w:topLinePunct/>
              <w:adjustRightInd w:val="0"/>
              <w:snapToGrid w:val="0"/>
              <w:spacing w:line="360" w:lineRule="auto"/>
              <w:ind w:firstLine="420" w:firstLineChars="200"/>
              <w:rPr>
                <w:szCs w:val="21"/>
              </w:rPr>
            </w:pPr>
          </w:p>
          <w:p w14:paraId="73FC9426">
            <w:pPr>
              <w:topLinePunct/>
              <w:adjustRightInd w:val="0"/>
              <w:snapToGrid w:val="0"/>
              <w:spacing w:line="360" w:lineRule="auto"/>
              <w:ind w:firstLine="420" w:firstLineChars="200"/>
              <w:rPr>
                <w:szCs w:val="21"/>
              </w:rPr>
            </w:pPr>
          </w:p>
          <w:p w14:paraId="1F57A661">
            <w:pPr>
              <w:topLinePunct/>
              <w:adjustRightInd w:val="0"/>
              <w:snapToGrid w:val="0"/>
              <w:spacing w:line="360" w:lineRule="auto"/>
              <w:ind w:firstLine="420" w:firstLineChars="200"/>
              <w:rPr>
                <w:szCs w:val="21"/>
              </w:rPr>
            </w:pPr>
          </w:p>
          <w:p w14:paraId="713E4298">
            <w:pPr>
              <w:adjustRightInd w:val="0"/>
              <w:snapToGrid w:val="0"/>
              <w:spacing w:beforeLines="50" w:line="360" w:lineRule="auto"/>
            </w:pPr>
          </w:p>
        </w:tc>
      </w:tr>
      <w:tr w14:paraId="77D9A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 w:type="dxa"/>
            <w:vAlign w:val="center"/>
          </w:tcPr>
          <w:p w14:paraId="45E458C1">
            <w:pPr>
              <w:adjustRightInd w:val="0"/>
              <w:snapToGrid w:val="0"/>
              <w:spacing w:line="360" w:lineRule="auto"/>
              <w:jc w:val="center"/>
              <w:rPr>
                <w:kern w:val="0"/>
                <w:szCs w:val="21"/>
              </w:rPr>
            </w:pPr>
            <w:r>
              <w:rPr>
                <w:kern w:val="0"/>
                <w:szCs w:val="21"/>
              </w:rPr>
              <w:t>环境保护目标</w:t>
            </w:r>
          </w:p>
        </w:tc>
        <w:tc>
          <w:tcPr>
            <w:tcW w:w="8544" w:type="dxa"/>
            <w:vAlign w:val="center"/>
          </w:tcPr>
          <w:p w14:paraId="137F0071">
            <w:pPr>
              <w:spacing w:line="360" w:lineRule="auto"/>
              <w:ind w:firstLine="411" w:firstLineChars="196"/>
              <w:rPr>
                <w:kern w:val="0"/>
                <w:szCs w:val="21"/>
              </w:rPr>
            </w:pPr>
            <w:r>
              <w:rPr>
                <w:kern w:val="0"/>
                <w:szCs w:val="21"/>
              </w:rPr>
              <w:t>项目建设地点位于</w:t>
            </w:r>
            <w:r>
              <w:rPr>
                <w:szCs w:val="21"/>
              </w:rPr>
              <w:t>江苏省常州市金坛区尧塘街道金博路1号</w:t>
            </w:r>
            <w:r>
              <w:rPr>
                <w:kern w:val="0"/>
                <w:szCs w:val="21"/>
              </w:rPr>
              <w:t>，根据项目周边情况，确定建设项目主要环境保护目标见表3-6。</w:t>
            </w:r>
          </w:p>
          <w:p w14:paraId="25A900BC">
            <w:pPr>
              <w:tabs>
                <w:tab w:val="left" w:pos="6510"/>
              </w:tabs>
              <w:jc w:val="center"/>
              <w:rPr>
                <w:b/>
                <w:bCs/>
                <w:szCs w:val="21"/>
              </w:rPr>
            </w:pPr>
            <w:r>
              <w:rPr>
                <w:b/>
                <w:bCs/>
                <w:szCs w:val="21"/>
              </w:rPr>
              <w:t>表3-6  大气环境保护目标一览表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80"/>
              <w:gridCol w:w="742"/>
              <w:gridCol w:w="700"/>
              <w:gridCol w:w="1251"/>
              <w:gridCol w:w="998"/>
              <w:gridCol w:w="2019"/>
              <w:gridCol w:w="598"/>
              <w:gridCol w:w="665"/>
              <w:gridCol w:w="675"/>
            </w:tblGrid>
            <w:tr w14:paraId="2C0F00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vMerge w:val="restart"/>
                  <w:tcMar>
                    <w:left w:w="0" w:type="dxa"/>
                    <w:right w:w="0" w:type="dxa"/>
                  </w:tcMar>
                  <w:vAlign w:val="center"/>
                </w:tcPr>
                <w:p w14:paraId="6E10441E">
                  <w:pPr>
                    <w:adjustRightInd w:val="0"/>
                    <w:snapToGrid w:val="0"/>
                    <w:jc w:val="center"/>
                    <w:rPr>
                      <w:b/>
                      <w:bCs/>
                      <w:szCs w:val="21"/>
                    </w:rPr>
                  </w:pPr>
                  <w:r>
                    <w:rPr>
                      <w:b/>
                      <w:bCs/>
                      <w:szCs w:val="21"/>
                    </w:rPr>
                    <w:t>保护项目</w:t>
                  </w:r>
                </w:p>
              </w:tc>
              <w:tc>
                <w:tcPr>
                  <w:tcW w:w="866" w:type="pct"/>
                  <w:gridSpan w:val="2"/>
                  <w:tcMar>
                    <w:left w:w="0" w:type="dxa"/>
                    <w:right w:w="0" w:type="dxa"/>
                  </w:tcMar>
                  <w:vAlign w:val="center"/>
                </w:tcPr>
                <w:p w14:paraId="28D39B72">
                  <w:pPr>
                    <w:keepNext/>
                    <w:keepLines/>
                    <w:adjustRightInd w:val="0"/>
                    <w:snapToGrid w:val="0"/>
                    <w:jc w:val="center"/>
                    <w:rPr>
                      <w:b/>
                      <w:bCs/>
                      <w:szCs w:val="21"/>
                    </w:rPr>
                  </w:pPr>
                  <w:r>
                    <w:rPr>
                      <w:b/>
                      <w:szCs w:val="21"/>
                    </w:rPr>
                    <w:t>坐标</w:t>
                  </w:r>
                  <w:r>
                    <w:rPr>
                      <w:b/>
                      <w:bCs/>
                    </w:rPr>
                    <w:t>/m</w:t>
                  </w:r>
                </w:p>
              </w:tc>
              <w:tc>
                <w:tcPr>
                  <w:tcW w:w="751" w:type="pct"/>
                  <w:vMerge w:val="restart"/>
                  <w:tcMar>
                    <w:left w:w="0" w:type="dxa"/>
                    <w:right w:w="0" w:type="dxa"/>
                  </w:tcMar>
                  <w:vAlign w:val="center"/>
                </w:tcPr>
                <w:p w14:paraId="05349BF7">
                  <w:pPr>
                    <w:adjustRightInd w:val="0"/>
                    <w:snapToGrid w:val="0"/>
                    <w:jc w:val="center"/>
                    <w:rPr>
                      <w:b/>
                      <w:bCs/>
                      <w:szCs w:val="21"/>
                    </w:rPr>
                  </w:pPr>
                  <w:r>
                    <w:rPr>
                      <w:b/>
                      <w:bCs/>
                      <w:szCs w:val="21"/>
                    </w:rPr>
                    <w:t>保护对象</w:t>
                  </w:r>
                </w:p>
              </w:tc>
              <w:tc>
                <w:tcPr>
                  <w:tcW w:w="599" w:type="pct"/>
                  <w:vMerge w:val="restart"/>
                  <w:tcMar>
                    <w:left w:w="0" w:type="dxa"/>
                    <w:right w:w="0" w:type="dxa"/>
                  </w:tcMar>
                  <w:vAlign w:val="center"/>
                </w:tcPr>
                <w:p w14:paraId="57B50AB4">
                  <w:pPr>
                    <w:adjustRightInd w:val="0"/>
                    <w:snapToGrid w:val="0"/>
                    <w:jc w:val="center"/>
                    <w:rPr>
                      <w:b/>
                      <w:bCs/>
                      <w:szCs w:val="21"/>
                    </w:rPr>
                  </w:pPr>
                  <w:r>
                    <w:rPr>
                      <w:b/>
                      <w:bCs/>
                      <w:szCs w:val="21"/>
                    </w:rPr>
                    <w:t>保护内容</w:t>
                  </w:r>
                </w:p>
              </w:tc>
              <w:tc>
                <w:tcPr>
                  <w:tcW w:w="1212" w:type="pct"/>
                  <w:vMerge w:val="restart"/>
                  <w:tcMar>
                    <w:left w:w="0" w:type="dxa"/>
                    <w:right w:w="0" w:type="dxa"/>
                  </w:tcMar>
                  <w:vAlign w:val="center"/>
                </w:tcPr>
                <w:p w14:paraId="29E6F502">
                  <w:pPr>
                    <w:adjustRightInd w:val="0"/>
                    <w:snapToGrid w:val="0"/>
                    <w:jc w:val="center"/>
                    <w:rPr>
                      <w:b/>
                      <w:bCs/>
                      <w:szCs w:val="21"/>
                    </w:rPr>
                  </w:pPr>
                  <w:r>
                    <w:rPr>
                      <w:b/>
                      <w:bCs/>
                      <w:szCs w:val="21"/>
                    </w:rPr>
                    <w:t>环境功能区</w:t>
                  </w:r>
                </w:p>
              </w:tc>
              <w:tc>
                <w:tcPr>
                  <w:tcW w:w="359" w:type="pct"/>
                  <w:vMerge w:val="restart"/>
                  <w:tcMar>
                    <w:left w:w="0" w:type="dxa"/>
                    <w:right w:w="0" w:type="dxa"/>
                  </w:tcMar>
                  <w:vAlign w:val="center"/>
                </w:tcPr>
                <w:p w14:paraId="2F7B5F5B">
                  <w:pPr>
                    <w:adjustRightInd w:val="0"/>
                    <w:snapToGrid w:val="0"/>
                    <w:jc w:val="center"/>
                    <w:rPr>
                      <w:b/>
                      <w:bCs/>
                      <w:szCs w:val="21"/>
                    </w:rPr>
                  </w:pPr>
                  <w:r>
                    <w:rPr>
                      <w:b/>
                      <w:bCs/>
                      <w:szCs w:val="21"/>
                    </w:rPr>
                    <w:t>相对厂址方位</w:t>
                  </w:r>
                </w:p>
              </w:tc>
              <w:tc>
                <w:tcPr>
                  <w:tcW w:w="399" w:type="pct"/>
                  <w:vMerge w:val="restart"/>
                  <w:tcMar>
                    <w:left w:w="0" w:type="dxa"/>
                    <w:right w:w="0" w:type="dxa"/>
                  </w:tcMar>
                  <w:vAlign w:val="center"/>
                </w:tcPr>
                <w:p w14:paraId="45F302DF">
                  <w:pPr>
                    <w:adjustRightInd w:val="0"/>
                    <w:snapToGrid w:val="0"/>
                    <w:jc w:val="center"/>
                    <w:rPr>
                      <w:b/>
                      <w:bCs/>
                      <w:szCs w:val="21"/>
                    </w:rPr>
                  </w:pPr>
                  <w:r>
                    <w:rPr>
                      <w:b/>
                      <w:bCs/>
                      <w:szCs w:val="21"/>
                    </w:rPr>
                    <w:t>相对坐标原点距离/m</w:t>
                  </w:r>
                </w:p>
              </w:tc>
              <w:tc>
                <w:tcPr>
                  <w:tcW w:w="402" w:type="pct"/>
                  <w:vMerge w:val="restart"/>
                  <w:tcMar>
                    <w:left w:w="0" w:type="dxa"/>
                    <w:right w:w="0" w:type="dxa"/>
                  </w:tcMar>
                  <w:vAlign w:val="center"/>
                </w:tcPr>
                <w:p w14:paraId="73E03EEF">
                  <w:pPr>
                    <w:adjustRightInd w:val="0"/>
                    <w:snapToGrid w:val="0"/>
                    <w:jc w:val="center"/>
                    <w:rPr>
                      <w:b/>
                      <w:bCs/>
                      <w:szCs w:val="21"/>
                    </w:rPr>
                  </w:pPr>
                  <w:r>
                    <w:rPr>
                      <w:b/>
                      <w:bCs/>
                      <w:szCs w:val="21"/>
                    </w:rPr>
                    <w:t>距厂界最近距离/m</w:t>
                  </w:r>
                </w:p>
              </w:tc>
            </w:tr>
            <w:tr w14:paraId="6CE778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vMerge w:val="continue"/>
                  <w:tcMar>
                    <w:left w:w="0" w:type="dxa"/>
                    <w:right w:w="0" w:type="dxa"/>
                  </w:tcMar>
                  <w:vAlign w:val="center"/>
                </w:tcPr>
                <w:p w14:paraId="0E640FED">
                  <w:pPr>
                    <w:rPr>
                      <w:szCs w:val="21"/>
                    </w:rPr>
                  </w:pPr>
                </w:p>
              </w:tc>
              <w:tc>
                <w:tcPr>
                  <w:tcW w:w="446" w:type="pct"/>
                  <w:tcMar>
                    <w:left w:w="0" w:type="dxa"/>
                    <w:right w:w="0" w:type="dxa"/>
                  </w:tcMar>
                  <w:vAlign w:val="center"/>
                </w:tcPr>
                <w:p w14:paraId="4C8A0F8D">
                  <w:pPr>
                    <w:keepNext/>
                    <w:keepLines/>
                    <w:adjustRightInd w:val="0"/>
                    <w:snapToGrid w:val="0"/>
                    <w:jc w:val="center"/>
                    <w:rPr>
                      <w:b/>
                      <w:bCs/>
                      <w:szCs w:val="21"/>
                    </w:rPr>
                  </w:pPr>
                  <w:r>
                    <w:rPr>
                      <w:b/>
                      <w:bCs/>
                      <w:szCs w:val="21"/>
                    </w:rPr>
                    <w:t>X</w:t>
                  </w:r>
                </w:p>
              </w:tc>
              <w:tc>
                <w:tcPr>
                  <w:tcW w:w="420" w:type="pct"/>
                  <w:tcMar>
                    <w:left w:w="0" w:type="dxa"/>
                    <w:right w:w="0" w:type="dxa"/>
                  </w:tcMar>
                  <w:vAlign w:val="center"/>
                </w:tcPr>
                <w:p w14:paraId="4AEB5C7E">
                  <w:pPr>
                    <w:keepNext/>
                    <w:keepLines/>
                    <w:adjustRightInd w:val="0"/>
                    <w:snapToGrid w:val="0"/>
                    <w:jc w:val="center"/>
                    <w:rPr>
                      <w:b/>
                      <w:bCs/>
                      <w:szCs w:val="21"/>
                    </w:rPr>
                  </w:pPr>
                  <w:r>
                    <w:rPr>
                      <w:b/>
                      <w:bCs/>
                      <w:szCs w:val="21"/>
                    </w:rPr>
                    <w:t>Y</w:t>
                  </w:r>
                </w:p>
              </w:tc>
              <w:tc>
                <w:tcPr>
                  <w:tcW w:w="751" w:type="pct"/>
                  <w:vMerge w:val="continue"/>
                  <w:tcMar>
                    <w:left w:w="0" w:type="dxa"/>
                    <w:right w:w="0" w:type="dxa"/>
                  </w:tcMar>
                  <w:vAlign w:val="center"/>
                </w:tcPr>
                <w:p w14:paraId="04775B01">
                  <w:pPr>
                    <w:rPr>
                      <w:szCs w:val="21"/>
                    </w:rPr>
                  </w:pPr>
                </w:p>
              </w:tc>
              <w:tc>
                <w:tcPr>
                  <w:tcW w:w="599" w:type="pct"/>
                  <w:vMerge w:val="continue"/>
                  <w:tcMar>
                    <w:left w:w="0" w:type="dxa"/>
                    <w:right w:w="0" w:type="dxa"/>
                  </w:tcMar>
                  <w:vAlign w:val="center"/>
                </w:tcPr>
                <w:p w14:paraId="5F95B3A8">
                  <w:pPr>
                    <w:rPr>
                      <w:szCs w:val="21"/>
                    </w:rPr>
                  </w:pPr>
                </w:p>
              </w:tc>
              <w:tc>
                <w:tcPr>
                  <w:tcW w:w="1212" w:type="pct"/>
                  <w:vMerge w:val="continue"/>
                  <w:tcMar>
                    <w:left w:w="0" w:type="dxa"/>
                    <w:right w:w="0" w:type="dxa"/>
                  </w:tcMar>
                  <w:vAlign w:val="center"/>
                </w:tcPr>
                <w:p w14:paraId="1F26BD8D">
                  <w:pPr>
                    <w:rPr>
                      <w:szCs w:val="21"/>
                    </w:rPr>
                  </w:pPr>
                </w:p>
              </w:tc>
              <w:tc>
                <w:tcPr>
                  <w:tcW w:w="359" w:type="pct"/>
                  <w:vMerge w:val="continue"/>
                  <w:tcMar>
                    <w:left w:w="0" w:type="dxa"/>
                    <w:right w:w="0" w:type="dxa"/>
                  </w:tcMar>
                  <w:vAlign w:val="center"/>
                </w:tcPr>
                <w:p w14:paraId="20E7380A">
                  <w:pPr>
                    <w:rPr>
                      <w:szCs w:val="21"/>
                    </w:rPr>
                  </w:pPr>
                </w:p>
              </w:tc>
              <w:tc>
                <w:tcPr>
                  <w:tcW w:w="399" w:type="pct"/>
                  <w:vMerge w:val="continue"/>
                  <w:tcMar>
                    <w:left w:w="0" w:type="dxa"/>
                    <w:right w:w="0" w:type="dxa"/>
                  </w:tcMar>
                  <w:vAlign w:val="center"/>
                </w:tcPr>
                <w:p w14:paraId="79983EA3">
                  <w:pPr>
                    <w:rPr>
                      <w:szCs w:val="21"/>
                    </w:rPr>
                  </w:pPr>
                </w:p>
              </w:tc>
              <w:tc>
                <w:tcPr>
                  <w:tcW w:w="402" w:type="pct"/>
                  <w:vMerge w:val="continue"/>
                  <w:tcMar>
                    <w:left w:w="0" w:type="dxa"/>
                    <w:right w:w="0" w:type="dxa"/>
                  </w:tcMar>
                  <w:vAlign w:val="center"/>
                </w:tcPr>
                <w:p w14:paraId="4791C87C">
                  <w:pPr>
                    <w:rPr>
                      <w:szCs w:val="21"/>
                    </w:rPr>
                  </w:pPr>
                </w:p>
              </w:tc>
            </w:tr>
            <w:tr w14:paraId="2BECB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9"/>
                  <w:tcMar>
                    <w:left w:w="0" w:type="dxa"/>
                    <w:right w:w="0" w:type="dxa"/>
                  </w:tcMar>
                  <w:vAlign w:val="center"/>
                </w:tcPr>
                <w:p w14:paraId="7FEF26F5">
                  <w:pPr>
                    <w:jc w:val="center"/>
                    <w:rPr>
                      <w:szCs w:val="21"/>
                    </w:rPr>
                  </w:pPr>
                  <w:r>
                    <w:rPr>
                      <w:szCs w:val="21"/>
                    </w:rPr>
                    <w:t>以厂区</w:t>
                  </w:r>
                  <w:r>
                    <w:rPr>
                      <w:rFonts w:hint="eastAsia"/>
                      <w:szCs w:val="21"/>
                    </w:rPr>
                    <w:t>西南角</w:t>
                  </w:r>
                  <w:r>
                    <w:rPr>
                      <w:szCs w:val="21"/>
                    </w:rPr>
                    <w:t>为坐标原点（0，0）</w:t>
                  </w:r>
                </w:p>
              </w:tc>
            </w:tr>
            <w:tr w14:paraId="5737CF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tcMar>
                    <w:left w:w="0" w:type="dxa"/>
                    <w:right w:w="0" w:type="dxa"/>
                  </w:tcMar>
                  <w:vAlign w:val="center"/>
                </w:tcPr>
                <w:p w14:paraId="63B0F6CE">
                  <w:pPr>
                    <w:adjustRightInd w:val="0"/>
                    <w:snapToGrid w:val="0"/>
                    <w:jc w:val="center"/>
                    <w:rPr>
                      <w:szCs w:val="21"/>
                    </w:rPr>
                  </w:pPr>
                  <w:r>
                    <w:rPr>
                      <w:szCs w:val="21"/>
                    </w:rPr>
                    <w:t>大气环境</w:t>
                  </w:r>
                </w:p>
              </w:tc>
              <w:tc>
                <w:tcPr>
                  <w:tcW w:w="446" w:type="pct"/>
                  <w:tcMar>
                    <w:left w:w="0" w:type="dxa"/>
                    <w:right w:w="0" w:type="dxa"/>
                  </w:tcMar>
                  <w:vAlign w:val="center"/>
                </w:tcPr>
                <w:p w14:paraId="706CD8F3">
                  <w:pPr>
                    <w:adjustRightInd w:val="0"/>
                    <w:snapToGrid w:val="0"/>
                    <w:jc w:val="center"/>
                    <w:rPr>
                      <w:szCs w:val="21"/>
                    </w:rPr>
                  </w:pPr>
                  <w:r>
                    <w:rPr>
                      <w:szCs w:val="21"/>
                    </w:rPr>
                    <w:t>-</w:t>
                  </w:r>
                  <w:r>
                    <w:rPr>
                      <w:rFonts w:hint="eastAsia"/>
                      <w:szCs w:val="21"/>
                    </w:rPr>
                    <w:t>105</w:t>
                  </w:r>
                </w:p>
              </w:tc>
              <w:tc>
                <w:tcPr>
                  <w:tcW w:w="420" w:type="pct"/>
                  <w:tcMar>
                    <w:left w:w="0" w:type="dxa"/>
                    <w:right w:w="0" w:type="dxa"/>
                  </w:tcMar>
                  <w:vAlign w:val="center"/>
                </w:tcPr>
                <w:p w14:paraId="12BDA935">
                  <w:pPr>
                    <w:adjustRightInd w:val="0"/>
                    <w:snapToGrid w:val="0"/>
                    <w:jc w:val="center"/>
                    <w:rPr>
                      <w:szCs w:val="21"/>
                    </w:rPr>
                  </w:pPr>
                  <w:r>
                    <w:rPr>
                      <w:rFonts w:hint="eastAsia"/>
                      <w:szCs w:val="21"/>
                    </w:rPr>
                    <w:t>-21</w:t>
                  </w:r>
                </w:p>
              </w:tc>
              <w:tc>
                <w:tcPr>
                  <w:tcW w:w="751" w:type="pct"/>
                  <w:tcMar>
                    <w:left w:w="0" w:type="dxa"/>
                    <w:right w:w="0" w:type="dxa"/>
                  </w:tcMar>
                  <w:vAlign w:val="center"/>
                </w:tcPr>
                <w:p w14:paraId="05FD764F">
                  <w:pPr>
                    <w:adjustRightInd w:val="0"/>
                    <w:snapToGrid w:val="0"/>
                    <w:jc w:val="center"/>
                    <w:rPr>
                      <w:szCs w:val="21"/>
                    </w:rPr>
                  </w:pPr>
                  <w:r>
                    <w:rPr>
                      <w:rFonts w:hint="eastAsia"/>
                      <w:szCs w:val="21"/>
                    </w:rPr>
                    <w:t>上汤村</w:t>
                  </w:r>
                </w:p>
              </w:tc>
              <w:tc>
                <w:tcPr>
                  <w:tcW w:w="599" w:type="pct"/>
                  <w:tcMar>
                    <w:left w:w="0" w:type="dxa"/>
                    <w:right w:w="0" w:type="dxa"/>
                  </w:tcMar>
                  <w:vAlign w:val="center"/>
                </w:tcPr>
                <w:p w14:paraId="089CDC7A">
                  <w:pPr>
                    <w:adjustRightInd w:val="0"/>
                    <w:snapToGrid w:val="0"/>
                    <w:jc w:val="center"/>
                    <w:rPr>
                      <w:szCs w:val="21"/>
                    </w:rPr>
                  </w:pPr>
                  <w:r>
                    <w:rPr>
                      <w:szCs w:val="21"/>
                    </w:rPr>
                    <w:t>人群/约</w:t>
                  </w:r>
                  <w:r>
                    <w:rPr>
                      <w:rFonts w:hint="eastAsia"/>
                      <w:szCs w:val="21"/>
                    </w:rPr>
                    <w:t>200</w:t>
                  </w:r>
                  <w:r>
                    <w:rPr>
                      <w:szCs w:val="21"/>
                    </w:rPr>
                    <w:t>户</w:t>
                  </w:r>
                </w:p>
              </w:tc>
              <w:tc>
                <w:tcPr>
                  <w:tcW w:w="1212" w:type="pct"/>
                  <w:tcMar>
                    <w:left w:w="0" w:type="dxa"/>
                    <w:right w:w="0" w:type="dxa"/>
                  </w:tcMar>
                  <w:vAlign w:val="center"/>
                </w:tcPr>
                <w:p w14:paraId="77C5D9DC">
                  <w:pPr>
                    <w:adjustRightInd w:val="0"/>
                    <w:snapToGrid w:val="0"/>
                    <w:jc w:val="center"/>
                    <w:rPr>
                      <w:szCs w:val="21"/>
                    </w:rPr>
                  </w:pPr>
                  <w:r>
                    <w:rPr>
                      <w:szCs w:val="21"/>
                    </w:rPr>
                    <w:t>《环境空气质量标准》</w:t>
                  </w:r>
                </w:p>
                <w:p w14:paraId="0655B1D5">
                  <w:pPr>
                    <w:adjustRightInd w:val="0"/>
                    <w:snapToGrid w:val="0"/>
                    <w:jc w:val="center"/>
                    <w:rPr>
                      <w:szCs w:val="21"/>
                    </w:rPr>
                  </w:pPr>
                  <w:r>
                    <w:rPr>
                      <w:szCs w:val="21"/>
                    </w:rPr>
                    <w:t>（GB3095-2012）中二级标准</w:t>
                  </w:r>
                </w:p>
              </w:tc>
              <w:tc>
                <w:tcPr>
                  <w:tcW w:w="359" w:type="pct"/>
                  <w:tcMar>
                    <w:left w:w="0" w:type="dxa"/>
                    <w:right w:w="0" w:type="dxa"/>
                  </w:tcMar>
                  <w:vAlign w:val="center"/>
                </w:tcPr>
                <w:p w14:paraId="2190EEFD">
                  <w:pPr>
                    <w:adjustRightInd w:val="0"/>
                    <w:snapToGrid w:val="0"/>
                    <w:jc w:val="center"/>
                    <w:rPr>
                      <w:szCs w:val="21"/>
                    </w:rPr>
                  </w:pPr>
                  <w:r>
                    <w:rPr>
                      <w:rFonts w:hint="eastAsia"/>
                      <w:szCs w:val="21"/>
                    </w:rPr>
                    <w:t>SW</w:t>
                  </w:r>
                </w:p>
              </w:tc>
              <w:tc>
                <w:tcPr>
                  <w:tcW w:w="399" w:type="pct"/>
                  <w:tcMar>
                    <w:left w:w="0" w:type="dxa"/>
                    <w:right w:w="0" w:type="dxa"/>
                  </w:tcMar>
                  <w:vAlign w:val="center"/>
                </w:tcPr>
                <w:p w14:paraId="6DDBF2D4">
                  <w:pPr>
                    <w:adjustRightInd w:val="0"/>
                    <w:snapToGrid w:val="0"/>
                    <w:jc w:val="center"/>
                    <w:rPr>
                      <w:szCs w:val="21"/>
                    </w:rPr>
                  </w:pPr>
                  <w:r>
                    <w:rPr>
                      <w:rFonts w:hint="eastAsia"/>
                      <w:szCs w:val="21"/>
                    </w:rPr>
                    <w:t>75</w:t>
                  </w:r>
                </w:p>
              </w:tc>
              <w:tc>
                <w:tcPr>
                  <w:tcW w:w="402" w:type="pct"/>
                  <w:tcMar>
                    <w:left w:w="0" w:type="dxa"/>
                    <w:right w:w="0" w:type="dxa"/>
                  </w:tcMar>
                  <w:vAlign w:val="center"/>
                </w:tcPr>
                <w:p w14:paraId="582098BA">
                  <w:pPr>
                    <w:adjustRightInd w:val="0"/>
                    <w:snapToGrid w:val="0"/>
                    <w:jc w:val="center"/>
                    <w:rPr>
                      <w:szCs w:val="21"/>
                    </w:rPr>
                  </w:pPr>
                  <w:r>
                    <w:rPr>
                      <w:rFonts w:hint="eastAsia"/>
                      <w:szCs w:val="21"/>
                    </w:rPr>
                    <w:t>75</w:t>
                  </w:r>
                </w:p>
              </w:tc>
            </w:tr>
            <w:tr w14:paraId="09F6B9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vMerge w:val="restart"/>
                  <w:tcMar>
                    <w:left w:w="0" w:type="dxa"/>
                    <w:right w:w="0" w:type="dxa"/>
                  </w:tcMar>
                  <w:vAlign w:val="center"/>
                </w:tcPr>
                <w:p w14:paraId="6D17C7CD">
                  <w:pPr>
                    <w:adjustRightInd w:val="0"/>
                    <w:snapToGrid w:val="0"/>
                    <w:jc w:val="center"/>
                    <w:rPr>
                      <w:szCs w:val="21"/>
                    </w:rPr>
                  </w:pPr>
                  <w:r>
                    <w:rPr>
                      <w:szCs w:val="21"/>
                    </w:rPr>
                    <w:t>地表水环境</w:t>
                  </w:r>
                </w:p>
              </w:tc>
              <w:tc>
                <w:tcPr>
                  <w:tcW w:w="446" w:type="pct"/>
                  <w:tcMar>
                    <w:left w:w="0" w:type="dxa"/>
                    <w:right w:w="0" w:type="dxa"/>
                  </w:tcMar>
                  <w:vAlign w:val="center"/>
                </w:tcPr>
                <w:p w14:paraId="3CE0B24C">
                  <w:pPr>
                    <w:adjustRightInd w:val="0"/>
                    <w:snapToGrid w:val="0"/>
                    <w:jc w:val="center"/>
                    <w:rPr>
                      <w:szCs w:val="21"/>
                    </w:rPr>
                  </w:pPr>
                  <w:r>
                    <w:rPr>
                      <w:rFonts w:hint="eastAsia"/>
                      <w:szCs w:val="21"/>
                    </w:rPr>
                    <w:t>4500</w:t>
                  </w:r>
                </w:p>
              </w:tc>
              <w:tc>
                <w:tcPr>
                  <w:tcW w:w="420" w:type="pct"/>
                  <w:tcMar>
                    <w:left w:w="0" w:type="dxa"/>
                    <w:right w:w="0" w:type="dxa"/>
                  </w:tcMar>
                  <w:vAlign w:val="center"/>
                </w:tcPr>
                <w:p w14:paraId="7D44CC55">
                  <w:pPr>
                    <w:adjustRightInd w:val="0"/>
                    <w:snapToGrid w:val="0"/>
                    <w:jc w:val="center"/>
                    <w:rPr>
                      <w:szCs w:val="21"/>
                    </w:rPr>
                  </w:pPr>
                  <w:r>
                    <w:rPr>
                      <w:rFonts w:hint="eastAsia"/>
                      <w:szCs w:val="21"/>
                    </w:rPr>
                    <w:t>5700</w:t>
                  </w:r>
                </w:p>
              </w:tc>
              <w:tc>
                <w:tcPr>
                  <w:tcW w:w="751" w:type="pct"/>
                  <w:tcMar>
                    <w:left w:w="0" w:type="dxa"/>
                    <w:right w:w="0" w:type="dxa"/>
                  </w:tcMar>
                  <w:vAlign w:val="center"/>
                </w:tcPr>
                <w:p w14:paraId="178EF94C">
                  <w:pPr>
                    <w:adjustRightInd w:val="0"/>
                    <w:snapToGrid w:val="0"/>
                    <w:jc w:val="center"/>
                    <w:rPr>
                      <w:szCs w:val="21"/>
                    </w:rPr>
                  </w:pPr>
                  <w:r>
                    <w:rPr>
                      <w:szCs w:val="21"/>
                    </w:rPr>
                    <w:t>尧塘河</w:t>
                  </w:r>
                </w:p>
              </w:tc>
              <w:tc>
                <w:tcPr>
                  <w:tcW w:w="599" w:type="pct"/>
                  <w:tcMar>
                    <w:left w:w="0" w:type="dxa"/>
                    <w:right w:w="0" w:type="dxa"/>
                  </w:tcMar>
                  <w:vAlign w:val="center"/>
                </w:tcPr>
                <w:p w14:paraId="19665BE2">
                  <w:pPr>
                    <w:adjustRightInd w:val="0"/>
                    <w:snapToGrid w:val="0"/>
                    <w:jc w:val="center"/>
                    <w:rPr>
                      <w:szCs w:val="21"/>
                    </w:rPr>
                  </w:pPr>
                  <w:r>
                    <w:rPr>
                      <w:szCs w:val="21"/>
                    </w:rPr>
                    <w:t>小河</w:t>
                  </w:r>
                </w:p>
              </w:tc>
              <w:tc>
                <w:tcPr>
                  <w:tcW w:w="1212" w:type="pct"/>
                  <w:vMerge w:val="restart"/>
                  <w:tcMar>
                    <w:left w:w="0" w:type="dxa"/>
                    <w:right w:w="0" w:type="dxa"/>
                  </w:tcMar>
                  <w:vAlign w:val="center"/>
                </w:tcPr>
                <w:p w14:paraId="60663DC5">
                  <w:pPr>
                    <w:adjustRightInd w:val="0"/>
                    <w:snapToGrid w:val="0"/>
                    <w:jc w:val="center"/>
                    <w:rPr>
                      <w:szCs w:val="21"/>
                    </w:rPr>
                  </w:pPr>
                  <w:r>
                    <w:rPr>
                      <w:szCs w:val="21"/>
                    </w:rPr>
                    <w:t>《地表水环境质量标准》（GB3838-2002）III类</w:t>
                  </w:r>
                </w:p>
              </w:tc>
              <w:tc>
                <w:tcPr>
                  <w:tcW w:w="359" w:type="pct"/>
                  <w:tcMar>
                    <w:left w:w="0" w:type="dxa"/>
                    <w:right w:w="0" w:type="dxa"/>
                  </w:tcMar>
                  <w:vAlign w:val="center"/>
                </w:tcPr>
                <w:p w14:paraId="53AC73BF">
                  <w:pPr>
                    <w:adjustRightInd w:val="0"/>
                    <w:snapToGrid w:val="0"/>
                    <w:jc w:val="center"/>
                    <w:rPr>
                      <w:szCs w:val="21"/>
                    </w:rPr>
                  </w:pPr>
                  <w:r>
                    <w:rPr>
                      <w:szCs w:val="21"/>
                    </w:rPr>
                    <w:t>NE</w:t>
                  </w:r>
                </w:p>
              </w:tc>
              <w:tc>
                <w:tcPr>
                  <w:tcW w:w="399" w:type="pct"/>
                  <w:tcMar>
                    <w:left w:w="0" w:type="dxa"/>
                    <w:right w:w="0" w:type="dxa"/>
                  </w:tcMar>
                  <w:vAlign w:val="center"/>
                </w:tcPr>
                <w:p w14:paraId="197651CB">
                  <w:pPr>
                    <w:adjustRightInd w:val="0"/>
                    <w:snapToGrid w:val="0"/>
                    <w:jc w:val="center"/>
                    <w:rPr>
                      <w:szCs w:val="21"/>
                    </w:rPr>
                  </w:pPr>
                  <w:r>
                    <w:rPr>
                      <w:rFonts w:hint="eastAsia"/>
                      <w:szCs w:val="21"/>
                    </w:rPr>
                    <w:t>7300</w:t>
                  </w:r>
                </w:p>
              </w:tc>
              <w:tc>
                <w:tcPr>
                  <w:tcW w:w="402" w:type="pct"/>
                  <w:tcMar>
                    <w:left w:w="0" w:type="dxa"/>
                    <w:right w:w="0" w:type="dxa"/>
                  </w:tcMar>
                  <w:vAlign w:val="center"/>
                </w:tcPr>
                <w:p w14:paraId="40A0F134">
                  <w:pPr>
                    <w:adjustRightInd w:val="0"/>
                    <w:snapToGrid w:val="0"/>
                    <w:jc w:val="center"/>
                    <w:rPr>
                      <w:szCs w:val="21"/>
                    </w:rPr>
                  </w:pPr>
                  <w:r>
                    <w:rPr>
                      <w:rFonts w:hint="eastAsia"/>
                      <w:szCs w:val="21"/>
                    </w:rPr>
                    <w:t>6950</w:t>
                  </w:r>
                </w:p>
              </w:tc>
            </w:tr>
            <w:tr w14:paraId="14B1B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vMerge w:val="continue"/>
                  <w:tcMar>
                    <w:left w:w="0" w:type="dxa"/>
                    <w:right w:w="0" w:type="dxa"/>
                  </w:tcMar>
                  <w:vAlign w:val="center"/>
                </w:tcPr>
                <w:p w14:paraId="508C1719">
                  <w:pPr>
                    <w:adjustRightInd w:val="0"/>
                    <w:snapToGrid w:val="0"/>
                    <w:jc w:val="center"/>
                    <w:rPr>
                      <w:szCs w:val="21"/>
                    </w:rPr>
                  </w:pPr>
                </w:p>
              </w:tc>
              <w:tc>
                <w:tcPr>
                  <w:tcW w:w="446" w:type="pct"/>
                  <w:tcMar>
                    <w:left w:w="0" w:type="dxa"/>
                    <w:right w:w="0" w:type="dxa"/>
                  </w:tcMar>
                  <w:vAlign w:val="center"/>
                </w:tcPr>
                <w:p w14:paraId="4976D0D8">
                  <w:pPr>
                    <w:adjustRightInd w:val="0"/>
                    <w:snapToGrid w:val="0"/>
                    <w:jc w:val="center"/>
                    <w:rPr>
                      <w:szCs w:val="21"/>
                    </w:rPr>
                  </w:pPr>
                  <w:r>
                    <w:rPr>
                      <w:rFonts w:hint="eastAsia"/>
                      <w:szCs w:val="21"/>
                    </w:rPr>
                    <w:t>-439</w:t>
                  </w:r>
                </w:p>
              </w:tc>
              <w:tc>
                <w:tcPr>
                  <w:tcW w:w="420" w:type="pct"/>
                  <w:tcMar>
                    <w:left w:w="0" w:type="dxa"/>
                    <w:right w:w="0" w:type="dxa"/>
                  </w:tcMar>
                  <w:vAlign w:val="center"/>
                </w:tcPr>
                <w:p w14:paraId="258D0902">
                  <w:pPr>
                    <w:adjustRightInd w:val="0"/>
                    <w:snapToGrid w:val="0"/>
                    <w:jc w:val="center"/>
                    <w:rPr>
                      <w:szCs w:val="21"/>
                    </w:rPr>
                  </w:pPr>
                  <w:r>
                    <w:rPr>
                      <w:szCs w:val="21"/>
                    </w:rPr>
                    <w:t>-</w:t>
                  </w:r>
                  <w:r>
                    <w:rPr>
                      <w:rFonts w:hint="eastAsia"/>
                      <w:szCs w:val="21"/>
                    </w:rPr>
                    <w:t>752</w:t>
                  </w:r>
                </w:p>
              </w:tc>
              <w:tc>
                <w:tcPr>
                  <w:tcW w:w="751" w:type="pct"/>
                  <w:tcMar>
                    <w:left w:w="0" w:type="dxa"/>
                    <w:right w:w="0" w:type="dxa"/>
                  </w:tcMar>
                  <w:vAlign w:val="center"/>
                </w:tcPr>
                <w:p w14:paraId="67BC6FF3">
                  <w:pPr>
                    <w:adjustRightInd w:val="0"/>
                    <w:snapToGrid w:val="0"/>
                    <w:jc w:val="center"/>
                    <w:rPr>
                      <w:szCs w:val="21"/>
                    </w:rPr>
                  </w:pPr>
                  <w:r>
                    <w:rPr>
                      <w:szCs w:val="21"/>
                    </w:rPr>
                    <w:t>湟里河</w:t>
                  </w:r>
                </w:p>
              </w:tc>
              <w:tc>
                <w:tcPr>
                  <w:tcW w:w="599" w:type="pct"/>
                  <w:tcMar>
                    <w:left w:w="0" w:type="dxa"/>
                    <w:right w:w="0" w:type="dxa"/>
                  </w:tcMar>
                  <w:vAlign w:val="center"/>
                </w:tcPr>
                <w:p w14:paraId="30188244">
                  <w:pPr>
                    <w:adjustRightInd w:val="0"/>
                    <w:snapToGrid w:val="0"/>
                    <w:jc w:val="center"/>
                    <w:rPr>
                      <w:szCs w:val="21"/>
                    </w:rPr>
                  </w:pPr>
                  <w:r>
                    <w:rPr>
                      <w:szCs w:val="21"/>
                    </w:rPr>
                    <w:t>小河</w:t>
                  </w:r>
                </w:p>
              </w:tc>
              <w:tc>
                <w:tcPr>
                  <w:tcW w:w="1212" w:type="pct"/>
                  <w:vMerge w:val="continue"/>
                  <w:tcMar>
                    <w:left w:w="0" w:type="dxa"/>
                    <w:right w:w="0" w:type="dxa"/>
                  </w:tcMar>
                  <w:vAlign w:val="center"/>
                </w:tcPr>
                <w:p w14:paraId="2175E2A1">
                  <w:pPr>
                    <w:adjustRightInd w:val="0"/>
                    <w:snapToGrid w:val="0"/>
                    <w:jc w:val="center"/>
                    <w:rPr>
                      <w:szCs w:val="21"/>
                    </w:rPr>
                  </w:pPr>
                </w:p>
              </w:tc>
              <w:tc>
                <w:tcPr>
                  <w:tcW w:w="359" w:type="pct"/>
                  <w:tcMar>
                    <w:left w:w="0" w:type="dxa"/>
                    <w:right w:w="0" w:type="dxa"/>
                  </w:tcMar>
                  <w:vAlign w:val="center"/>
                </w:tcPr>
                <w:p w14:paraId="30D8DCDA">
                  <w:pPr>
                    <w:adjustRightInd w:val="0"/>
                    <w:snapToGrid w:val="0"/>
                    <w:jc w:val="center"/>
                    <w:rPr>
                      <w:szCs w:val="21"/>
                    </w:rPr>
                  </w:pPr>
                  <w:r>
                    <w:rPr>
                      <w:szCs w:val="21"/>
                    </w:rPr>
                    <w:t>S</w:t>
                  </w:r>
                </w:p>
              </w:tc>
              <w:tc>
                <w:tcPr>
                  <w:tcW w:w="399" w:type="pct"/>
                  <w:tcMar>
                    <w:left w:w="0" w:type="dxa"/>
                    <w:right w:w="0" w:type="dxa"/>
                  </w:tcMar>
                  <w:vAlign w:val="center"/>
                </w:tcPr>
                <w:p w14:paraId="282A41BE">
                  <w:pPr>
                    <w:adjustRightInd w:val="0"/>
                    <w:snapToGrid w:val="0"/>
                    <w:jc w:val="center"/>
                    <w:rPr>
                      <w:szCs w:val="21"/>
                    </w:rPr>
                  </w:pPr>
                  <w:r>
                    <w:rPr>
                      <w:rFonts w:hint="eastAsia"/>
                      <w:szCs w:val="21"/>
                    </w:rPr>
                    <w:t>881</w:t>
                  </w:r>
                </w:p>
              </w:tc>
              <w:tc>
                <w:tcPr>
                  <w:tcW w:w="402" w:type="pct"/>
                  <w:tcMar>
                    <w:left w:w="0" w:type="dxa"/>
                    <w:right w:w="0" w:type="dxa"/>
                  </w:tcMar>
                  <w:vAlign w:val="center"/>
                </w:tcPr>
                <w:p w14:paraId="56F645AB">
                  <w:pPr>
                    <w:adjustRightInd w:val="0"/>
                    <w:snapToGrid w:val="0"/>
                    <w:jc w:val="center"/>
                    <w:rPr>
                      <w:szCs w:val="21"/>
                    </w:rPr>
                  </w:pPr>
                  <w:r>
                    <w:rPr>
                      <w:rFonts w:hint="eastAsia"/>
                      <w:szCs w:val="21"/>
                    </w:rPr>
                    <w:t>881</w:t>
                  </w:r>
                </w:p>
              </w:tc>
            </w:tr>
            <w:tr w14:paraId="49B699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tcMar>
                    <w:left w:w="0" w:type="dxa"/>
                    <w:right w:w="0" w:type="dxa"/>
                  </w:tcMar>
                  <w:vAlign w:val="center"/>
                </w:tcPr>
                <w:p w14:paraId="630A0B1A">
                  <w:pPr>
                    <w:adjustRightInd w:val="0"/>
                    <w:snapToGrid w:val="0"/>
                    <w:jc w:val="center"/>
                    <w:rPr>
                      <w:szCs w:val="21"/>
                    </w:rPr>
                  </w:pPr>
                  <w:r>
                    <w:rPr>
                      <w:szCs w:val="21"/>
                    </w:rPr>
                    <w:t>声环境</w:t>
                  </w:r>
                </w:p>
              </w:tc>
              <w:tc>
                <w:tcPr>
                  <w:tcW w:w="446" w:type="pct"/>
                  <w:tcMar>
                    <w:left w:w="0" w:type="dxa"/>
                    <w:right w:w="0" w:type="dxa"/>
                  </w:tcMar>
                  <w:vAlign w:val="center"/>
                </w:tcPr>
                <w:p w14:paraId="035F48BF">
                  <w:pPr>
                    <w:adjustRightInd w:val="0"/>
                    <w:snapToGrid w:val="0"/>
                    <w:jc w:val="center"/>
                    <w:rPr>
                      <w:szCs w:val="21"/>
                    </w:rPr>
                  </w:pPr>
                  <w:r>
                    <w:rPr>
                      <w:szCs w:val="21"/>
                    </w:rPr>
                    <w:t>/</w:t>
                  </w:r>
                </w:p>
              </w:tc>
              <w:tc>
                <w:tcPr>
                  <w:tcW w:w="420" w:type="pct"/>
                  <w:tcMar>
                    <w:left w:w="0" w:type="dxa"/>
                    <w:right w:w="0" w:type="dxa"/>
                  </w:tcMar>
                  <w:vAlign w:val="center"/>
                </w:tcPr>
                <w:p w14:paraId="30F5B8C8">
                  <w:pPr>
                    <w:adjustRightInd w:val="0"/>
                    <w:snapToGrid w:val="0"/>
                    <w:jc w:val="center"/>
                    <w:rPr>
                      <w:szCs w:val="21"/>
                    </w:rPr>
                  </w:pPr>
                  <w:r>
                    <w:rPr>
                      <w:szCs w:val="21"/>
                    </w:rPr>
                    <w:t>/</w:t>
                  </w:r>
                </w:p>
              </w:tc>
              <w:tc>
                <w:tcPr>
                  <w:tcW w:w="751" w:type="pct"/>
                  <w:tcMar>
                    <w:left w:w="0" w:type="dxa"/>
                    <w:right w:w="0" w:type="dxa"/>
                  </w:tcMar>
                  <w:vAlign w:val="center"/>
                </w:tcPr>
                <w:p w14:paraId="78BAD1BB">
                  <w:pPr>
                    <w:adjustRightInd w:val="0"/>
                    <w:snapToGrid w:val="0"/>
                    <w:jc w:val="center"/>
                    <w:rPr>
                      <w:szCs w:val="21"/>
                    </w:rPr>
                  </w:pPr>
                  <w:r>
                    <w:rPr>
                      <w:szCs w:val="21"/>
                    </w:rPr>
                    <w:t>厂界</w:t>
                  </w:r>
                </w:p>
              </w:tc>
              <w:tc>
                <w:tcPr>
                  <w:tcW w:w="599" w:type="pct"/>
                  <w:tcMar>
                    <w:left w:w="0" w:type="dxa"/>
                    <w:right w:w="0" w:type="dxa"/>
                  </w:tcMar>
                  <w:vAlign w:val="center"/>
                </w:tcPr>
                <w:p w14:paraId="6CE66801">
                  <w:pPr>
                    <w:adjustRightInd w:val="0"/>
                    <w:snapToGrid w:val="0"/>
                    <w:jc w:val="center"/>
                    <w:rPr>
                      <w:szCs w:val="21"/>
                    </w:rPr>
                  </w:pPr>
                  <w:r>
                    <w:rPr>
                      <w:szCs w:val="21"/>
                    </w:rPr>
                    <w:t>/</w:t>
                  </w:r>
                </w:p>
              </w:tc>
              <w:tc>
                <w:tcPr>
                  <w:tcW w:w="1212" w:type="pct"/>
                  <w:tcMar>
                    <w:left w:w="0" w:type="dxa"/>
                    <w:right w:w="0" w:type="dxa"/>
                  </w:tcMar>
                  <w:vAlign w:val="center"/>
                </w:tcPr>
                <w:p w14:paraId="3C087179">
                  <w:pPr>
                    <w:adjustRightInd w:val="0"/>
                    <w:snapToGrid w:val="0"/>
                    <w:jc w:val="center"/>
                    <w:rPr>
                      <w:szCs w:val="21"/>
                    </w:rPr>
                  </w:pPr>
                  <w:r>
                    <w:rPr>
                      <w:szCs w:val="21"/>
                    </w:rPr>
                    <w:t>《声环境质量标准》（GB 3096-2008）3类标准</w:t>
                  </w:r>
                </w:p>
              </w:tc>
              <w:tc>
                <w:tcPr>
                  <w:tcW w:w="359" w:type="pct"/>
                  <w:tcMar>
                    <w:left w:w="0" w:type="dxa"/>
                    <w:right w:w="0" w:type="dxa"/>
                  </w:tcMar>
                  <w:vAlign w:val="center"/>
                </w:tcPr>
                <w:p w14:paraId="14530ADF">
                  <w:pPr>
                    <w:adjustRightInd w:val="0"/>
                    <w:snapToGrid w:val="0"/>
                    <w:jc w:val="center"/>
                    <w:rPr>
                      <w:szCs w:val="21"/>
                    </w:rPr>
                  </w:pPr>
                  <w:r>
                    <w:rPr>
                      <w:szCs w:val="21"/>
                    </w:rPr>
                    <w:t>/</w:t>
                  </w:r>
                </w:p>
              </w:tc>
              <w:tc>
                <w:tcPr>
                  <w:tcW w:w="399" w:type="pct"/>
                  <w:tcMar>
                    <w:left w:w="0" w:type="dxa"/>
                    <w:right w:w="0" w:type="dxa"/>
                  </w:tcMar>
                  <w:vAlign w:val="center"/>
                </w:tcPr>
                <w:p w14:paraId="5B8F2D28">
                  <w:pPr>
                    <w:adjustRightInd w:val="0"/>
                    <w:snapToGrid w:val="0"/>
                    <w:jc w:val="center"/>
                    <w:rPr>
                      <w:szCs w:val="21"/>
                    </w:rPr>
                  </w:pPr>
                  <w:r>
                    <w:rPr>
                      <w:szCs w:val="21"/>
                    </w:rPr>
                    <w:t>/</w:t>
                  </w:r>
                </w:p>
              </w:tc>
              <w:tc>
                <w:tcPr>
                  <w:tcW w:w="402" w:type="pct"/>
                  <w:tcMar>
                    <w:left w:w="0" w:type="dxa"/>
                    <w:right w:w="0" w:type="dxa"/>
                  </w:tcMar>
                  <w:vAlign w:val="center"/>
                </w:tcPr>
                <w:p w14:paraId="7BDD9873">
                  <w:pPr>
                    <w:adjustRightInd w:val="0"/>
                    <w:snapToGrid w:val="0"/>
                    <w:jc w:val="center"/>
                    <w:rPr>
                      <w:szCs w:val="21"/>
                    </w:rPr>
                  </w:pPr>
                  <w:r>
                    <w:rPr>
                      <w:szCs w:val="21"/>
                    </w:rPr>
                    <w:t>/</w:t>
                  </w:r>
                </w:p>
              </w:tc>
            </w:tr>
            <w:tr w14:paraId="2E6FA5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tcMar>
                    <w:left w:w="0" w:type="dxa"/>
                    <w:right w:w="0" w:type="dxa"/>
                  </w:tcMar>
                  <w:vAlign w:val="center"/>
                </w:tcPr>
                <w:p w14:paraId="01E82399">
                  <w:pPr>
                    <w:adjustRightInd w:val="0"/>
                    <w:snapToGrid w:val="0"/>
                    <w:jc w:val="center"/>
                    <w:rPr>
                      <w:szCs w:val="21"/>
                    </w:rPr>
                  </w:pPr>
                  <w:r>
                    <w:rPr>
                      <w:szCs w:val="21"/>
                    </w:rPr>
                    <w:t>生态环境</w:t>
                  </w:r>
                </w:p>
              </w:tc>
              <w:tc>
                <w:tcPr>
                  <w:tcW w:w="446" w:type="pct"/>
                  <w:tcMar>
                    <w:left w:w="0" w:type="dxa"/>
                    <w:right w:w="0" w:type="dxa"/>
                  </w:tcMar>
                  <w:vAlign w:val="center"/>
                </w:tcPr>
                <w:p w14:paraId="2825CEA5">
                  <w:pPr>
                    <w:spacing w:before="49"/>
                    <w:ind w:left="30"/>
                    <w:jc w:val="center"/>
                    <w:rPr>
                      <w:szCs w:val="21"/>
                    </w:rPr>
                  </w:pPr>
                  <w:r>
                    <w:rPr>
                      <w:rFonts w:hint="eastAsia"/>
                      <w:szCs w:val="21"/>
                    </w:rPr>
                    <w:t>2118</w:t>
                  </w:r>
                </w:p>
              </w:tc>
              <w:tc>
                <w:tcPr>
                  <w:tcW w:w="420" w:type="pct"/>
                  <w:tcMar>
                    <w:left w:w="0" w:type="dxa"/>
                    <w:right w:w="0" w:type="dxa"/>
                  </w:tcMar>
                  <w:vAlign w:val="center"/>
                </w:tcPr>
                <w:p w14:paraId="3756DEAE">
                  <w:pPr>
                    <w:spacing w:before="49"/>
                    <w:ind w:left="30"/>
                    <w:jc w:val="center"/>
                    <w:rPr>
                      <w:szCs w:val="21"/>
                    </w:rPr>
                  </w:pPr>
                  <w:r>
                    <w:rPr>
                      <w:szCs w:val="21"/>
                    </w:rPr>
                    <w:t>-</w:t>
                  </w:r>
                  <w:r>
                    <w:rPr>
                      <w:rFonts w:hint="eastAsia"/>
                      <w:szCs w:val="21"/>
                    </w:rPr>
                    <w:t>595</w:t>
                  </w:r>
                </w:p>
              </w:tc>
              <w:tc>
                <w:tcPr>
                  <w:tcW w:w="751" w:type="pct"/>
                  <w:tcMar>
                    <w:left w:w="0" w:type="dxa"/>
                    <w:right w:w="0" w:type="dxa"/>
                  </w:tcMar>
                  <w:vAlign w:val="center"/>
                </w:tcPr>
                <w:p w14:paraId="6B82EF3B">
                  <w:pPr>
                    <w:spacing w:before="49"/>
                    <w:ind w:left="30"/>
                    <w:jc w:val="center"/>
                    <w:rPr>
                      <w:szCs w:val="21"/>
                    </w:rPr>
                  </w:pPr>
                  <w:r>
                    <w:rPr>
                      <w:szCs w:val="21"/>
                    </w:rPr>
                    <w:t>长荡湖（金坛区）重要湿地</w:t>
                  </w:r>
                </w:p>
              </w:tc>
              <w:tc>
                <w:tcPr>
                  <w:tcW w:w="599" w:type="pct"/>
                  <w:tcMar>
                    <w:left w:w="0" w:type="dxa"/>
                    <w:right w:w="0" w:type="dxa"/>
                  </w:tcMar>
                  <w:vAlign w:val="center"/>
                </w:tcPr>
                <w:p w14:paraId="5DC436DB">
                  <w:pPr>
                    <w:spacing w:before="49"/>
                    <w:ind w:left="30"/>
                    <w:jc w:val="center"/>
                    <w:rPr>
                      <w:szCs w:val="21"/>
                    </w:rPr>
                  </w:pPr>
                  <w:r>
                    <w:rPr>
                      <w:szCs w:val="21"/>
                    </w:rPr>
                    <w:t>湿地生态系统保护</w:t>
                  </w:r>
                </w:p>
              </w:tc>
              <w:tc>
                <w:tcPr>
                  <w:tcW w:w="1212" w:type="pct"/>
                  <w:tcMar>
                    <w:left w:w="0" w:type="dxa"/>
                    <w:right w:w="0" w:type="dxa"/>
                  </w:tcMar>
                  <w:vAlign w:val="center"/>
                </w:tcPr>
                <w:p w14:paraId="54F89E0B">
                  <w:pPr>
                    <w:adjustRightInd w:val="0"/>
                    <w:snapToGrid w:val="0"/>
                    <w:jc w:val="center"/>
                    <w:rPr>
                      <w:szCs w:val="21"/>
                    </w:rPr>
                  </w:pPr>
                  <w:r>
                    <w:rPr>
                      <w:szCs w:val="21"/>
                    </w:rPr>
                    <w:t>《江苏省生态空间管控区域规划》、《江苏省国家级生态保护红线规划》</w:t>
                  </w:r>
                </w:p>
              </w:tc>
              <w:tc>
                <w:tcPr>
                  <w:tcW w:w="359" w:type="pct"/>
                  <w:tcMar>
                    <w:left w:w="0" w:type="dxa"/>
                    <w:right w:w="0" w:type="dxa"/>
                  </w:tcMar>
                  <w:vAlign w:val="center"/>
                </w:tcPr>
                <w:p w14:paraId="625B12B1">
                  <w:pPr>
                    <w:adjustRightInd w:val="0"/>
                    <w:snapToGrid w:val="0"/>
                    <w:jc w:val="center"/>
                    <w:rPr>
                      <w:szCs w:val="21"/>
                    </w:rPr>
                  </w:pPr>
                  <w:r>
                    <w:rPr>
                      <w:szCs w:val="21"/>
                    </w:rPr>
                    <w:t>SW</w:t>
                  </w:r>
                </w:p>
              </w:tc>
              <w:tc>
                <w:tcPr>
                  <w:tcW w:w="399" w:type="pct"/>
                  <w:tcMar>
                    <w:left w:w="0" w:type="dxa"/>
                    <w:right w:w="0" w:type="dxa"/>
                  </w:tcMar>
                  <w:vAlign w:val="center"/>
                </w:tcPr>
                <w:p w14:paraId="4B770378">
                  <w:pPr>
                    <w:adjustRightInd w:val="0"/>
                    <w:snapToGrid w:val="0"/>
                    <w:jc w:val="center"/>
                    <w:rPr>
                      <w:szCs w:val="21"/>
                    </w:rPr>
                  </w:pPr>
                  <w:r>
                    <w:rPr>
                      <w:rFonts w:hint="eastAsia"/>
                      <w:szCs w:val="21"/>
                    </w:rPr>
                    <w:t>2200</w:t>
                  </w:r>
                </w:p>
              </w:tc>
              <w:tc>
                <w:tcPr>
                  <w:tcW w:w="402" w:type="pct"/>
                  <w:tcMar>
                    <w:left w:w="0" w:type="dxa"/>
                    <w:right w:w="0" w:type="dxa"/>
                  </w:tcMar>
                  <w:vAlign w:val="center"/>
                </w:tcPr>
                <w:p w14:paraId="2FF91DBB">
                  <w:pPr>
                    <w:adjustRightInd w:val="0"/>
                    <w:snapToGrid w:val="0"/>
                    <w:jc w:val="center"/>
                    <w:rPr>
                      <w:szCs w:val="21"/>
                    </w:rPr>
                  </w:pPr>
                  <w:r>
                    <w:rPr>
                      <w:rFonts w:hint="eastAsia"/>
                      <w:szCs w:val="21"/>
                    </w:rPr>
                    <w:t>2200</w:t>
                  </w:r>
                </w:p>
              </w:tc>
            </w:tr>
            <w:tr w14:paraId="642377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tcMar>
                    <w:left w:w="0" w:type="dxa"/>
                    <w:right w:w="0" w:type="dxa"/>
                  </w:tcMar>
                  <w:vAlign w:val="center"/>
                </w:tcPr>
                <w:p w14:paraId="1AB19BE6">
                  <w:pPr>
                    <w:jc w:val="center"/>
                    <w:rPr>
                      <w:szCs w:val="21"/>
                    </w:rPr>
                  </w:pPr>
                  <w:r>
                    <w:rPr>
                      <w:szCs w:val="21"/>
                    </w:rPr>
                    <w:t>土壤</w:t>
                  </w:r>
                </w:p>
              </w:tc>
              <w:tc>
                <w:tcPr>
                  <w:tcW w:w="2216" w:type="pct"/>
                  <w:gridSpan w:val="4"/>
                  <w:tcMar>
                    <w:left w:w="0" w:type="dxa"/>
                    <w:right w:w="0" w:type="dxa"/>
                  </w:tcMar>
                  <w:vAlign w:val="center"/>
                </w:tcPr>
                <w:p w14:paraId="2D476BF0">
                  <w:pPr>
                    <w:adjustRightInd w:val="0"/>
                    <w:snapToGrid w:val="0"/>
                    <w:jc w:val="center"/>
                    <w:rPr>
                      <w:szCs w:val="21"/>
                    </w:rPr>
                  </w:pPr>
                  <w:r>
                    <w:rPr>
                      <w:szCs w:val="21"/>
                    </w:rPr>
                    <w:t>项目所在区域</w:t>
                  </w:r>
                </w:p>
              </w:tc>
              <w:tc>
                <w:tcPr>
                  <w:tcW w:w="2373" w:type="pct"/>
                  <w:gridSpan w:val="4"/>
                  <w:tcMar>
                    <w:left w:w="0" w:type="dxa"/>
                    <w:right w:w="0" w:type="dxa"/>
                  </w:tcMar>
                  <w:vAlign w:val="center"/>
                </w:tcPr>
                <w:p w14:paraId="4F0911C0">
                  <w:pPr>
                    <w:adjustRightInd w:val="0"/>
                    <w:snapToGrid w:val="0"/>
                    <w:jc w:val="center"/>
                    <w:rPr>
                      <w:szCs w:val="21"/>
                    </w:rPr>
                  </w:pPr>
                  <w:r>
                    <w:rPr>
                      <w:szCs w:val="21"/>
                    </w:rPr>
                    <w:t>《土壤环境质量 建设用地土壤污染风险管控标准（试行）》（GB36600-2018）第二类用地</w:t>
                  </w:r>
                </w:p>
              </w:tc>
            </w:tr>
            <w:tr w14:paraId="00E63A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9" w:type="pct"/>
                  <w:tcMar>
                    <w:left w:w="0" w:type="dxa"/>
                    <w:right w:w="0" w:type="dxa"/>
                  </w:tcMar>
                  <w:vAlign w:val="center"/>
                </w:tcPr>
                <w:p w14:paraId="2CF68D10">
                  <w:pPr>
                    <w:adjustRightInd w:val="0"/>
                    <w:snapToGrid w:val="0"/>
                    <w:jc w:val="center"/>
                    <w:rPr>
                      <w:szCs w:val="21"/>
                    </w:rPr>
                  </w:pPr>
                  <w:r>
                    <w:rPr>
                      <w:szCs w:val="21"/>
                    </w:rPr>
                    <w:t>地下水</w:t>
                  </w:r>
                </w:p>
              </w:tc>
              <w:tc>
                <w:tcPr>
                  <w:tcW w:w="2216" w:type="pct"/>
                  <w:gridSpan w:val="4"/>
                  <w:tcMar>
                    <w:left w:w="0" w:type="dxa"/>
                    <w:right w:w="0" w:type="dxa"/>
                  </w:tcMar>
                  <w:vAlign w:val="center"/>
                </w:tcPr>
                <w:p w14:paraId="55BE071A">
                  <w:pPr>
                    <w:adjustRightInd w:val="0"/>
                    <w:snapToGrid w:val="0"/>
                    <w:jc w:val="center"/>
                    <w:rPr>
                      <w:szCs w:val="21"/>
                    </w:rPr>
                  </w:pPr>
                  <w:r>
                    <w:rPr>
                      <w:szCs w:val="21"/>
                    </w:rPr>
                    <w:t>项目所在区域500m范围</w:t>
                  </w:r>
                </w:p>
              </w:tc>
              <w:tc>
                <w:tcPr>
                  <w:tcW w:w="2373" w:type="pct"/>
                  <w:gridSpan w:val="4"/>
                  <w:tcMar>
                    <w:left w:w="0" w:type="dxa"/>
                    <w:right w:w="0" w:type="dxa"/>
                  </w:tcMar>
                  <w:vAlign w:val="center"/>
                </w:tcPr>
                <w:p w14:paraId="28AB6419">
                  <w:pPr>
                    <w:adjustRightInd w:val="0"/>
                    <w:snapToGrid w:val="0"/>
                    <w:jc w:val="center"/>
                    <w:rPr>
                      <w:szCs w:val="21"/>
                    </w:rPr>
                  </w:pPr>
                  <w:r>
                    <w:rPr>
                      <w:szCs w:val="21"/>
                    </w:rPr>
                    <w:t>/</w:t>
                  </w:r>
                </w:p>
              </w:tc>
            </w:tr>
          </w:tbl>
          <w:p w14:paraId="63FCBC00">
            <w:pPr>
              <w:adjustRightInd w:val="0"/>
              <w:snapToGrid w:val="0"/>
              <w:rPr>
                <w:kern w:val="0"/>
                <w:szCs w:val="21"/>
              </w:rPr>
            </w:pPr>
          </w:p>
        </w:tc>
      </w:tr>
      <w:tr w14:paraId="4B375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 w:type="dxa"/>
            <w:tcMar>
              <w:left w:w="28" w:type="dxa"/>
              <w:right w:w="28" w:type="dxa"/>
            </w:tcMar>
            <w:vAlign w:val="center"/>
          </w:tcPr>
          <w:p w14:paraId="4FDC61B3">
            <w:pPr>
              <w:adjustRightInd w:val="0"/>
              <w:snapToGrid w:val="0"/>
              <w:spacing w:line="360" w:lineRule="auto"/>
              <w:jc w:val="center"/>
              <w:rPr>
                <w:kern w:val="0"/>
                <w:szCs w:val="21"/>
              </w:rPr>
            </w:pPr>
            <w:r>
              <w:rPr>
                <w:kern w:val="0"/>
                <w:szCs w:val="21"/>
              </w:rPr>
              <w:t>污染</w:t>
            </w:r>
          </w:p>
          <w:p w14:paraId="5C28C3D4">
            <w:pPr>
              <w:adjustRightInd w:val="0"/>
              <w:snapToGrid w:val="0"/>
              <w:spacing w:line="360" w:lineRule="auto"/>
              <w:jc w:val="center"/>
              <w:rPr>
                <w:kern w:val="0"/>
                <w:szCs w:val="21"/>
              </w:rPr>
            </w:pPr>
            <w:r>
              <w:rPr>
                <w:kern w:val="0"/>
                <w:szCs w:val="21"/>
              </w:rPr>
              <w:t>物排</w:t>
            </w:r>
          </w:p>
          <w:p w14:paraId="23FB7E75">
            <w:pPr>
              <w:adjustRightInd w:val="0"/>
              <w:snapToGrid w:val="0"/>
              <w:spacing w:line="360" w:lineRule="auto"/>
              <w:jc w:val="center"/>
              <w:rPr>
                <w:kern w:val="0"/>
                <w:szCs w:val="21"/>
              </w:rPr>
            </w:pPr>
            <w:r>
              <w:rPr>
                <w:kern w:val="0"/>
                <w:szCs w:val="21"/>
              </w:rPr>
              <w:t>放控</w:t>
            </w:r>
          </w:p>
          <w:p w14:paraId="55E2AC0B">
            <w:pPr>
              <w:adjustRightInd w:val="0"/>
              <w:snapToGrid w:val="0"/>
              <w:spacing w:line="360" w:lineRule="auto"/>
              <w:jc w:val="center"/>
              <w:rPr>
                <w:kern w:val="0"/>
                <w:szCs w:val="21"/>
              </w:rPr>
            </w:pPr>
            <w:r>
              <w:rPr>
                <w:kern w:val="0"/>
                <w:szCs w:val="21"/>
              </w:rPr>
              <w:t>制标</w:t>
            </w:r>
          </w:p>
          <w:p w14:paraId="64E59585">
            <w:pPr>
              <w:adjustRightInd w:val="0"/>
              <w:snapToGrid w:val="0"/>
              <w:spacing w:line="360" w:lineRule="auto"/>
              <w:jc w:val="center"/>
              <w:rPr>
                <w:kern w:val="0"/>
                <w:szCs w:val="21"/>
              </w:rPr>
            </w:pPr>
            <w:r>
              <w:rPr>
                <w:kern w:val="0"/>
                <w:szCs w:val="21"/>
              </w:rPr>
              <w:t>准</w:t>
            </w:r>
          </w:p>
        </w:tc>
        <w:tc>
          <w:tcPr>
            <w:tcW w:w="8544" w:type="dxa"/>
            <w:vAlign w:val="center"/>
          </w:tcPr>
          <w:p w14:paraId="27F026D8">
            <w:pPr>
              <w:adjustRightInd w:val="0"/>
              <w:snapToGrid w:val="0"/>
              <w:spacing w:beforeLines="50" w:line="360" w:lineRule="auto"/>
              <w:rPr>
                <w:b/>
                <w:bCs/>
                <w:szCs w:val="21"/>
              </w:rPr>
            </w:pPr>
            <w:r>
              <w:rPr>
                <w:b/>
                <w:bCs/>
                <w:szCs w:val="21"/>
              </w:rPr>
              <w:t>1、废气排放标准</w:t>
            </w:r>
          </w:p>
          <w:p w14:paraId="3908F60A">
            <w:pPr>
              <w:adjustRightInd w:val="0"/>
              <w:snapToGrid w:val="0"/>
              <w:spacing w:line="360" w:lineRule="auto"/>
              <w:ind w:firstLine="420" w:firstLineChars="200"/>
              <w:rPr>
                <w:szCs w:val="21"/>
              </w:rPr>
            </w:pPr>
            <w:r>
              <w:rPr>
                <w:szCs w:val="21"/>
              </w:rPr>
              <w:t>全厂排放大气污染物主要为</w:t>
            </w:r>
            <w:r>
              <w:rPr>
                <w:rFonts w:hint="eastAsia"/>
                <w:szCs w:val="21"/>
              </w:rPr>
              <w:t>浸喷涂胶</w:t>
            </w:r>
            <w:r>
              <w:rPr>
                <w:szCs w:val="21"/>
              </w:rPr>
              <w:t>、烘干</w:t>
            </w:r>
            <w:r>
              <w:rPr>
                <w:rFonts w:hint="eastAsia"/>
                <w:szCs w:val="21"/>
              </w:rPr>
              <w:t>、电泳后干燥</w:t>
            </w:r>
            <w:r>
              <w:rPr>
                <w:szCs w:val="21"/>
              </w:rPr>
              <w:t>工序产生</w:t>
            </w:r>
            <w:r>
              <w:rPr>
                <w:rFonts w:hint="eastAsia"/>
                <w:szCs w:val="21"/>
              </w:rPr>
              <w:t>颗粒物、二甲苯、乙苯、</w:t>
            </w:r>
            <w:r>
              <w:rPr>
                <w:szCs w:val="21"/>
              </w:rPr>
              <w:t>非甲烷总烃，</w:t>
            </w:r>
            <w:r>
              <w:rPr>
                <w:rFonts w:hint="eastAsia"/>
                <w:szCs w:val="21"/>
              </w:rPr>
              <w:t>配料、</w:t>
            </w:r>
            <w:r>
              <w:rPr>
                <w:szCs w:val="21"/>
              </w:rPr>
              <w:t>混炼、</w:t>
            </w:r>
            <w:r>
              <w:rPr>
                <w:rFonts w:hint="eastAsia"/>
                <w:szCs w:val="21"/>
              </w:rPr>
              <w:t>返炼工序产生颗粒物、非甲烷总烃、硫化氢、臭气浓度，</w:t>
            </w:r>
            <w:r>
              <w:rPr>
                <w:szCs w:val="21"/>
              </w:rPr>
              <w:t>硫化、二次硫化、挤出等工序产生非甲烷总烃、氟化物、硫化氢、臭气浓度及少量丙烯腈，喷砂</w:t>
            </w:r>
            <w:r>
              <w:rPr>
                <w:rFonts w:hint="eastAsia"/>
                <w:szCs w:val="21"/>
              </w:rPr>
              <w:t>/抛丸</w:t>
            </w:r>
            <w:r>
              <w:rPr>
                <w:szCs w:val="21"/>
              </w:rPr>
              <w:t>工序产生颗粒物。</w:t>
            </w:r>
            <w:r>
              <w:rPr>
                <w:rFonts w:hint="eastAsia"/>
                <w:szCs w:val="21"/>
              </w:rPr>
              <w:t>1#车间的</w:t>
            </w:r>
            <w:r>
              <w:rPr>
                <w:szCs w:val="21"/>
              </w:rPr>
              <w:t>挤出、硫化、二次硫化废气</w:t>
            </w:r>
            <w:r>
              <w:rPr>
                <w:rFonts w:hint="eastAsia"/>
                <w:szCs w:val="21"/>
              </w:rPr>
              <w:t>分别</w:t>
            </w:r>
            <w:r>
              <w:rPr>
                <w:szCs w:val="21"/>
              </w:rPr>
              <w:t>经处理后</w:t>
            </w:r>
            <w:r>
              <w:rPr>
                <w:rFonts w:hint="eastAsia"/>
                <w:szCs w:val="21"/>
              </w:rPr>
              <w:t>汇总</w:t>
            </w:r>
            <w:r>
              <w:rPr>
                <w:szCs w:val="21"/>
              </w:rPr>
              <w:t>经15m高1#排气筒排放</w:t>
            </w:r>
            <w:r>
              <w:rPr>
                <w:rFonts w:hint="eastAsia"/>
                <w:szCs w:val="21"/>
              </w:rPr>
              <w:t>；4#车间的</w:t>
            </w:r>
            <w:r>
              <w:rPr>
                <w:szCs w:val="21"/>
              </w:rPr>
              <w:t>硫化、二次硫化废气</w:t>
            </w:r>
            <w:r>
              <w:rPr>
                <w:rFonts w:hint="eastAsia"/>
                <w:szCs w:val="21"/>
              </w:rPr>
              <w:t>分别</w:t>
            </w:r>
            <w:r>
              <w:rPr>
                <w:szCs w:val="21"/>
              </w:rPr>
              <w:t>经处理后</w:t>
            </w:r>
            <w:r>
              <w:rPr>
                <w:rFonts w:hint="eastAsia"/>
                <w:szCs w:val="21"/>
              </w:rPr>
              <w:t>汇总</w:t>
            </w:r>
            <w:r>
              <w:rPr>
                <w:szCs w:val="21"/>
              </w:rPr>
              <w:t>经15m高3#排气筒排放；抛丸/喷砂粉尘经处理后至一根15m高5#排气筒排放；配料、密炼、混炼、返炼</w:t>
            </w:r>
            <w:r>
              <w:rPr>
                <w:rFonts w:hint="eastAsia"/>
                <w:szCs w:val="21"/>
              </w:rPr>
              <w:t>、挤出</w:t>
            </w:r>
            <w:r>
              <w:rPr>
                <w:szCs w:val="21"/>
              </w:rPr>
              <w:t>废气</w:t>
            </w:r>
            <w:r>
              <w:rPr>
                <w:rFonts w:hint="eastAsia"/>
                <w:szCs w:val="21"/>
              </w:rPr>
              <w:t>分别经</w:t>
            </w:r>
            <w:r>
              <w:rPr>
                <w:szCs w:val="21"/>
              </w:rPr>
              <w:t>处理后分别经15m高8#排气筒排放；喷、浸、涂胶废气及干燥废气经处理后</w:t>
            </w:r>
            <w:r>
              <w:rPr>
                <w:rFonts w:hint="eastAsia"/>
                <w:szCs w:val="21"/>
              </w:rPr>
              <w:t>经</w:t>
            </w:r>
            <w:r>
              <w:rPr>
                <w:szCs w:val="21"/>
              </w:rPr>
              <w:t>15m高</w:t>
            </w:r>
            <w:r>
              <w:rPr>
                <w:rFonts w:hint="eastAsia"/>
                <w:szCs w:val="21"/>
              </w:rPr>
              <w:t>6</w:t>
            </w:r>
            <w:r>
              <w:rPr>
                <w:szCs w:val="21"/>
              </w:rPr>
              <w:t>#排气筒排放</w:t>
            </w:r>
            <w:r>
              <w:rPr>
                <w:rFonts w:hint="eastAsia"/>
                <w:szCs w:val="21"/>
              </w:rPr>
              <w:t>，</w:t>
            </w:r>
            <w:r>
              <w:rPr>
                <w:szCs w:val="21"/>
              </w:rPr>
              <w:t>电泳后烘干废气经</w:t>
            </w:r>
            <w:r>
              <w:rPr>
                <w:rFonts w:hint="eastAsia"/>
                <w:szCs w:val="21"/>
              </w:rPr>
              <w:t>处理后经</w:t>
            </w:r>
            <w:r>
              <w:rPr>
                <w:szCs w:val="21"/>
              </w:rPr>
              <w:t>15m</w:t>
            </w:r>
            <w:r>
              <w:rPr>
                <w:rFonts w:hint="eastAsia"/>
                <w:szCs w:val="21"/>
              </w:rPr>
              <w:t>高</w:t>
            </w:r>
            <w:r>
              <w:rPr>
                <w:szCs w:val="21"/>
              </w:rPr>
              <w:t>9#排气筒</w:t>
            </w:r>
            <w:r>
              <w:rPr>
                <w:rFonts w:hint="eastAsia"/>
                <w:szCs w:val="21"/>
              </w:rPr>
              <w:t>排放</w:t>
            </w:r>
            <w:r>
              <w:rPr>
                <w:szCs w:val="21"/>
              </w:rPr>
              <w:t>。</w:t>
            </w:r>
          </w:p>
          <w:p w14:paraId="71F24735">
            <w:pPr>
              <w:adjustRightInd w:val="0"/>
              <w:snapToGrid w:val="0"/>
              <w:spacing w:line="360" w:lineRule="auto"/>
              <w:ind w:firstLine="420" w:firstLineChars="200"/>
              <w:rPr>
                <w:szCs w:val="21"/>
              </w:rPr>
            </w:pPr>
            <w:r>
              <w:rPr>
                <w:szCs w:val="21"/>
              </w:rPr>
              <w:t>非甲烷总烃</w:t>
            </w:r>
            <w:r>
              <w:rPr>
                <w:rFonts w:hint="eastAsia"/>
                <w:szCs w:val="21"/>
              </w:rPr>
              <w:t>、二甲苯</w:t>
            </w:r>
            <w:r>
              <w:rPr>
                <w:szCs w:val="21"/>
              </w:rPr>
              <w:t>有组织排放均执行《橡胶制品工业污染物排放标准》（GB27632-2011）中表5标准限值，</w:t>
            </w:r>
            <w:r>
              <w:rPr>
                <w:rFonts w:hint="eastAsia"/>
                <w:szCs w:val="21"/>
              </w:rPr>
              <w:t>配料、混炼、返炼过程中有组织排放的颗粒物执行</w:t>
            </w:r>
            <w:r>
              <w:rPr>
                <w:szCs w:val="21"/>
              </w:rPr>
              <w:t>《橡胶制品工业污染物排放标准》（GB27632-2011）中表5标准限值</w:t>
            </w:r>
            <w:r>
              <w:rPr>
                <w:rFonts w:hint="eastAsia"/>
                <w:szCs w:val="21"/>
              </w:rPr>
              <w:t>，喷涂浸胶及干燥过程中有组织排放的颗粒物（碳黑</w:t>
            </w:r>
            <w:r>
              <w:rPr>
                <w:szCs w:val="21"/>
              </w:rPr>
              <w:t>尘</w:t>
            </w:r>
            <w:r>
              <w:rPr>
                <w:rFonts w:hint="eastAsia"/>
                <w:szCs w:val="21"/>
              </w:rPr>
              <w:t>）和</w:t>
            </w:r>
            <w:r>
              <w:rPr>
                <w:szCs w:val="21"/>
              </w:rPr>
              <w:t>抛丸/喷砂过程有组织排放的颗粒物</w:t>
            </w:r>
            <w:r>
              <w:rPr>
                <w:rFonts w:hint="eastAsia"/>
                <w:szCs w:val="21"/>
              </w:rPr>
              <w:t>执行</w:t>
            </w:r>
            <w:r>
              <w:rPr>
                <w:szCs w:val="21"/>
              </w:rPr>
              <w:t>《大气污染物综合排放标准》（DB32/4041-2021）中表1标准限值</w:t>
            </w:r>
            <w:r>
              <w:rPr>
                <w:rFonts w:hint="eastAsia"/>
                <w:szCs w:val="21"/>
              </w:rPr>
              <w:t>，</w:t>
            </w:r>
            <w:r>
              <w:rPr>
                <w:szCs w:val="21"/>
              </w:rPr>
              <w:t>硫化氢、臭气浓度有组织排放执行《恶臭污染物排放标准》（GB14554-93）中表2标准限值，乙苯排放标准根据《制定地方大气污染物排放标准的技术方法》（GB/T13201-91）制定</w:t>
            </w:r>
            <w:r>
              <w:rPr>
                <w:rFonts w:hint="eastAsia"/>
                <w:szCs w:val="21"/>
              </w:rPr>
              <w:t>，</w:t>
            </w:r>
            <w:r>
              <w:rPr>
                <w:szCs w:val="21"/>
              </w:rPr>
              <w:t>氟化物、丙烯腈有组织排放执行《大气污染物综合排放标准》（DB32/4041-2021）中表1标准限值。具体标准值见表3-7。</w:t>
            </w:r>
          </w:p>
          <w:p w14:paraId="48ECF3FF">
            <w:pPr>
              <w:pStyle w:val="8"/>
              <w:adjustRightInd w:val="0"/>
              <w:snapToGrid w:val="0"/>
              <w:jc w:val="center"/>
              <w:rPr>
                <w:b/>
                <w:szCs w:val="21"/>
              </w:rPr>
            </w:pPr>
            <w:r>
              <w:rPr>
                <w:b/>
                <w:szCs w:val="21"/>
              </w:rPr>
              <w:t>表3-7  大气污染物有组织排放标准</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37"/>
              <w:gridCol w:w="1025"/>
              <w:gridCol w:w="1418"/>
              <w:gridCol w:w="1026"/>
              <w:gridCol w:w="818"/>
              <w:gridCol w:w="2804"/>
            </w:tblGrid>
            <w:tr w14:paraId="718BDA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12" w:space="0"/>
                    <w:right w:val="single" w:color="auto" w:sz="4" w:space="0"/>
                  </w:tcBorders>
                  <w:vAlign w:val="center"/>
                </w:tcPr>
                <w:p w14:paraId="18BF6789">
                  <w:pPr>
                    <w:pStyle w:val="23"/>
                    <w:adjustRightInd w:val="0"/>
                    <w:snapToGrid w:val="0"/>
                    <w:ind w:firstLine="0" w:firstLineChars="0"/>
                    <w:jc w:val="center"/>
                    <w:rPr>
                      <w:rFonts w:ascii="Times New Roman"/>
                      <w:b/>
                      <w:szCs w:val="21"/>
                    </w:rPr>
                  </w:pPr>
                  <w:r>
                    <w:rPr>
                      <w:rFonts w:ascii="Times New Roman"/>
                      <w:b/>
                      <w:szCs w:val="21"/>
                    </w:rPr>
                    <w:t>污染物名称</w:t>
                  </w:r>
                </w:p>
              </w:tc>
              <w:tc>
                <w:tcPr>
                  <w:tcW w:w="1025" w:type="dxa"/>
                  <w:tcBorders>
                    <w:top w:val="single" w:color="auto" w:sz="12" w:space="0"/>
                    <w:left w:val="single" w:color="auto" w:sz="4" w:space="0"/>
                    <w:right w:val="single" w:color="auto" w:sz="4" w:space="0"/>
                  </w:tcBorders>
                  <w:vAlign w:val="center"/>
                </w:tcPr>
                <w:p w14:paraId="6AA27285">
                  <w:pPr>
                    <w:pStyle w:val="23"/>
                    <w:adjustRightInd w:val="0"/>
                    <w:snapToGrid w:val="0"/>
                    <w:ind w:firstLine="0" w:firstLineChars="0"/>
                    <w:jc w:val="center"/>
                    <w:rPr>
                      <w:rFonts w:ascii="Times New Roman"/>
                      <w:b/>
                      <w:szCs w:val="21"/>
                    </w:rPr>
                  </w:pPr>
                  <w:r>
                    <w:rPr>
                      <w:rFonts w:ascii="Times New Roman"/>
                      <w:b/>
                      <w:szCs w:val="21"/>
                    </w:rPr>
                    <w:t>排放限值mg/m</w:t>
                  </w:r>
                  <w:r>
                    <w:rPr>
                      <w:rFonts w:ascii="Times New Roman"/>
                      <w:b/>
                      <w:szCs w:val="21"/>
                      <w:vertAlign w:val="superscript"/>
                    </w:rPr>
                    <w:t>3</w:t>
                  </w:r>
                </w:p>
              </w:tc>
              <w:tc>
                <w:tcPr>
                  <w:tcW w:w="1418" w:type="dxa"/>
                  <w:tcBorders>
                    <w:top w:val="single" w:color="auto" w:sz="12" w:space="0"/>
                    <w:left w:val="single" w:color="auto" w:sz="4" w:space="0"/>
                    <w:right w:val="single" w:color="auto" w:sz="4" w:space="0"/>
                  </w:tcBorders>
                  <w:tcMar>
                    <w:left w:w="0" w:type="dxa"/>
                    <w:right w:w="0" w:type="dxa"/>
                  </w:tcMar>
                  <w:vAlign w:val="center"/>
                </w:tcPr>
                <w:p w14:paraId="473661DC">
                  <w:pPr>
                    <w:pStyle w:val="23"/>
                    <w:adjustRightInd w:val="0"/>
                    <w:snapToGrid w:val="0"/>
                    <w:ind w:firstLine="0" w:firstLineChars="0"/>
                    <w:jc w:val="center"/>
                    <w:rPr>
                      <w:rFonts w:ascii="Times New Roman"/>
                      <w:b/>
                      <w:szCs w:val="21"/>
                    </w:rPr>
                  </w:pPr>
                  <w:r>
                    <w:rPr>
                      <w:rFonts w:ascii="Times New Roman"/>
                      <w:b/>
                      <w:szCs w:val="21"/>
                    </w:rPr>
                    <w:t>排放</w:t>
                  </w:r>
                  <w:r>
                    <w:rPr>
                      <w:rFonts w:hint="eastAsia" w:ascii="Times New Roman"/>
                      <w:b/>
                      <w:szCs w:val="21"/>
                    </w:rPr>
                    <w:t>速率</w:t>
                  </w:r>
                  <w:r>
                    <w:rPr>
                      <w:rFonts w:ascii="Times New Roman"/>
                      <w:b/>
                      <w:szCs w:val="21"/>
                    </w:rPr>
                    <w:t>kg/h</w:t>
                  </w:r>
                </w:p>
              </w:tc>
              <w:tc>
                <w:tcPr>
                  <w:tcW w:w="1026" w:type="dxa"/>
                  <w:tcBorders>
                    <w:top w:val="single" w:color="auto" w:sz="12" w:space="0"/>
                    <w:left w:val="single" w:color="auto" w:sz="4" w:space="0"/>
                    <w:right w:val="single" w:color="auto" w:sz="4" w:space="0"/>
                  </w:tcBorders>
                  <w:tcMar>
                    <w:left w:w="0" w:type="dxa"/>
                    <w:right w:w="0" w:type="dxa"/>
                  </w:tcMar>
                  <w:vAlign w:val="center"/>
                </w:tcPr>
                <w:p w14:paraId="4D15E20B">
                  <w:pPr>
                    <w:pStyle w:val="23"/>
                    <w:adjustRightInd w:val="0"/>
                    <w:snapToGrid w:val="0"/>
                    <w:ind w:firstLine="0" w:firstLineChars="0"/>
                    <w:jc w:val="center"/>
                    <w:rPr>
                      <w:rFonts w:ascii="Times New Roman"/>
                      <w:b/>
                      <w:szCs w:val="21"/>
                    </w:rPr>
                  </w:pPr>
                  <w:r>
                    <w:rPr>
                      <w:rFonts w:ascii="Times New Roman"/>
                      <w:b/>
                      <w:szCs w:val="21"/>
                    </w:rPr>
                    <w:t>基准排气量m</w:t>
                  </w:r>
                  <w:r>
                    <w:rPr>
                      <w:rFonts w:ascii="Times New Roman"/>
                      <w:b/>
                      <w:szCs w:val="21"/>
                      <w:vertAlign w:val="superscript"/>
                    </w:rPr>
                    <w:t>3</w:t>
                  </w:r>
                  <w:r>
                    <w:rPr>
                      <w:rFonts w:ascii="Times New Roman"/>
                      <w:b/>
                      <w:szCs w:val="21"/>
                    </w:rPr>
                    <w:t>/t胶</w:t>
                  </w:r>
                </w:p>
              </w:tc>
              <w:tc>
                <w:tcPr>
                  <w:tcW w:w="818" w:type="dxa"/>
                  <w:tcBorders>
                    <w:top w:val="single" w:color="auto" w:sz="12" w:space="0"/>
                    <w:left w:val="single" w:color="auto" w:sz="4" w:space="0"/>
                    <w:right w:val="single" w:color="auto" w:sz="4" w:space="0"/>
                  </w:tcBorders>
                  <w:tcMar>
                    <w:left w:w="0" w:type="dxa"/>
                    <w:right w:w="0" w:type="dxa"/>
                  </w:tcMar>
                  <w:vAlign w:val="center"/>
                </w:tcPr>
                <w:p w14:paraId="3808E500">
                  <w:pPr>
                    <w:pStyle w:val="23"/>
                    <w:adjustRightInd w:val="0"/>
                    <w:snapToGrid w:val="0"/>
                    <w:ind w:firstLine="0" w:firstLineChars="0"/>
                    <w:jc w:val="center"/>
                    <w:rPr>
                      <w:rFonts w:ascii="Times New Roman"/>
                      <w:b/>
                      <w:szCs w:val="21"/>
                    </w:rPr>
                  </w:pPr>
                  <w:r>
                    <w:rPr>
                      <w:rFonts w:ascii="Times New Roman"/>
                      <w:b/>
                      <w:szCs w:val="21"/>
                    </w:rPr>
                    <w:t>监控位置</w:t>
                  </w:r>
                </w:p>
              </w:tc>
              <w:tc>
                <w:tcPr>
                  <w:tcW w:w="2804" w:type="dxa"/>
                  <w:tcBorders>
                    <w:top w:val="single" w:color="auto" w:sz="12" w:space="0"/>
                    <w:left w:val="single" w:color="auto" w:sz="4" w:space="0"/>
                    <w:right w:val="nil"/>
                  </w:tcBorders>
                  <w:tcMar>
                    <w:left w:w="0" w:type="dxa"/>
                    <w:right w:w="0" w:type="dxa"/>
                  </w:tcMar>
                  <w:vAlign w:val="center"/>
                </w:tcPr>
                <w:p w14:paraId="544F06F4">
                  <w:pPr>
                    <w:pStyle w:val="23"/>
                    <w:adjustRightInd w:val="0"/>
                    <w:snapToGrid w:val="0"/>
                    <w:ind w:firstLine="0" w:firstLineChars="0"/>
                    <w:jc w:val="center"/>
                    <w:rPr>
                      <w:rFonts w:ascii="Times New Roman"/>
                      <w:b/>
                      <w:szCs w:val="21"/>
                    </w:rPr>
                  </w:pPr>
                  <w:r>
                    <w:rPr>
                      <w:rFonts w:ascii="Times New Roman"/>
                      <w:b/>
                      <w:szCs w:val="21"/>
                    </w:rPr>
                    <w:t>标准来源</w:t>
                  </w:r>
                </w:p>
              </w:tc>
            </w:tr>
            <w:tr w14:paraId="689CC7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6DE03B4F">
                  <w:pPr>
                    <w:adjustRightInd w:val="0"/>
                    <w:snapToGrid w:val="0"/>
                    <w:jc w:val="center"/>
                    <w:rPr>
                      <w:szCs w:val="21"/>
                    </w:rPr>
                  </w:pPr>
                  <w:r>
                    <w:rPr>
                      <w:szCs w:val="21"/>
                    </w:rPr>
                    <w:t>非甲烷总烃</w:t>
                  </w:r>
                </w:p>
              </w:tc>
              <w:tc>
                <w:tcPr>
                  <w:tcW w:w="1025" w:type="dxa"/>
                  <w:tcBorders>
                    <w:top w:val="single" w:color="auto" w:sz="4" w:space="0"/>
                    <w:left w:val="single" w:color="auto" w:sz="4" w:space="0"/>
                    <w:bottom w:val="single" w:color="auto" w:sz="4" w:space="0"/>
                    <w:right w:val="single" w:color="auto" w:sz="4" w:space="0"/>
                  </w:tcBorders>
                  <w:vAlign w:val="center"/>
                </w:tcPr>
                <w:p w14:paraId="1CB949CF">
                  <w:pPr>
                    <w:adjustRightInd w:val="0"/>
                    <w:snapToGrid w:val="0"/>
                    <w:jc w:val="center"/>
                    <w:rPr>
                      <w:szCs w:val="21"/>
                    </w:rPr>
                  </w:pPr>
                  <w:r>
                    <w:rPr>
                      <w:szCs w:val="21"/>
                    </w:rPr>
                    <w:t>10</w:t>
                  </w:r>
                </w:p>
              </w:tc>
              <w:tc>
                <w:tcPr>
                  <w:tcW w:w="1418" w:type="dxa"/>
                  <w:tcBorders>
                    <w:top w:val="single" w:color="auto" w:sz="4" w:space="0"/>
                    <w:left w:val="single" w:color="auto" w:sz="4" w:space="0"/>
                    <w:bottom w:val="single" w:color="auto" w:sz="4" w:space="0"/>
                    <w:right w:val="single" w:color="auto" w:sz="4" w:space="0"/>
                  </w:tcBorders>
                  <w:vAlign w:val="center"/>
                </w:tcPr>
                <w:p w14:paraId="2501B335">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1026" w:type="dxa"/>
                  <w:tcBorders>
                    <w:top w:val="single" w:color="auto" w:sz="4" w:space="0"/>
                    <w:left w:val="single" w:color="auto" w:sz="4" w:space="0"/>
                    <w:right w:val="single" w:color="auto" w:sz="4" w:space="0"/>
                  </w:tcBorders>
                  <w:vAlign w:val="center"/>
                </w:tcPr>
                <w:p w14:paraId="13389A1E">
                  <w:pPr>
                    <w:pStyle w:val="55"/>
                    <w:adjustRightInd w:val="0"/>
                    <w:snapToGrid w:val="0"/>
                    <w:ind w:right="0" w:rightChars="0"/>
                    <w:rPr>
                      <w:rFonts w:ascii="Times New Roman" w:hAnsi="Times New Roman"/>
                      <w:sz w:val="21"/>
                      <w:szCs w:val="21"/>
                    </w:rPr>
                  </w:pPr>
                  <w:r>
                    <w:rPr>
                      <w:rFonts w:ascii="Times New Roman" w:hAnsi="Times New Roman"/>
                      <w:sz w:val="21"/>
                      <w:szCs w:val="21"/>
                    </w:rPr>
                    <w:t>2000</w:t>
                  </w:r>
                </w:p>
              </w:tc>
              <w:tc>
                <w:tcPr>
                  <w:tcW w:w="818" w:type="dxa"/>
                  <w:vMerge w:val="restart"/>
                  <w:tcBorders>
                    <w:top w:val="single" w:color="auto" w:sz="4" w:space="0"/>
                    <w:left w:val="single" w:color="auto" w:sz="4" w:space="0"/>
                    <w:right w:val="single" w:color="auto" w:sz="4" w:space="0"/>
                  </w:tcBorders>
                  <w:vAlign w:val="center"/>
                </w:tcPr>
                <w:p w14:paraId="57F3F1B2">
                  <w:pPr>
                    <w:pStyle w:val="55"/>
                    <w:adjustRightInd w:val="0"/>
                    <w:snapToGrid w:val="0"/>
                    <w:ind w:right="0" w:rightChars="0"/>
                    <w:rPr>
                      <w:rFonts w:ascii="Times New Roman" w:hAnsi="Times New Roman"/>
                      <w:sz w:val="21"/>
                      <w:szCs w:val="21"/>
                    </w:rPr>
                  </w:pPr>
                  <w:r>
                    <w:rPr>
                      <w:rFonts w:ascii="Times New Roman" w:hAnsi="Times New Roman"/>
                      <w:sz w:val="21"/>
                      <w:szCs w:val="21"/>
                    </w:rPr>
                    <w:t>车间或生产设施排气筒</w:t>
                  </w:r>
                </w:p>
              </w:tc>
              <w:tc>
                <w:tcPr>
                  <w:tcW w:w="2804" w:type="dxa"/>
                  <w:vMerge w:val="restart"/>
                  <w:tcBorders>
                    <w:left w:val="single" w:color="auto" w:sz="4" w:space="0"/>
                    <w:right w:val="nil"/>
                  </w:tcBorders>
                  <w:vAlign w:val="center"/>
                </w:tcPr>
                <w:p w14:paraId="03928AD3">
                  <w:pPr>
                    <w:pStyle w:val="55"/>
                    <w:adjustRightInd w:val="0"/>
                    <w:snapToGrid w:val="0"/>
                    <w:ind w:right="0" w:rightChars="0"/>
                    <w:rPr>
                      <w:rFonts w:ascii="Times New Roman" w:hAnsi="Times New Roman"/>
                      <w:sz w:val="21"/>
                      <w:szCs w:val="21"/>
                    </w:rPr>
                  </w:pPr>
                  <w:r>
                    <w:rPr>
                      <w:rFonts w:ascii="Times New Roman" w:hAnsi="Times New Roman"/>
                      <w:sz w:val="21"/>
                      <w:szCs w:val="21"/>
                    </w:rPr>
                    <w:t>《橡胶制品工业污染物排放标准》（GB27632-2011）</w:t>
                  </w:r>
                </w:p>
              </w:tc>
            </w:tr>
            <w:tr w14:paraId="407B0B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05E05721">
                  <w:pPr>
                    <w:adjustRightInd w:val="0"/>
                    <w:snapToGrid w:val="0"/>
                    <w:jc w:val="center"/>
                    <w:rPr>
                      <w:szCs w:val="21"/>
                    </w:rPr>
                  </w:pPr>
                  <w:r>
                    <w:rPr>
                      <w:rFonts w:hint="eastAsia"/>
                      <w:szCs w:val="21"/>
                    </w:rPr>
                    <w:t>二甲苯</w:t>
                  </w:r>
                </w:p>
              </w:tc>
              <w:tc>
                <w:tcPr>
                  <w:tcW w:w="1025" w:type="dxa"/>
                  <w:tcBorders>
                    <w:top w:val="single" w:color="auto" w:sz="4" w:space="0"/>
                    <w:left w:val="single" w:color="auto" w:sz="4" w:space="0"/>
                    <w:bottom w:val="single" w:color="auto" w:sz="4" w:space="0"/>
                    <w:right w:val="single" w:color="auto" w:sz="4" w:space="0"/>
                  </w:tcBorders>
                  <w:vAlign w:val="center"/>
                </w:tcPr>
                <w:p w14:paraId="4358F40D">
                  <w:pPr>
                    <w:adjustRightInd w:val="0"/>
                    <w:snapToGrid w:val="0"/>
                    <w:jc w:val="center"/>
                    <w:rPr>
                      <w:szCs w:val="21"/>
                    </w:rPr>
                  </w:pPr>
                  <w:r>
                    <w:rPr>
                      <w:rFonts w:hint="eastAsia"/>
                      <w:szCs w:val="21"/>
                    </w:rPr>
                    <w:t>15</w:t>
                  </w:r>
                </w:p>
              </w:tc>
              <w:tc>
                <w:tcPr>
                  <w:tcW w:w="1418" w:type="dxa"/>
                  <w:tcBorders>
                    <w:top w:val="single" w:color="auto" w:sz="4" w:space="0"/>
                    <w:left w:val="single" w:color="auto" w:sz="4" w:space="0"/>
                    <w:bottom w:val="single" w:color="auto" w:sz="4" w:space="0"/>
                    <w:right w:val="single" w:color="auto" w:sz="4" w:space="0"/>
                  </w:tcBorders>
                  <w:vAlign w:val="center"/>
                </w:tcPr>
                <w:p w14:paraId="24230796">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1026" w:type="dxa"/>
                  <w:tcBorders>
                    <w:top w:val="single" w:color="auto" w:sz="4" w:space="0"/>
                    <w:left w:val="single" w:color="auto" w:sz="4" w:space="0"/>
                    <w:right w:val="single" w:color="auto" w:sz="4" w:space="0"/>
                  </w:tcBorders>
                  <w:vAlign w:val="center"/>
                </w:tcPr>
                <w:p w14:paraId="5A69B661">
                  <w:pPr>
                    <w:pStyle w:val="55"/>
                    <w:adjustRightInd w:val="0"/>
                    <w:snapToGrid w:val="0"/>
                    <w:ind w:right="0" w:rightChars="0"/>
                    <w:rPr>
                      <w:rFonts w:ascii="Times New Roman" w:hAnsi="Times New Roman"/>
                      <w:sz w:val="21"/>
                      <w:szCs w:val="21"/>
                    </w:rPr>
                  </w:pPr>
                  <w:r>
                    <w:rPr>
                      <w:rFonts w:hint="eastAsia"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0D394D03">
                  <w:pPr>
                    <w:pStyle w:val="55"/>
                    <w:adjustRightInd w:val="0"/>
                    <w:snapToGrid w:val="0"/>
                    <w:ind w:right="0" w:rightChars="0"/>
                    <w:rPr>
                      <w:rFonts w:ascii="Times New Roman" w:hAnsi="Times New Roman"/>
                      <w:sz w:val="21"/>
                      <w:szCs w:val="21"/>
                    </w:rPr>
                  </w:pPr>
                </w:p>
              </w:tc>
              <w:tc>
                <w:tcPr>
                  <w:tcW w:w="2804" w:type="dxa"/>
                  <w:vMerge w:val="continue"/>
                  <w:tcBorders>
                    <w:left w:val="single" w:color="auto" w:sz="4" w:space="0"/>
                    <w:right w:val="nil"/>
                  </w:tcBorders>
                  <w:vAlign w:val="center"/>
                </w:tcPr>
                <w:p w14:paraId="4FF43173">
                  <w:pPr>
                    <w:pStyle w:val="55"/>
                    <w:adjustRightInd w:val="0"/>
                    <w:snapToGrid w:val="0"/>
                    <w:ind w:right="0" w:rightChars="0"/>
                    <w:rPr>
                      <w:rFonts w:ascii="Times New Roman" w:hAnsi="Times New Roman"/>
                      <w:sz w:val="21"/>
                      <w:szCs w:val="21"/>
                    </w:rPr>
                  </w:pPr>
                </w:p>
              </w:tc>
            </w:tr>
            <w:tr w14:paraId="79486E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2CAD8F7D">
                  <w:pPr>
                    <w:adjustRightInd w:val="0"/>
                    <w:snapToGrid w:val="0"/>
                    <w:jc w:val="center"/>
                    <w:rPr>
                      <w:szCs w:val="21"/>
                    </w:rPr>
                  </w:pPr>
                  <w:r>
                    <w:rPr>
                      <w:rFonts w:hint="eastAsia"/>
                      <w:szCs w:val="21"/>
                    </w:rPr>
                    <w:t>颗粒物</w:t>
                  </w:r>
                </w:p>
              </w:tc>
              <w:tc>
                <w:tcPr>
                  <w:tcW w:w="1025" w:type="dxa"/>
                  <w:tcBorders>
                    <w:top w:val="single" w:color="auto" w:sz="4" w:space="0"/>
                    <w:left w:val="single" w:color="auto" w:sz="4" w:space="0"/>
                    <w:bottom w:val="single" w:color="auto" w:sz="4" w:space="0"/>
                    <w:right w:val="single" w:color="auto" w:sz="4" w:space="0"/>
                  </w:tcBorders>
                  <w:vAlign w:val="center"/>
                </w:tcPr>
                <w:p w14:paraId="1621C927">
                  <w:pPr>
                    <w:adjustRightInd w:val="0"/>
                    <w:snapToGrid w:val="0"/>
                    <w:jc w:val="center"/>
                    <w:rPr>
                      <w:szCs w:val="21"/>
                    </w:rPr>
                  </w:pPr>
                  <w:r>
                    <w:rPr>
                      <w:rFonts w:hint="eastAsia"/>
                      <w:szCs w:val="21"/>
                    </w:rPr>
                    <w:t>12</w:t>
                  </w:r>
                </w:p>
              </w:tc>
              <w:tc>
                <w:tcPr>
                  <w:tcW w:w="1418" w:type="dxa"/>
                  <w:tcBorders>
                    <w:top w:val="single" w:color="auto" w:sz="4" w:space="0"/>
                    <w:left w:val="single" w:color="auto" w:sz="4" w:space="0"/>
                    <w:bottom w:val="single" w:color="auto" w:sz="4" w:space="0"/>
                    <w:right w:val="single" w:color="auto" w:sz="4" w:space="0"/>
                  </w:tcBorders>
                  <w:vAlign w:val="center"/>
                </w:tcPr>
                <w:p w14:paraId="1714971B">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1026" w:type="dxa"/>
                  <w:tcBorders>
                    <w:left w:val="single" w:color="auto" w:sz="4" w:space="0"/>
                    <w:right w:val="single" w:color="auto" w:sz="4" w:space="0"/>
                  </w:tcBorders>
                  <w:vAlign w:val="center"/>
                </w:tcPr>
                <w:p w14:paraId="46F37B32">
                  <w:pPr>
                    <w:pStyle w:val="55"/>
                    <w:adjustRightInd w:val="0"/>
                    <w:snapToGrid w:val="0"/>
                    <w:ind w:right="0" w:rightChars="0"/>
                    <w:rPr>
                      <w:rFonts w:ascii="Times New Roman" w:hAnsi="Times New Roman"/>
                      <w:sz w:val="21"/>
                      <w:szCs w:val="21"/>
                    </w:rPr>
                  </w:pPr>
                  <w:r>
                    <w:rPr>
                      <w:rFonts w:hint="eastAsia" w:ascii="Times New Roman" w:hAnsi="Times New Roman"/>
                      <w:sz w:val="21"/>
                      <w:szCs w:val="21"/>
                    </w:rPr>
                    <w:t>2000</w:t>
                  </w:r>
                </w:p>
              </w:tc>
              <w:tc>
                <w:tcPr>
                  <w:tcW w:w="818" w:type="dxa"/>
                  <w:vMerge w:val="continue"/>
                  <w:tcBorders>
                    <w:left w:val="single" w:color="auto" w:sz="4" w:space="0"/>
                    <w:right w:val="single" w:color="auto" w:sz="4" w:space="0"/>
                  </w:tcBorders>
                  <w:vAlign w:val="center"/>
                </w:tcPr>
                <w:p w14:paraId="5F50946E">
                  <w:pPr>
                    <w:pStyle w:val="55"/>
                    <w:adjustRightInd w:val="0"/>
                    <w:snapToGrid w:val="0"/>
                    <w:ind w:right="0" w:rightChars="0"/>
                    <w:rPr>
                      <w:rFonts w:ascii="Times New Roman" w:hAnsi="Times New Roman"/>
                      <w:sz w:val="21"/>
                      <w:szCs w:val="21"/>
                    </w:rPr>
                  </w:pPr>
                </w:p>
              </w:tc>
              <w:tc>
                <w:tcPr>
                  <w:tcW w:w="2804" w:type="dxa"/>
                  <w:vMerge w:val="continue"/>
                  <w:tcBorders>
                    <w:left w:val="single" w:color="auto" w:sz="4" w:space="0"/>
                    <w:right w:val="nil"/>
                  </w:tcBorders>
                  <w:vAlign w:val="center"/>
                </w:tcPr>
                <w:p w14:paraId="722F64BD">
                  <w:pPr>
                    <w:pStyle w:val="55"/>
                    <w:adjustRightInd w:val="0"/>
                    <w:snapToGrid w:val="0"/>
                    <w:ind w:right="0" w:rightChars="0"/>
                    <w:rPr>
                      <w:rFonts w:ascii="Times New Roman" w:hAnsi="Times New Roman"/>
                      <w:sz w:val="21"/>
                      <w:szCs w:val="21"/>
                    </w:rPr>
                  </w:pPr>
                </w:p>
              </w:tc>
            </w:tr>
            <w:tr w14:paraId="08336A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44CF3C1F">
                  <w:pPr>
                    <w:adjustRightInd w:val="0"/>
                    <w:snapToGrid w:val="0"/>
                    <w:jc w:val="center"/>
                    <w:rPr>
                      <w:szCs w:val="21"/>
                    </w:rPr>
                  </w:pPr>
                  <w:r>
                    <w:rPr>
                      <w:szCs w:val="21"/>
                    </w:rPr>
                    <w:t>硫化氢</w:t>
                  </w:r>
                </w:p>
              </w:tc>
              <w:tc>
                <w:tcPr>
                  <w:tcW w:w="1025" w:type="dxa"/>
                  <w:tcBorders>
                    <w:top w:val="single" w:color="auto" w:sz="4" w:space="0"/>
                    <w:left w:val="single" w:color="auto" w:sz="4" w:space="0"/>
                    <w:bottom w:val="single" w:color="auto" w:sz="4" w:space="0"/>
                    <w:right w:val="single" w:color="auto" w:sz="4" w:space="0"/>
                  </w:tcBorders>
                  <w:vAlign w:val="center"/>
                </w:tcPr>
                <w:p w14:paraId="12062468">
                  <w:pPr>
                    <w:adjustRightInd w:val="0"/>
                    <w:snapToGrid w:val="0"/>
                    <w:jc w:val="center"/>
                    <w:rPr>
                      <w:szCs w:val="21"/>
                    </w:rPr>
                  </w:pPr>
                  <w:r>
                    <w:rPr>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6B96B438">
                  <w:pPr>
                    <w:pStyle w:val="55"/>
                    <w:adjustRightInd w:val="0"/>
                    <w:snapToGrid w:val="0"/>
                    <w:ind w:right="0" w:rightChars="0"/>
                    <w:rPr>
                      <w:rFonts w:ascii="Times New Roman" w:hAnsi="Times New Roman"/>
                      <w:sz w:val="21"/>
                      <w:szCs w:val="21"/>
                    </w:rPr>
                  </w:pPr>
                  <w:r>
                    <w:rPr>
                      <w:rFonts w:ascii="Times New Roman" w:hAnsi="Times New Roman"/>
                      <w:sz w:val="21"/>
                      <w:szCs w:val="21"/>
                    </w:rPr>
                    <w:t>0.33</w:t>
                  </w:r>
                </w:p>
              </w:tc>
              <w:tc>
                <w:tcPr>
                  <w:tcW w:w="1026" w:type="dxa"/>
                  <w:tcBorders>
                    <w:left w:val="single" w:color="auto" w:sz="4" w:space="0"/>
                    <w:right w:val="single" w:color="auto" w:sz="4" w:space="0"/>
                  </w:tcBorders>
                  <w:vAlign w:val="center"/>
                </w:tcPr>
                <w:p w14:paraId="515771E0">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3DE19BF2">
                  <w:pPr>
                    <w:pStyle w:val="55"/>
                    <w:adjustRightInd w:val="0"/>
                    <w:snapToGrid w:val="0"/>
                    <w:ind w:right="0" w:rightChars="0"/>
                    <w:rPr>
                      <w:rFonts w:ascii="Times New Roman" w:hAnsi="Times New Roman"/>
                      <w:sz w:val="21"/>
                      <w:szCs w:val="21"/>
                    </w:rPr>
                  </w:pPr>
                </w:p>
              </w:tc>
              <w:tc>
                <w:tcPr>
                  <w:tcW w:w="2804" w:type="dxa"/>
                  <w:vMerge w:val="restart"/>
                  <w:tcBorders>
                    <w:left w:val="single" w:color="auto" w:sz="4" w:space="0"/>
                    <w:right w:val="nil"/>
                  </w:tcBorders>
                  <w:vAlign w:val="center"/>
                </w:tcPr>
                <w:p w14:paraId="1CC23748">
                  <w:pPr>
                    <w:pStyle w:val="55"/>
                    <w:adjustRightInd w:val="0"/>
                    <w:snapToGrid w:val="0"/>
                    <w:ind w:right="0" w:rightChars="0"/>
                    <w:rPr>
                      <w:rFonts w:ascii="Times New Roman" w:hAnsi="Times New Roman"/>
                      <w:sz w:val="21"/>
                      <w:szCs w:val="21"/>
                    </w:rPr>
                  </w:pPr>
                  <w:r>
                    <w:rPr>
                      <w:rFonts w:ascii="Times New Roman" w:hAnsi="Times New Roman"/>
                      <w:sz w:val="21"/>
                      <w:szCs w:val="21"/>
                    </w:rPr>
                    <w:t>《恶臭污染物排放标准》（GB14554-93）</w:t>
                  </w:r>
                </w:p>
              </w:tc>
            </w:tr>
            <w:tr w14:paraId="3AEC3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34E44636">
                  <w:pPr>
                    <w:adjustRightInd w:val="0"/>
                    <w:snapToGrid w:val="0"/>
                    <w:jc w:val="center"/>
                    <w:rPr>
                      <w:szCs w:val="21"/>
                    </w:rPr>
                  </w:pPr>
                  <w:r>
                    <w:rPr>
                      <w:szCs w:val="21"/>
                    </w:rPr>
                    <w:t>臭气浓度</w:t>
                  </w:r>
                </w:p>
              </w:tc>
              <w:tc>
                <w:tcPr>
                  <w:tcW w:w="1025" w:type="dxa"/>
                  <w:tcBorders>
                    <w:top w:val="single" w:color="auto" w:sz="4" w:space="0"/>
                    <w:left w:val="single" w:color="auto" w:sz="4" w:space="0"/>
                    <w:bottom w:val="single" w:color="auto" w:sz="4" w:space="0"/>
                    <w:right w:val="single" w:color="auto" w:sz="4" w:space="0"/>
                  </w:tcBorders>
                  <w:vAlign w:val="center"/>
                </w:tcPr>
                <w:p w14:paraId="55D65D0C">
                  <w:pPr>
                    <w:adjustRightInd w:val="0"/>
                    <w:snapToGrid w:val="0"/>
                    <w:jc w:val="center"/>
                    <w:rPr>
                      <w:szCs w:val="21"/>
                    </w:rPr>
                  </w:pPr>
                  <w:r>
                    <w:rPr>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17F457BC">
                  <w:pPr>
                    <w:pStyle w:val="55"/>
                    <w:adjustRightInd w:val="0"/>
                    <w:snapToGrid w:val="0"/>
                    <w:ind w:right="0" w:rightChars="0"/>
                    <w:rPr>
                      <w:rFonts w:ascii="Times New Roman" w:hAnsi="Times New Roman"/>
                      <w:sz w:val="21"/>
                      <w:szCs w:val="21"/>
                    </w:rPr>
                  </w:pPr>
                  <w:r>
                    <w:rPr>
                      <w:rFonts w:ascii="Times New Roman" w:hAnsi="Times New Roman"/>
                      <w:sz w:val="21"/>
                      <w:szCs w:val="21"/>
                    </w:rPr>
                    <w:t>2000（无量纲）</w:t>
                  </w:r>
                </w:p>
              </w:tc>
              <w:tc>
                <w:tcPr>
                  <w:tcW w:w="1026" w:type="dxa"/>
                  <w:tcBorders>
                    <w:left w:val="single" w:color="auto" w:sz="4" w:space="0"/>
                    <w:right w:val="single" w:color="auto" w:sz="4" w:space="0"/>
                  </w:tcBorders>
                  <w:vAlign w:val="center"/>
                </w:tcPr>
                <w:p w14:paraId="732E8681">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1C23ACBF">
                  <w:pPr>
                    <w:pStyle w:val="55"/>
                    <w:adjustRightInd w:val="0"/>
                    <w:snapToGrid w:val="0"/>
                    <w:ind w:right="0" w:rightChars="0"/>
                    <w:rPr>
                      <w:rFonts w:ascii="Times New Roman" w:hAnsi="Times New Roman"/>
                      <w:sz w:val="21"/>
                      <w:szCs w:val="21"/>
                    </w:rPr>
                  </w:pPr>
                </w:p>
              </w:tc>
              <w:tc>
                <w:tcPr>
                  <w:tcW w:w="2804" w:type="dxa"/>
                  <w:vMerge w:val="continue"/>
                  <w:tcBorders>
                    <w:left w:val="single" w:color="auto" w:sz="4" w:space="0"/>
                    <w:right w:val="nil"/>
                  </w:tcBorders>
                  <w:vAlign w:val="center"/>
                </w:tcPr>
                <w:p w14:paraId="4A09946A">
                  <w:pPr>
                    <w:pStyle w:val="55"/>
                    <w:adjustRightInd w:val="0"/>
                    <w:snapToGrid w:val="0"/>
                    <w:ind w:right="0" w:rightChars="0"/>
                    <w:rPr>
                      <w:rFonts w:ascii="Times New Roman" w:hAnsi="Times New Roman"/>
                      <w:sz w:val="21"/>
                      <w:szCs w:val="21"/>
                    </w:rPr>
                  </w:pPr>
                </w:p>
              </w:tc>
            </w:tr>
            <w:tr w14:paraId="04E25B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4375604F">
                  <w:pPr>
                    <w:adjustRightInd w:val="0"/>
                    <w:snapToGrid w:val="0"/>
                    <w:jc w:val="center"/>
                    <w:rPr>
                      <w:szCs w:val="21"/>
                    </w:rPr>
                  </w:pPr>
                  <w:r>
                    <w:rPr>
                      <w:szCs w:val="21"/>
                    </w:rPr>
                    <w:t>氟化物</w:t>
                  </w:r>
                </w:p>
              </w:tc>
              <w:tc>
                <w:tcPr>
                  <w:tcW w:w="1025" w:type="dxa"/>
                  <w:tcBorders>
                    <w:top w:val="single" w:color="auto" w:sz="4" w:space="0"/>
                    <w:left w:val="single" w:color="auto" w:sz="4" w:space="0"/>
                    <w:bottom w:val="single" w:color="auto" w:sz="4" w:space="0"/>
                    <w:right w:val="single" w:color="auto" w:sz="4" w:space="0"/>
                  </w:tcBorders>
                  <w:vAlign w:val="center"/>
                </w:tcPr>
                <w:p w14:paraId="19EA3AB2">
                  <w:pPr>
                    <w:adjustRightInd w:val="0"/>
                    <w:snapToGrid w:val="0"/>
                    <w:jc w:val="center"/>
                    <w:rPr>
                      <w:szCs w:val="21"/>
                    </w:rPr>
                  </w:pPr>
                  <w:r>
                    <w:rPr>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0546E93B">
                  <w:pPr>
                    <w:pStyle w:val="55"/>
                    <w:adjustRightInd w:val="0"/>
                    <w:snapToGrid w:val="0"/>
                    <w:ind w:right="0" w:rightChars="0"/>
                    <w:rPr>
                      <w:rFonts w:ascii="Times New Roman" w:hAnsi="Times New Roman"/>
                      <w:sz w:val="21"/>
                      <w:szCs w:val="21"/>
                    </w:rPr>
                  </w:pPr>
                  <w:r>
                    <w:rPr>
                      <w:rFonts w:ascii="Times New Roman" w:hAnsi="Times New Roman"/>
                      <w:sz w:val="21"/>
                      <w:szCs w:val="21"/>
                    </w:rPr>
                    <w:t>0.072</w:t>
                  </w:r>
                </w:p>
              </w:tc>
              <w:tc>
                <w:tcPr>
                  <w:tcW w:w="1026" w:type="dxa"/>
                  <w:tcBorders>
                    <w:left w:val="single" w:color="auto" w:sz="4" w:space="0"/>
                    <w:right w:val="single" w:color="auto" w:sz="4" w:space="0"/>
                  </w:tcBorders>
                  <w:vAlign w:val="center"/>
                </w:tcPr>
                <w:p w14:paraId="10958D95">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6FEC6996">
                  <w:pPr>
                    <w:pStyle w:val="55"/>
                    <w:adjustRightInd w:val="0"/>
                    <w:snapToGrid w:val="0"/>
                    <w:ind w:right="0" w:rightChars="0"/>
                    <w:rPr>
                      <w:rFonts w:ascii="Times New Roman" w:hAnsi="Times New Roman"/>
                      <w:sz w:val="21"/>
                      <w:szCs w:val="21"/>
                    </w:rPr>
                  </w:pPr>
                </w:p>
              </w:tc>
              <w:tc>
                <w:tcPr>
                  <w:tcW w:w="2804" w:type="dxa"/>
                  <w:vMerge w:val="restart"/>
                  <w:tcBorders>
                    <w:left w:val="single" w:color="auto" w:sz="4" w:space="0"/>
                    <w:right w:val="nil"/>
                  </w:tcBorders>
                  <w:vAlign w:val="center"/>
                </w:tcPr>
                <w:p w14:paraId="69F156DE">
                  <w:pPr>
                    <w:pStyle w:val="55"/>
                    <w:adjustRightInd w:val="0"/>
                    <w:snapToGrid w:val="0"/>
                    <w:ind w:right="0" w:rightChars="0"/>
                    <w:rPr>
                      <w:rFonts w:ascii="Times New Roman" w:hAnsi="Times New Roman"/>
                      <w:sz w:val="21"/>
                      <w:szCs w:val="21"/>
                    </w:rPr>
                  </w:pPr>
                  <w:r>
                    <w:rPr>
                      <w:rFonts w:ascii="Times New Roman" w:hAnsi="Times New Roman"/>
                      <w:sz w:val="21"/>
                      <w:szCs w:val="21"/>
                    </w:rPr>
                    <w:t>《大气污染物综合排放标准》（DB32/4041-2021）</w:t>
                  </w:r>
                </w:p>
              </w:tc>
            </w:tr>
            <w:tr w14:paraId="4EBE02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66AC3FE8">
                  <w:pPr>
                    <w:adjustRightInd w:val="0"/>
                    <w:snapToGrid w:val="0"/>
                    <w:jc w:val="center"/>
                    <w:rPr>
                      <w:szCs w:val="21"/>
                    </w:rPr>
                  </w:pPr>
                  <w:r>
                    <w:rPr>
                      <w:szCs w:val="21"/>
                    </w:rPr>
                    <w:t>丙烯腈</w:t>
                  </w:r>
                </w:p>
              </w:tc>
              <w:tc>
                <w:tcPr>
                  <w:tcW w:w="1025" w:type="dxa"/>
                  <w:tcBorders>
                    <w:top w:val="single" w:color="auto" w:sz="4" w:space="0"/>
                    <w:left w:val="single" w:color="auto" w:sz="4" w:space="0"/>
                    <w:bottom w:val="single" w:color="auto" w:sz="4" w:space="0"/>
                    <w:right w:val="single" w:color="auto" w:sz="4" w:space="0"/>
                  </w:tcBorders>
                  <w:vAlign w:val="center"/>
                </w:tcPr>
                <w:p w14:paraId="4E20DD77">
                  <w:pPr>
                    <w:adjustRightInd w:val="0"/>
                    <w:snapToGrid w:val="0"/>
                    <w:jc w:val="center"/>
                    <w:rPr>
                      <w:szCs w:val="21"/>
                    </w:rPr>
                  </w:pPr>
                  <w:r>
                    <w:rPr>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14:paraId="6553E8B4">
                  <w:pPr>
                    <w:pStyle w:val="55"/>
                    <w:adjustRightInd w:val="0"/>
                    <w:snapToGrid w:val="0"/>
                    <w:ind w:right="0" w:rightChars="0"/>
                    <w:rPr>
                      <w:rFonts w:ascii="Times New Roman" w:hAnsi="Times New Roman"/>
                      <w:sz w:val="21"/>
                      <w:szCs w:val="21"/>
                    </w:rPr>
                  </w:pPr>
                  <w:r>
                    <w:rPr>
                      <w:rFonts w:ascii="Times New Roman" w:hAnsi="Times New Roman"/>
                      <w:sz w:val="21"/>
                      <w:szCs w:val="21"/>
                    </w:rPr>
                    <w:t>0.3</w:t>
                  </w:r>
                </w:p>
              </w:tc>
              <w:tc>
                <w:tcPr>
                  <w:tcW w:w="1026" w:type="dxa"/>
                  <w:tcBorders>
                    <w:left w:val="single" w:color="auto" w:sz="4" w:space="0"/>
                    <w:right w:val="single" w:color="auto" w:sz="4" w:space="0"/>
                  </w:tcBorders>
                  <w:vAlign w:val="center"/>
                </w:tcPr>
                <w:p w14:paraId="4075BE8A">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6CB78A9C">
                  <w:pPr>
                    <w:pStyle w:val="55"/>
                    <w:adjustRightInd w:val="0"/>
                    <w:snapToGrid w:val="0"/>
                    <w:ind w:right="0" w:rightChars="0"/>
                    <w:rPr>
                      <w:rFonts w:ascii="Times New Roman" w:hAnsi="Times New Roman"/>
                      <w:sz w:val="21"/>
                      <w:szCs w:val="21"/>
                    </w:rPr>
                  </w:pPr>
                </w:p>
              </w:tc>
              <w:tc>
                <w:tcPr>
                  <w:tcW w:w="2804" w:type="dxa"/>
                  <w:vMerge w:val="continue"/>
                  <w:tcBorders>
                    <w:left w:val="single" w:color="auto" w:sz="4" w:space="0"/>
                    <w:right w:val="nil"/>
                  </w:tcBorders>
                  <w:vAlign w:val="center"/>
                </w:tcPr>
                <w:p w14:paraId="2469A7EB">
                  <w:pPr>
                    <w:pStyle w:val="55"/>
                    <w:adjustRightInd w:val="0"/>
                    <w:snapToGrid w:val="0"/>
                    <w:ind w:right="0" w:rightChars="0"/>
                    <w:rPr>
                      <w:rFonts w:ascii="Times New Roman" w:hAnsi="Times New Roman"/>
                      <w:sz w:val="21"/>
                      <w:szCs w:val="21"/>
                    </w:rPr>
                  </w:pPr>
                </w:p>
              </w:tc>
            </w:tr>
            <w:tr w14:paraId="6DA915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2F0FB63A">
                  <w:pPr>
                    <w:adjustRightInd w:val="0"/>
                    <w:snapToGrid w:val="0"/>
                    <w:jc w:val="center"/>
                    <w:rPr>
                      <w:szCs w:val="21"/>
                    </w:rPr>
                  </w:pPr>
                  <w:r>
                    <w:rPr>
                      <w:szCs w:val="21"/>
                    </w:rPr>
                    <w:t>颗粒物（炭黑尘）</w:t>
                  </w:r>
                </w:p>
              </w:tc>
              <w:tc>
                <w:tcPr>
                  <w:tcW w:w="1025" w:type="dxa"/>
                  <w:tcBorders>
                    <w:top w:val="single" w:color="auto" w:sz="4" w:space="0"/>
                    <w:left w:val="single" w:color="auto" w:sz="4" w:space="0"/>
                    <w:bottom w:val="single" w:color="auto" w:sz="4" w:space="0"/>
                    <w:right w:val="single" w:color="auto" w:sz="4" w:space="0"/>
                  </w:tcBorders>
                  <w:vAlign w:val="center"/>
                </w:tcPr>
                <w:p w14:paraId="2470E05B">
                  <w:pPr>
                    <w:adjustRightInd w:val="0"/>
                    <w:snapToGrid w:val="0"/>
                    <w:jc w:val="center"/>
                    <w:rPr>
                      <w:szCs w:val="21"/>
                    </w:rPr>
                  </w:pPr>
                  <w:r>
                    <w:rPr>
                      <w:szCs w:val="21"/>
                    </w:rPr>
                    <w:t>15</w:t>
                  </w:r>
                </w:p>
              </w:tc>
              <w:tc>
                <w:tcPr>
                  <w:tcW w:w="1418" w:type="dxa"/>
                  <w:tcBorders>
                    <w:top w:val="single" w:color="auto" w:sz="4" w:space="0"/>
                    <w:left w:val="single" w:color="auto" w:sz="4" w:space="0"/>
                    <w:bottom w:val="single" w:color="auto" w:sz="4" w:space="0"/>
                    <w:right w:val="single" w:color="auto" w:sz="4" w:space="0"/>
                  </w:tcBorders>
                  <w:vAlign w:val="center"/>
                </w:tcPr>
                <w:p w14:paraId="39625521">
                  <w:pPr>
                    <w:pStyle w:val="55"/>
                    <w:adjustRightInd w:val="0"/>
                    <w:snapToGrid w:val="0"/>
                    <w:ind w:right="0" w:rightChars="0"/>
                    <w:rPr>
                      <w:rFonts w:ascii="Times New Roman" w:hAnsi="Times New Roman"/>
                      <w:sz w:val="21"/>
                      <w:szCs w:val="21"/>
                    </w:rPr>
                  </w:pPr>
                  <w:r>
                    <w:rPr>
                      <w:rFonts w:ascii="Times New Roman" w:hAnsi="Times New Roman"/>
                      <w:sz w:val="21"/>
                      <w:szCs w:val="21"/>
                    </w:rPr>
                    <w:t>0.51</w:t>
                  </w:r>
                </w:p>
              </w:tc>
              <w:tc>
                <w:tcPr>
                  <w:tcW w:w="1026" w:type="dxa"/>
                  <w:tcBorders>
                    <w:left w:val="single" w:color="auto" w:sz="4" w:space="0"/>
                    <w:right w:val="single" w:color="auto" w:sz="4" w:space="0"/>
                  </w:tcBorders>
                  <w:vAlign w:val="center"/>
                </w:tcPr>
                <w:p w14:paraId="79A91F9A">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44596995">
                  <w:pPr>
                    <w:pStyle w:val="55"/>
                    <w:adjustRightInd w:val="0"/>
                    <w:snapToGrid w:val="0"/>
                    <w:ind w:right="0" w:rightChars="0"/>
                    <w:rPr>
                      <w:rFonts w:ascii="Times New Roman" w:hAnsi="Times New Roman"/>
                      <w:sz w:val="21"/>
                      <w:szCs w:val="21"/>
                    </w:rPr>
                  </w:pPr>
                </w:p>
              </w:tc>
              <w:tc>
                <w:tcPr>
                  <w:tcW w:w="2804" w:type="dxa"/>
                  <w:vMerge w:val="continue"/>
                  <w:tcBorders>
                    <w:left w:val="single" w:color="auto" w:sz="4" w:space="0"/>
                    <w:right w:val="nil"/>
                  </w:tcBorders>
                  <w:vAlign w:val="center"/>
                </w:tcPr>
                <w:p w14:paraId="3855E8EF">
                  <w:pPr>
                    <w:pStyle w:val="55"/>
                    <w:adjustRightInd w:val="0"/>
                    <w:snapToGrid w:val="0"/>
                    <w:ind w:right="0" w:rightChars="0"/>
                    <w:rPr>
                      <w:rFonts w:ascii="Times New Roman" w:hAnsi="Times New Roman"/>
                      <w:sz w:val="21"/>
                      <w:szCs w:val="21"/>
                    </w:rPr>
                  </w:pPr>
                </w:p>
              </w:tc>
            </w:tr>
            <w:tr w14:paraId="1DE21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bottom w:val="single" w:color="auto" w:sz="4" w:space="0"/>
                    <w:right w:val="single" w:color="auto" w:sz="4" w:space="0"/>
                  </w:tcBorders>
                  <w:vAlign w:val="center"/>
                </w:tcPr>
                <w:p w14:paraId="11BC5941">
                  <w:pPr>
                    <w:adjustRightInd w:val="0"/>
                    <w:snapToGrid w:val="0"/>
                    <w:jc w:val="center"/>
                    <w:rPr>
                      <w:szCs w:val="21"/>
                    </w:rPr>
                  </w:pPr>
                  <w:r>
                    <w:rPr>
                      <w:szCs w:val="21"/>
                    </w:rPr>
                    <w:t>颗粒物（其他）</w:t>
                  </w:r>
                </w:p>
              </w:tc>
              <w:tc>
                <w:tcPr>
                  <w:tcW w:w="1025" w:type="dxa"/>
                  <w:tcBorders>
                    <w:top w:val="single" w:color="auto" w:sz="4" w:space="0"/>
                    <w:left w:val="single" w:color="auto" w:sz="4" w:space="0"/>
                    <w:bottom w:val="single" w:color="auto" w:sz="4" w:space="0"/>
                    <w:right w:val="single" w:color="auto" w:sz="4" w:space="0"/>
                  </w:tcBorders>
                  <w:vAlign w:val="center"/>
                </w:tcPr>
                <w:p w14:paraId="54549506">
                  <w:pPr>
                    <w:adjustRightInd w:val="0"/>
                    <w:snapToGrid w:val="0"/>
                    <w:jc w:val="center"/>
                    <w:rPr>
                      <w:szCs w:val="21"/>
                    </w:rPr>
                  </w:pPr>
                  <w:r>
                    <w:rPr>
                      <w:rFonts w:hint="eastAsia"/>
                      <w:szCs w:val="21"/>
                    </w:rPr>
                    <w:t>20</w:t>
                  </w:r>
                </w:p>
              </w:tc>
              <w:tc>
                <w:tcPr>
                  <w:tcW w:w="1418" w:type="dxa"/>
                  <w:tcBorders>
                    <w:top w:val="single" w:color="auto" w:sz="4" w:space="0"/>
                    <w:left w:val="single" w:color="auto" w:sz="4" w:space="0"/>
                    <w:bottom w:val="single" w:color="auto" w:sz="4" w:space="0"/>
                    <w:right w:val="single" w:color="auto" w:sz="4" w:space="0"/>
                  </w:tcBorders>
                  <w:vAlign w:val="center"/>
                </w:tcPr>
                <w:p w14:paraId="2182EFB7">
                  <w:pPr>
                    <w:pStyle w:val="55"/>
                    <w:adjustRightInd w:val="0"/>
                    <w:snapToGrid w:val="0"/>
                    <w:ind w:right="0" w:rightChars="0"/>
                    <w:rPr>
                      <w:rFonts w:ascii="Times New Roman" w:hAnsi="Times New Roman"/>
                      <w:sz w:val="21"/>
                      <w:szCs w:val="21"/>
                    </w:rPr>
                  </w:pPr>
                  <w:r>
                    <w:rPr>
                      <w:rFonts w:hint="eastAsia" w:ascii="Times New Roman" w:hAnsi="Times New Roman"/>
                      <w:sz w:val="21"/>
                      <w:szCs w:val="21"/>
                    </w:rPr>
                    <w:t>1</w:t>
                  </w:r>
                </w:p>
              </w:tc>
              <w:tc>
                <w:tcPr>
                  <w:tcW w:w="1026" w:type="dxa"/>
                  <w:tcBorders>
                    <w:left w:val="single" w:color="auto" w:sz="4" w:space="0"/>
                    <w:right w:val="single" w:color="auto" w:sz="4" w:space="0"/>
                  </w:tcBorders>
                  <w:vAlign w:val="center"/>
                </w:tcPr>
                <w:p w14:paraId="6F7D9634">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658F2774">
                  <w:pPr>
                    <w:pStyle w:val="55"/>
                    <w:adjustRightInd w:val="0"/>
                    <w:snapToGrid w:val="0"/>
                    <w:ind w:right="0" w:rightChars="0"/>
                    <w:rPr>
                      <w:rFonts w:ascii="Times New Roman" w:hAnsi="Times New Roman"/>
                      <w:sz w:val="21"/>
                      <w:szCs w:val="21"/>
                    </w:rPr>
                  </w:pPr>
                </w:p>
              </w:tc>
              <w:tc>
                <w:tcPr>
                  <w:tcW w:w="2804" w:type="dxa"/>
                  <w:vMerge w:val="continue"/>
                  <w:tcBorders>
                    <w:left w:val="single" w:color="auto" w:sz="4" w:space="0"/>
                    <w:right w:val="nil"/>
                  </w:tcBorders>
                  <w:vAlign w:val="center"/>
                </w:tcPr>
                <w:p w14:paraId="351B8F46">
                  <w:pPr>
                    <w:pStyle w:val="55"/>
                    <w:adjustRightInd w:val="0"/>
                    <w:snapToGrid w:val="0"/>
                    <w:ind w:right="0" w:rightChars="0"/>
                    <w:rPr>
                      <w:rFonts w:ascii="Times New Roman" w:hAnsi="Times New Roman"/>
                      <w:sz w:val="21"/>
                      <w:szCs w:val="21"/>
                    </w:rPr>
                  </w:pPr>
                </w:p>
              </w:tc>
            </w:tr>
            <w:tr w14:paraId="2E73DB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237" w:type="dxa"/>
                  <w:tcBorders>
                    <w:top w:val="single" w:color="auto" w:sz="4" w:space="0"/>
                    <w:right w:val="single" w:color="auto" w:sz="4" w:space="0"/>
                  </w:tcBorders>
                  <w:vAlign w:val="center"/>
                </w:tcPr>
                <w:p w14:paraId="2B1A80CF">
                  <w:pPr>
                    <w:adjustRightInd w:val="0"/>
                    <w:snapToGrid w:val="0"/>
                    <w:jc w:val="center"/>
                    <w:rPr>
                      <w:szCs w:val="21"/>
                    </w:rPr>
                  </w:pPr>
                  <w:r>
                    <w:t>乙苯</w:t>
                  </w:r>
                </w:p>
              </w:tc>
              <w:tc>
                <w:tcPr>
                  <w:tcW w:w="1025" w:type="dxa"/>
                  <w:tcBorders>
                    <w:top w:val="single" w:color="auto" w:sz="4" w:space="0"/>
                    <w:left w:val="single" w:color="auto" w:sz="4" w:space="0"/>
                    <w:right w:val="single" w:color="auto" w:sz="4" w:space="0"/>
                  </w:tcBorders>
                  <w:vAlign w:val="center"/>
                </w:tcPr>
                <w:p w14:paraId="0576EDC9">
                  <w:pPr>
                    <w:adjustRightInd w:val="0"/>
                    <w:snapToGrid w:val="0"/>
                    <w:jc w:val="center"/>
                    <w:rPr>
                      <w:szCs w:val="21"/>
                    </w:rPr>
                  </w:pPr>
                  <w:r>
                    <w:t>100</w:t>
                  </w:r>
                  <w:r>
                    <w:rPr>
                      <w:vertAlign w:val="superscript"/>
                    </w:rPr>
                    <w:t>①</w:t>
                  </w:r>
                </w:p>
              </w:tc>
              <w:tc>
                <w:tcPr>
                  <w:tcW w:w="1418" w:type="dxa"/>
                  <w:tcBorders>
                    <w:top w:val="single" w:color="auto" w:sz="4" w:space="0"/>
                    <w:left w:val="single" w:color="auto" w:sz="4" w:space="0"/>
                    <w:right w:val="single" w:color="auto" w:sz="4" w:space="0"/>
                  </w:tcBorders>
                  <w:vAlign w:val="center"/>
                </w:tcPr>
                <w:p w14:paraId="5C07A725">
                  <w:pPr>
                    <w:pStyle w:val="55"/>
                    <w:adjustRightInd w:val="0"/>
                    <w:snapToGrid w:val="0"/>
                    <w:ind w:right="0" w:rightChars="0"/>
                    <w:rPr>
                      <w:rFonts w:ascii="Times New Roman" w:hAnsi="Times New Roman"/>
                      <w:sz w:val="21"/>
                      <w:szCs w:val="21"/>
                    </w:rPr>
                  </w:pPr>
                  <w:r>
                    <w:rPr>
                      <w:rFonts w:ascii="Times New Roman" w:hAnsi="Times New Roman"/>
                    </w:rPr>
                    <w:t>0.12</w:t>
                  </w:r>
                  <w:r>
                    <w:rPr>
                      <w:rFonts w:ascii="Times New Roman" w:hAnsi="Times New Roman"/>
                      <w:vertAlign w:val="superscript"/>
                    </w:rPr>
                    <w:t>②</w:t>
                  </w:r>
                </w:p>
              </w:tc>
              <w:tc>
                <w:tcPr>
                  <w:tcW w:w="1026" w:type="dxa"/>
                  <w:tcBorders>
                    <w:left w:val="single" w:color="auto" w:sz="4" w:space="0"/>
                    <w:right w:val="single" w:color="auto" w:sz="4" w:space="0"/>
                  </w:tcBorders>
                  <w:vAlign w:val="center"/>
                </w:tcPr>
                <w:p w14:paraId="3B6C3E3B">
                  <w:pPr>
                    <w:pStyle w:val="55"/>
                    <w:adjustRightInd w:val="0"/>
                    <w:snapToGrid w:val="0"/>
                    <w:ind w:right="0" w:rightChars="0"/>
                    <w:rPr>
                      <w:rFonts w:ascii="Times New Roman" w:hAnsi="Times New Roman"/>
                      <w:sz w:val="21"/>
                      <w:szCs w:val="21"/>
                    </w:rPr>
                  </w:pPr>
                  <w:r>
                    <w:rPr>
                      <w:rFonts w:ascii="Times New Roman" w:hAnsi="Times New Roman"/>
                      <w:sz w:val="21"/>
                      <w:szCs w:val="21"/>
                    </w:rPr>
                    <w:t>/</w:t>
                  </w:r>
                </w:p>
              </w:tc>
              <w:tc>
                <w:tcPr>
                  <w:tcW w:w="818" w:type="dxa"/>
                  <w:vMerge w:val="continue"/>
                  <w:tcBorders>
                    <w:left w:val="single" w:color="auto" w:sz="4" w:space="0"/>
                    <w:right w:val="single" w:color="auto" w:sz="4" w:space="0"/>
                  </w:tcBorders>
                  <w:vAlign w:val="center"/>
                </w:tcPr>
                <w:p w14:paraId="05E67621">
                  <w:pPr>
                    <w:pStyle w:val="55"/>
                    <w:adjustRightInd w:val="0"/>
                    <w:snapToGrid w:val="0"/>
                    <w:ind w:right="0" w:rightChars="0"/>
                    <w:rPr>
                      <w:rFonts w:ascii="Times New Roman" w:hAnsi="Times New Roman"/>
                      <w:sz w:val="21"/>
                      <w:szCs w:val="21"/>
                    </w:rPr>
                  </w:pPr>
                </w:p>
              </w:tc>
              <w:tc>
                <w:tcPr>
                  <w:tcW w:w="2804" w:type="dxa"/>
                  <w:tcBorders>
                    <w:left w:val="single" w:color="auto" w:sz="4" w:space="0"/>
                    <w:right w:val="nil"/>
                  </w:tcBorders>
                  <w:vAlign w:val="center"/>
                </w:tcPr>
                <w:p w14:paraId="13E61671">
                  <w:pPr>
                    <w:pStyle w:val="55"/>
                    <w:adjustRightInd w:val="0"/>
                    <w:snapToGrid w:val="0"/>
                    <w:ind w:right="0" w:rightChars="0"/>
                    <w:rPr>
                      <w:rFonts w:ascii="Times New Roman" w:hAnsi="Times New Roman"/>
                      <w:sz w:val="21"/>
                      <w:szCs w:val="21"/>
                    </w:rPr>
                  </w:pPr>
                  <w:r>
                    <w:rPr>
                      <w:rFonts w:ascii="Times New Roman" w:hAnsi="Times New Roman"/>
                      <w:sz w:val="21"/>
                      <w:szCs w:val="21"/>
                    </w:rPr>
                    <w:t>根据《制定地方大气污染物排放标准的技术方法》（GB/T13201-91）</w:t>
                  </w:r>
                  <w:r>
                    <w:rPr>
                      <w:rFonts w:hint="eastAsia" w:ascii="Times New Roman" w:hAnsi="Times New Roman"/>
                      <w:sz w:val="21"/>
                      <w:szCs w:val="21"/>
                    </w:rPr>
                    <w:t>制定</w:t>
                  </w:r>
                </w:p>
              </w:tc>
            </w:tr>
          </w:tbl>
          <w:p w14:paraId="315238B6">
            <w:pPr>
              <w:snapToGrid w:val="0"/>
              <w:spacing w:line="280" w:lineRule="exact"/>
              <w:jc w:val="left"/>
            </w:pPr>
            <w:r>
              <w:rPr>
                <w:b/>
                <w:bCs/>
              </w:rPr>
              <w:t>备注：</w:t>
            </w:r>
            <w:r>
              <w:rPr>
                <w:rFonts w:hint="eastAsia"/>
              </w:rPr>
              <w:t>①参照执行《工业场所有害因素职业接触限值》（GBZ2-2002）“时间加权平均允许浓度”。</w:t>
            </w:r>
          </w:p>
          <w:p w14:paraId="78833F0A">
            <w:pPr>
              <w:snapToGrid w:val="0"/>
              <w:spacing w:line="280" w:lineRule="exact"/>
              <w:ind w:firstLine="525" w:firstLineChars="250"/>
            </w:pPr>
            <w:r>
              <w:rPr>
                <w:rFonts w:hint="eastAsia"/>
              </w:rPr>
              <w:t>②</w:t>
            </w:r>
            <w:r>
              <w:t>根据《制定地方大气污染物排放标准的技术方法》（GB/T13201-91），单一排气筒允许排放率按下式确定。</w:t>
            </w:r>
          </w:p>
          <w:p w14:paraId="14CAB316">
            <w:pPr>
              <w:tabs>
                <w:tab w:val="center" w:pos="5003"/>
                <w:tab w:val="left" w:pos="6480"/>
              </w:tabs>
              <w:snapToGrid w:val="0"/>
              <w:spacing w:line="280" w:lineRule="exact"/>
              <w:jc w:val="center"/>
              <w:rPr>
                <w:i/>
              </w:rPr>
            </w:pPr>
            <w:r>
              <w:rPr>
                <w:i/>
              </w:rPr>
              <w:t>Q=C</w:t>
            </w:r>
            <w:r>
              <w:rPr>
                <w:i/>
                <w:vertAlign w:val="subscript"/>
              </w:rPr>
              <w:t>m</w:t>
            </w:r>
            <w:r>
              <w:rPr>
                <w:i/>
              </w:rPr>
              <w:t>RK</w:t>
            </w:r>
            <w:r>
              <w:rPr>
                <w:i/>
                <w:vertAlign w:val="subscript"/>
              </w:rPr>
              <w:t>e</w:t>
            </w:r>
          </w:p>
          <w:p w14:paraId="2DB207B9">
            <w:pPr>
              <w:snapToGrid w:val="0"/>
              <w:spacing w:line="280" w:lineRule="exact"/>
            </w:pPr>
            <w:r>
              <w:t>式中：Q----排气筒允许排放率，</w:t>
            </w:r>
          </w:p>
          <w:p w14:paraId="21D2118A">
            <w:pPr>
              <w:snapToGrid w:val="0"/>
              <w:spacing w:line="280" w:lineRule="exact"/>
              <w:ind w:firstLine="735" w:firstLineChars="350"/>
            </w:pPr>
            <w:r>
              <w:t>C</w:t>
            </w:r>
            <w:r>
              <w:rPr>
                <w:vertAlign w:val="subscript"/>
              </w:rPr>
              <w:t>m</w:t>
            </w:r>
            <w:r>
              <w:t>----标准浓度限值，</w:t>
            </w:r>
          </w:p>
          <w:p w14:paraId="75D9C883">
            <w:pPr>
              <w:tabs>
                <w:tab w:val="left" w:pos="2775"/>
              </w:tabs>
              <w:snapToGrid w:val="0"/>
              <w:spacing w:line="280" w:lineRule="exact"/>
              <w:ind w:firstLine="735" w:firstLineChars="350"/>
            </w:pPr>
            <w:r>
              <w:t>R----排放系数；</w:t>
            </w:r>
          </w:p>
          <w:p w14:paraId="6E93B25E">
            <w:pPr>
              <w:snapToGrid w:val="0"/>
              <w:spacing w:line="280" w:lineRule="exact"/>
              <w:ind w:firstLine="735" w:firstLineChars="350"/>
            </w:pPr>
            <w:r>
              <w:t>K</w:t>
            </w:r>
            <w:r>
              <w:rPr>
                <w:vertAlign w:val="subscript"/>
              </w:rPr>
              <w:t>e</w:t>
            </w:r>
            <w:r>
              <w:t>----地区性经济技术系数，取值为0.5--1.5，本报告取值1.0。</w:t>
            </w:r>
          </w:p>
          <w:p w14:paraId="2AA869F4">
            <w:pPr>
              <w:snapToGrid w:val="0"/>
              <w:spacing w:line="280" w:lineRule="exact"/>
              <w:ind w:firstLine="420" w:firstLineChars="200"/>
            </w:pPr>
            <w:r>
              <w:rPr>
                <w:rFonts w:hint="eastAsia"/>
              </w:rPr>
              <w:t>乙苯</w:t>
            </w:r>
            <w:r>
              <w:t>参照的质量标准为</w:t>
            </w:r>
            <w:r>
              <w:rPr>
                <w:rFonts w:hint="eastAsia"/>
              </w:rPr>
              <w:t>0.02</w:t>
            </w:r>
            <w:r>
              <w:t>mg/m</w:t>
            </w:r>
            <w:r>
              <w:rPr>
                <w:vertAlign w:val="superscript"/>
              </w:rPr>
              <w:t>3</w:t>
            </w:r>
            <w:r>
              <w:t>；江苏为5类区，项目所在地功能区二类，所以</w:t>
            </w:r>
            <w:r>
              <w:rPr>
                <w:rFonts w:hint="eastAsia"/>
              </w:rPr>
              <w:t>本项目排气筒（参照15</w:t>
            </w:r>
            <w:r>
              <w:t>m高排气筒</w:t>
            </w:r>
            <w:r>
              <w:rPr>
                <w:rFonts w:hint="eastAsia"/>
              </w:rPr>
              <w:t>）</w:t>
            </w:r>
            <w:r>
              <w:t>R取值</w:t>
            </w:r>
            <w:r>
              <w:rPr>
                <w:rFonts w:hint="eastAsia"/>
              </w:rPr>
              <w:t>6</w:t>
            </w:r>
            <w:r>
              <w:t>；</w:t>
            </w:r>
          </w:p>
          <w:p w14:paraId="091E81FD">
            <w:pPr>
              <w:snapToGrid w:val="0"/>
              <w:spacing w:line="280" w:lineRule="exact"/>
              <w:ind w:firstLine="420" w:firstLineChars="200"/>
            </w:pPr>
            <w:r>
              <w:t>所以</w:t>
            </w:r>
            <w:r>
              <w:rPr>
                <w:rFonts w:hint="eastAsia"/>
              </w:rPr>
              <w:t>乙苯的</w:t>
            </w:r>
            <w:r>
              <w:t>排放速率</w:t>
            </w:r>
            <w:r>
              <w:rPr>
                <w:rFonts w:hint="eastAsia"/>
              </w:rPr>
              <w:t>0.02</w:t>
            </w:r>
            <w:r>
              <w:t>×</w:t>
            </w:r>
            <w:r>
              <w:rPr>
                <w:rFonts w:hint="eastAsia"/>
              </w:rPr>
              <w:t>6</w:t>
            </w:r>
            <w:r>
              <w:t>×1.0=</w:t>
            </w:r>
            <w:r>
              <w:rPr>
                <w:rFonts w:hint="eastAsia"/>
              </w:rPr>
              <w:t>0.12</w:t>
            </w:r>
            <w:r>
              <w:t>kg/h。</w:t>
            </w:r>
          </w:p>
          <w:p w14:paraId="061157A6">
            <w:pPr>
              <w:adjustRightInd w:val="0"/>
              <w:snapToGrid w:val="0"/>
              <w:spacing w:beforeLines="50" w:line="360" w:lineRule="auto"/>
              <w:ind w:firstLine="420" w:firstLineChars="200"/>
              <w:rPr>
                <w:szCs w:val="21"/>
              </w:rPr>
            </w:pPr>
            <w:r>
              <w:rPr>
                <w:szCs w:val="21"/>
              </w:rPr>
              <w:t>厂界颗粒物、</w:t>
            </w:r>
            <w:r>
              <w:rPr>
                <w:rFonts w:hint="eastAsia"/>
                <w:szCs w:val="21"/>
              </w:rPr>
              <w:t>二甲苯、</w:t>
            </w:r>
            <w:r>
              <w:rPr>
                <w:szCs w:val="21"/>
              </w:rPr>
              <w:t>非甲烷总烃无组织排放执行《橡胶制品工业污染物排放标准》（GB27632-2011）中表6标准限值，硫化氢及臭气浓度无组织排放执行《恶臭污染物排放标准》（GB14554-93）中表1标准限值，氟化物、丙烯腈无组织排放执行《大气污染物综合排放标准》（DB32/4041-2021）中表3标准限值。具体标准值见表3-8。</w:t>
            </w:r>
          </w:p>
          <w:p w14:paraId="76B3EB62">
            <w:pPr>
              <w:pStyle w:val="50"/>
              <w:adjustRightInd w:val="0"/>
              <w:snapToGrid w:val="0"/>
              <w:spacing w:beforeLines="50" w:after="0"/>
              <w:rPr>
                <w:rFonts w:hint="default" w:ascii="Times New Roman" w:hAnsi="Times New Roman" w:cs="Times New Roman"/>
                <w:b/>
                <w:szCs w:val="21"/>
              </w:rPr>
            </w:pPr>
          </w:p>
          <w:p w14:paraId="291EBAC7">
            <w:pPr>
              <w:pStyle w:val="50"/>
              <w:adjustRightInd w:val="0"/>
              <w:snapToGrid w:val="0"/>
              <w:spacing w:beforeLines="50" w:after="0"/>
              <w:rPr>
                <w:rFonts w:hint="default" w:ascii="Times New Roman" w:hAnsi="Times New Roman" w:cs="Times New Roman"/>
                <w:b/>
                <w:szCs w:val="21"/>
              </w:rPr>
            </w:pPr>
          </w:p>
          <w:p w14:paraId="5ABC4C09">
            <w:pPr>
              <w:pStyle w:val="50"/>
              <w:adjustRightInd w:val="0"/>
              <w:snapToGrid w:val="0"/>
              <w:spacing w:beforeLines="50" w:after="0"/>
              <w:rPr>
                <w:rFonts w:hint="default" w:ascii="Times New Roman" w:hAnsi="Times New Roman" w:cs="Times New Roman"/>
                <w:b/>
                <w:szCs w:val="21"/>
              </w:rPr>
            </w:pPr>
          </w:p>
          <w:p w14:paraId="05DA4669">
            <w:pPr>
              <w:pStyle w:val="50"/>
              <w:adjustRightInd w:val="0"/>
              <w:snapToGrid w:val="0"/>
              <w:spacing w:beforeLines="50" w:after="0"/>
              <w:rPr>
                <w:rFonts w:hint="default" w:ascii="Times New Roman" w:hAnsi="Times New Roman" w:cs="Times New Roman"/>
                <w:b/>
                <w:szCs w:val="21"/>
              </w:rPr>
            </w:pPr>
          </w:p>
          <w:p w14:paraId="00337B47">
            <w:pPr>
              <w:pStyle w:val="50"/>
              <w:adjustRightInd w:val="0"/>
              <w:snapToGrid w:val="0"/>
              <w:spacing w:beforeLines="50" w:after="0"/>
              <w:rPr>
                <w:rFonts w:hint="default" w:ascii="Times New Roman" w:hAnsi="Times New Roman" w:cs="Times New Roman"/>
                <w:b/>
                <w:szCs w:val="21"/>
              </w:rPr>
            </w:pPr>
            <w:r>
              <w:rPr>
                <w:rFonts w:hint="default" w:ascii="Times New Roman" w:hAnsi="Times New Roman" w:cs="Times New Roman"/>
                <w:b/>
                <w:szCs w:val="21"/>
              </w:rPr>
              <w:t>表3-8  单位边界大气污染物排放监控浓度限值</w:t>
            </w:r>
          </w:p>
          <w:tbl>
            <w:tblPr>
              <w:tblStyle w:val="25"/>
              <w:tblW w:w="496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609"/>
              <w:gridCol w:w="2159"/>
              <w:gridCol w:w="1845"/>
              <w:gridCol w:w="2657"/>
            </w:tblGrid>
            <w:tr w14:paraId="659520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597D6AAF">
                  <w:pPr>
                    <w:pStyle w:val="23"/>
                    <w:adjustRightInd w:val="0"/>
                    <w:snapToGrid w:val="0"/>
                    <w:ind w:firstLine="0" w:firstLineChars="0"/>
                    <w:jc w:val="center"/>
                    <w:rPr>
                      <w:rFonts w:ascii="Times New Roman"/>
                      <w:b/>
                      <w:szCs w:val="21"/>
                    </w:rPr>
                  </w:pPr>
                  <w:r>
                    <w:rPr>
                      <w:rFonts w:ascii="Times New Roman"/>
                      <w:b/>
                      <w:szCs w:val="21"/>
                    </w:rPr>
                    <w:t>污染物名称</w:t>
                  </w:r>
                </w:p>
              </w:tc>
              <w:tc>
                <w:tcPr>
                  <w:tcW w:w="2159" w:type="dxa"/>
                  <w:tcBorders>
                    <w:tl2br w:val="nil"/>
                    <w:tr2bl w:val="nil"/>
                  </w:tcBorders>
                  <w:vAlign w:val="center"/>
                </w:tcPr>
                <w:p w14:paraId="5EBC4E45">
                  <w:pPr>
                    <w:pStyle w:val="23"/>
                    <w:adjustRightInd w:val="0"/>
                    <w:snapToGrid w:val="0"/>
                    <w:ind w:firstLine="0" w:firstLineChars="0"/>
                    <w:jc w:val="center"/>
                    <w:rPr>
                      <w:rFonts w:ascii="Times New Roman"/>
                      <w:b/>
                      <w:szCs w:val="21"/>
                    </w:rPr>
                  </w:pPr>
                  <w:r>
                    <w:rPr>
                      <w:rFonts w:ascii="Times New Roman"/>
                      <w:b/>
                      <w:szCs w:val="21"/>
                    </w:rPr>
                    <w:t>监控浓度限值mg/m</w:t>
                  </w:r>
                  <w:r>
                    <w:rPr>
                      <w:rFonts w:ascii="Times New Roman"/>
                      <w:b/>
                      <w:szCs w:val="21"/>
                      <w:vertAlign w:val="superscript"/>
                    </w:rPr>
                    <w:t>3</w:t>
                  </w:r>
                </w:p>
              </w:tc>
              <w:tc>
                <w:tcPr>
                  <w:tcW w:w="1845" w:type="dxa"/>
                  <w:tcBorders>
                    <w:tl2br w:val="nil"/>
                    <w:tr2bl w:val="nil"/>
                  </w:tcBorders>
                  <w:tcMar>
                    <w:left w:w="0" w:type="dxa"/>
                    <w:right w:w="0" w:type="dxa"/>
                  </w:tcMar>
                  <w:vAlign w:val="center"/>
                </w:tcPr>
                <w:p w14:paraId="7E30C6D7">
                  <w:pPr>
                    <w:pStyle w:val="23"/>
                    <w:adjustRightInd w:val="0"/>
                    <w:snapToGrid w:val="0"/>
                    <w:ind w:firstLine="0" w:firstLineChars="0"/>
                    <w:jc w:val="center"/>
                    <w:rPr>
                      <w:rFonts w:ascii="Times New Roman"/>
                      <w:b/>
                      <w:szCs w:val="21"/>
                    </w:rPr>
                  </w:pPr>
                  <w:r>
                    <w:rPr>
                      <w:rFonts w:ascii="Times New Roman"/>
                      <w:b/>
                      <w:szCs w:val="21"/>
                    </w:rPr>
                    <w:t>监控位置</w:t>
                  </w:r>
                </w:p>
              </w:tc>
              <w:tc>
                <w:tcPr>
                  <w:tcW w:w="2657" w:type="dxa"/>
                  <w:tcBorders>
                    <w:tl2br w:val="nil"/>
                    <w:tr2bl w:val="nil"/>
                  </w:tcBorders>
                  <w:tcMar>
                    <w:left w:w="0" w:type="dxa"/>
                    <w:right w:w="0" w:type="dxa"/>
                  </w:tcMar>
                  <w:vAlign w:val="center"/>
                </w:tcPr>
                <w:p w14:paraId="07B88770">
                  <w:pPr>
                    <w:pStyle w:val="23"/>
                    <w:adjustRightInd w:val="0"/>
                    <w:snapToGrid w:val="0"/>
                    <w:ind w:firstLine="0" w:firstLineChars="0"/>
                    <w:jc w:val="center"/>
                    <w:rPr>
                      <w:rFonts w:ascii="Times New Roman"/>
                      <w:b/>
                      <w:szCs w:val="21"/>
                    </w:rPr>
                  </w:pPr>
                  <w:r>
                    <w:rPr>
                      <w:rFonts w:ascii="Times New Roman"/>
                      <w:b/>
                      <w:szCs w:val="21"/>
                    </w:rPr>
                    <w:t>标准来源</w:t>
                  </w:r>
                </w:p>
              </w:tc>
            </w:tr>
            <w:tr w14:paraId="7E38B8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061A7479">
                  <w:pPr>
                    <w:adjustRightInd w:val="0"/>
                    <w:jc w:val="center"/>
                    <w:rPr>
                      <w:szCs w:val="21"/>
                    </w:rPr>
                  </w:pPr>
                  <w:r>
                    <w:rPr>
                      <w:szCs w:val="21"/>
                    </w:rPr>
                    <w:t>非甲烷总烃</w:t>
                  </w:r>
                </w:p>
              </w:tc>
              <w:tc>
                <w:tcPr>
                  <w:tcW w:w="2159" w:type="dxa"/>
                  <w:tcBorders>
                    <w:tl2br w:val="nil"/>
                    <w:tr2bl w:val="nil"/>
                  </w:tcBorders>
                  <w:vAlign w:val="center"/>
                </w:tcPr>
                <w:p w14:paraId="5F1E3ED8">
                  <w:pPr>
                    <w:adjustRightInd w:val="0"/>
                    <w:jc w:val="center"/>
                    <w:rPr>
                      <w:szCs w:val="21"/>
                    </w:rPr>
                  </w:pPr>
                  <w:r>
                    <w:rPr>
                      <w:szCs w:val="21"/>
                    </w:rPr>
                    <w:t>4.0</w:t>
                  </w:r>
                </w:p>
              </w:tc>
              <w:tc>
                <w:tcPr>
                  <w:tcW w:w="1845" w:type="dxa"/>
                  <w:vMerge w:val="restart"/>
                  <w:tcBorders>
                    <w:tl2br w:val="nil"/>
                    <w:tr2bl w:val="nil"/>
                  </w:tcBorders>
                  <w:vAlign w:val="center"/>
                </w:tcPr>
                <w:p w14:paraId="79CB696B">
                  <w:pPr>
                    <w:pStyle w:val="55"/>
                    <w:adjustRightInd w:val="0"/>
                    <w:snapToGrid w:val="0"/>
                    <w:ind w:right="0" w:rightChars="0"/>
                    <w:rPr>
                      <w:rFonts w:ascii="Times New Roman" w:hAnsi="Times New Roman"/>
                      <w:sz w:val="21"/>
                      <w:szCs w:val="21"/>
                    </w:rPr>
                  </w:pPr>
                  <w:r>
                    <w:rPr>
                      <w:rFonts w:ascii="Times New Roman" w:hAnsi="Times New Roman"/>
                      <w:sz w:val="21"/>
                      <w:szCs w:val="21"/>
                    </w:rPr>
                    <w:t>边界外浓度最高点</w:t>
                  </w:r>
                </w:p>
              </w:tc>
              <w:tc>
                <w:tcPr>
                  <w:tcW w:w="2657" w:type="dxa"/>
                  <w:vMerge w:val="restart"/>
                  <w:tcBorders>
                    <w:tl2br w:val="nil"/>
                    <w:tr2bl w:val="nil"/>
                  </w:tcBorders>
                  <w:vAlign w:val="center"/>
                </w:tcPr>
                <w:p w14:paraId="78856060">
                  <w:pPr>
                    <w:pStyle w:val="55"/>
                    <w:adjustRightInd w:val="0"/>
                    <w:snapToGrid w:val="0"/>
                    <w:ind w:right="0" w:rightChars="0"/>
                    <w:rPr>
                      <w:rFonts w:ascii="Times New Roman" w:hAnsi="Times New Roman"/>
                      <w:sz w:val="21"/>
                      <w:szCs w:val="21"/>
                    </w:rPr>
                  </w:pPr>
                  <w:r>
                    <w:rPr>
                      <w:rFonts w:ascii="Times New Roman" w:hAnsi="Times New Roman"/>
                      <w:sz w:val="21"/>
                      <w:szCs w:val="21"/>
                    </w:rPr>
                    <w:t>《橡胶制品工业污染物排放标准》（GB27632-2011）</w:t>
                  </w:r>
                </w:p>
              </w:tc>
            </w:tr>
            <w:tr w14:paraId="5F6992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6F1F7823">
                  <w:pPr>
                    <w:adjustRightInd w:val="0"/>
                    <w:jc w:val="center"/>
                    <w:rPr>
                      <w:szCs w:val="21"/>
                    </w:rPr>
                  </w:pPr>
                  <w:r>
                    <w:rPr>
                      <w:rFonts w:hint="eastAsia"/>
                      <w:szCs w:val="21"/>
                    </w:rPr>
                    <w:t>颗粒物</w:t>
                  </w:r>
                </w:p>
              </w:tc>
              <w:tc>
                <w:tcPr>
                  <w:tcW w:w="2159" w:type="dxa"/>
                  <w:tcBorders>
                    <w:tl2br w:val="nil"/>
                    <w:tr2bl w:val="nil"/>
                  </w:tcBorders>
                  <w:vAlign w:val="center"/>
                </w:tcPr>
                <w:p w14:paraId="5180D635">
                  <w:pPr>
                    <w:adjustRightInd w:val="0"/>
                    <w:jc w:val="center"/>
                    <w:rPr>
                      <w:szCs w:val="21"/>
                    </w:rPr>
                  </w:pPr>
                  <w:r>
                    <w:rPr>
                      <w:rFonts w:hint="eastAsia"/>
                      <w:szCs w:val="21"/>
                    </w:rPr>
                    <w:t>1.0</w:t>
                  </w:r>
                </w:p>
              </w:tc>
              <w:tc>
                <w:tcPr>
                  <w:tcW w:w="1845" w:type="dxa"/>
                  <w:vMerge w:val="continue"/>
                  <w:tcBorders>
                    <w:tl2br w:val="nil"/>
                    <w:tr2bl w:val="nil"/>
                  </w:tcBorders>
                  <w:vAlign w:val="center"/>
                </w:tcPr>
                <w:p w14:paraId="359453BF">
                  <w:pPr>
                    <w:pStyle w:val="55"/>
                    <w:adjustRightInd w:val="0"/>
                    <w:snapToGrid w:val="0"/>
                    <w:ind w:right="0" w:rightChars="0"/>
                    <w:rPr>
                      <w:rFonts w:ascii="Times New Roman" w:hAnsi="Times New Roman"/>
                      <w:sz w:val="21"/>
                      <w:szCs w:val="21"/>
                    </w:rPr>
                  </w:pPr>
                </w:p>
              </w:tc>
              <w:tc>
                <w:tcPr>
                  <w:tcW w:w="2657" w:type="dxa"/>
                  <w:vMerge w:val="continue"/>
                  <w:tcBorders>
                    <w:tl2br w:val="nil"/>
                    <w:tr2bl w:val="nil"/>
                  </w:tcBorders>
                  <w:vAlign w:val="center"/>
                </w:tcPr>
                <w:p w14:paraId="192DE452">
                  <w:pPr>
                    <w:pStyle w:val="55"/>
                    <w:adjustRightInd w:val="0"/>
                    <w:snapToGrid w:val="0"/>
                    <w:ind w:right="0" w:rightChars="0"/>
                    <w:rPr>
                      <w:rFonts w:ascii="Times New Roman" w:hAnsi="Times New Roman"/>
                      <w:sz w:val="21"/>
                      <w:szCs w:val="21"/>
                    </w:rPr>
                  </w:pPr>
                </w:p>
              </w:tc>
            </w:tr>
            <w:tr w14:paraId="073B9D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7F8BAA8F">
                  <w:pPr>
                    <w:adjustRightInd w:val="0"/>
                    <w:jc w:val="center"/>
                    <w:rPr>
                      <w:szCs w:val="21"/>
                    </w:rPr>
                  </w:pPr>
                  <w:r>
                    <w:rPr>
                      <w:rFonts w:hint="eastAsia"/>
                      <w:szCs w:val="21"/>
                    </w:rPr>
                    <w:t>二甲苯</w:t>
                  </w:r>
                </w:p>
              </w:tc>
              <w:tc>
                <w:tcPr>
                  <w:tcW w:w="2159" w:type="dxa"/>
                  <w:tcBorders>
                    <w:tl2br w:val="nil"/>
                    <w:tr2bl w:val="nil"/>
                  </w:tcBorders>
                  <w:vAlign w:val="center"/>
                </w:tcPr>
                <w:p w14:paraId="651D2EC0">
                  <w:pPr>
                    <w:adjustRightInd w:val="0"/>
                    <w:jc w:val="center"/>
                    <w:rPr>
                      <w:szCs w:val="21"/>
                    </w:rPr>
                  </w:pPr>
                  <w:r>
                    <w:rPr>
                      <w:rFonts w:hint="eastAsia"/>
                      <w:szCs w:val="21"/>
                    </w:rPr>
                    <w:t>1.2</w:t>
                  </w:r>
                </w:p>
              </w:tc>
              <w:tc>
                <w:tcPr>
                  <w:tcW w:w="1845" w:type="dxa"/>
                  <w:vMerge w:val="continue"/>
                  <w:tcBorders>
                    <w:tl2br w:val="nil"/>
                    <w:tr2bl w:val="nil"/>
                  </w:tcBorders>
                  <w:vAlign w:val="center"/>
                </w:tcPr>
                <w:p w14:paraId="70339EE1">
                  <w:pPr>
                    <w:pStyle w:val="55"/>
                    <w:adjustRightInd w:val="0"/>
                    <w:snapToGrid w:val="0"/>
                    <w:ind w:right="0" w:rightChars="0"/>
                    <w:rPr>
                      <w:rFonts w:ascii="Times New Roman" w:hAnsi="Times New Roman"/>
                      <w:sz w:val="21"/>
                      <w:szCs w:val="21"/>
                    </w:rPr>
                  </w:pPr>
                </w:p>
              </w:tc>
              <w:tc>
                <w:tcPr>
                  <w:tcW w:w="2657" w:type="dxa"/>
                  <w:vMerge w:val="continue"/>
                  <w:tcBorders>
                    <w:tl2br w:val="nil"/>
                    <w:tr2bl w:val="nil"/>
                  </w:tcBorders>
                  <w:vAlign w:val="center"/>
                </w:tcPr>
                <w:p w14:paraId="1B1A4BC8">
                  <w:pPr>
                    <w:pStyle w:val="55"/>
                    <w:adjustRightInd w:val="0"/>
                    <w:snapToGrid w:val="0"/>
                    <w:ind w:right="0" w:rightChars="0"/>
                    <w:rPr>
                      <w:rFonts w:ascii="Times New Roman" w:hAnsi="Times New Roman"/>
                      <w:sz w:val="21"/>
                      <w:szCs w:val="21"/>
                    </w:rPr>
                  </w:pPr>
                </w:p>
              </w:tc>
            </w:tr>
            <w:tr w14:paraId="0CEB73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512B60C1">
                  <w:pPr>
                    <w:adjustRightInd w:val="0"/>
                    <w:jc w:val="center"/>
                    <w:rPr>
                      <w:szCs w:val="21"/>
                    </w:rPr>
                  </w:pPr>
                  <w:r>
                    <w:rPr>
                      <w:szCs w:val="21"/>
                    </w:rPr>
                    <w:t>硫化氢</w:t>
                  </w:r>
                </w:p>
              </w:tc>
              <w:tc>
                <w:tcPr>
                  <w:tcW w:w="2159" w:type="dxa"/>
                  <w:tcBorders>
                    <w:tl2br w:val="nil"/>
                    <w:tr2bl w:val="nil"/>
                  </w:tcBorders>
                  <w:vAlign w:val="center"/>
                </w:tcPr>
                <w:p w14:paraId="215F3F87">
                  <w:pPr>
                    <w:adjustRightInd w:val="0"/>
                    <w:jc w:val="center"/>
                    <w:rPr>
                      <w:szCs w:val="21"/>
                    </w:rPr>
                  </w:pPr>
                  <w:r>
                    <w:rPr>
                      <w:szCs w:val="21"/>
                    </w:rPr>
                    <w:t>0.06</w:t>
                  </w:r>
                </w:p>
              </w:tc>
              <w:tc>
                <w:tcPr>
                  <w:tcW w:w="1845" w:type="dxa"/>
                  <w:vMerge w:val="continue"/>
                  <w:tcBorders>
                    <w:tl2br w:val="nil"/>
                    <w:tr2bl w:val="nil"/>
                  </w:tcBorders>
                  <w:vAlign w:val="center"/>
                </w:tcPr>
                <w:p w14:paraId="45601981">
                  <w:pPr>
                    <w:pStyle w:val="55"/>
                    <w:adjustRightInd w:val="0"/>
                    <w:snapToGrid w:val="0"/>
                    <w:ind w:right="0" w:rightChars="0"/>
                    <w:rPr>
                      <w:rFonts w:ascii="Times New Roman" w:hAnsi="Times New Roman"/>
                      <w:sz w:val="21"/>
                      <w:szCs w:val="21"/>
                    </w:rPr>
                  </w:pPr>
                </w:p>
              </w:tc>
              <w:tc>
                <w:tcPr>
                  <w:tcW w:w="2657" w:type="dxa"/>
                  <w:vMerge w:val="restart"/>
                  <w:tcBorders>
                    <w:tl2br w:val="nil"/>
                    <w:tr2bl w:val="nil"/>
                  </w:tcBorders>
                  <w:vAlign w:val="center"/>
                </w:tcPr>
                <w:p w14:paraId="547EB581">
                  <w:pPr>
                    <w:pStyle w:val="55"/>
                    <w:adjustRightInd w:val="0"/>
                    <w:snapToGrid w:val="0"/>
                    <w:ind w:right="0" w:rightChars="0"/>
                    <w:rPr>
                      <w:rStyle w:val="30"/>
                      <w:rFonts w:ascii="Times New Roman" w:hAnsi="Times New Roman"/>
                      <w:kern w:val="2"/>
                      <w:szCs w:val="21"/>
                    </w:rPr>
                  </w:pPr>
                  <w:r>
                    <w:rPr>
                      <w:rFonts w:ascii="Times New Roman" w:hAnsi="Times New Roman"/>
                      <w:sz w:val="21"/>
                      <w:szCs w:val="21"/>
                    </w:rPr>
                    <w:t>《恶臭污染物排放标准》（GB14554-93）</w:t>
                  </w:r>
                </w:p>
              </w:tc>
            </w:tr>
            <w:tr w14:paraId="766BBA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2BCF0D10">
                  <w:pPr>
                    <w:adjustRightInd w:val="0"/>
                    <w:jc w:val="center"/>
                    <w:rPr>
                      <w:szCs w:val="21"/>
                    </w:rPr>
                  </w:pPr>
                  <w:r>
                    <w:rPr>
                      <w:szCs w:val="21"/>
                    </w:rPr>
                    <w:t>臭气浓度</w:t>
                  </w:r>
                </w:p>
              </w:tc>
              <w:tc>
                <w:tcPr>
                  <w:tcW w:w="2159" w:type="dxa"/>
                  <w:tcBorders>
                    <w:tl2br w:val="nil"/>
                    <w:tr2bl w:val="nil"/>
                  </w:tcBorders>
                  <w:vAlign w:val="center"/>
                </w:tcPr>
                <w:p w14:paraId="3DE73A96">
                  <w:pPr>
                    <w:adjustRightInd w:val="0"/>
                    <w:jc w:val="center"/>
                    <w:rPr>
                      <w:szCs w:val="21"/>
                    </w:rPr>
                  </w:pPr>
                  <w:r>
                    <w:rPr>
                      <w:szCs w:val="21"/>
                    </w:rPr>
                    <w:t>20（无量纲）</w:t>
                  </w:r>
                </w:p>
              </w:tc>
              <w:tc>
                <w:tcPr>
                  <w:tcW w:w="1845" w:type="dxa"/>
                  <w:vMerge w:val="continue"/>
                  <w:tcBorders>
                    <w:tl2br w:val="nil"/>
                    <w:tr2bl w:val="nil"/>
                  </w:tcBorders>
                  <w:vAlign w:val="center"/>
                </w:tcPr>
                <w:p w14:paraId="57C3E5CF">
                  <w:pPr>
                    <w:pStyle w:val="55"/>
                    <w:adjustRightInd w:val="0"/>
                    <w:snapToGrid w:val="0"/>
                    <w:ind w:right="0" w:rightChars="0"/>
                    <w:rPr>
                      <w:rFonts w:ascii="Times New Roman" w:hAnsi="Times New Roman"/>
                      <w:sz w:val="21"/>
                      <w:szCs w:val="21"/>
                    </w:rPr>
                  </w:pPr>
                </w:p>
              </w:tc>
              <w:tc>
                <w:tcPr>
                  <w:tcW w:w="2657" w:type="dxa"/>
                  <w:vMerge w:val="continue"/>
                  <w:tcBorders>
                    <w:tl2br w:val="nil"/>
                    <w:tr2bl w:val="nil"/>
                  </w:tcBorders>
                  <w:vAlign w:val="center"/>
                </w:tcPr>
                <w:p w14:paraId="46EF75D9">
                  <w:pPr>
                    <w:pStyle w:val="55"/>
                    <w:adjustRightInd w:val="0"/>
                    <w:snapToGrid w:val="0"/>
                    <w:ind w:right="0" w:rightChars="0"/>
                    <w:rPr>
                      <w:rStyle w:val="30"/>
                      <w:rFonts w:ascii="Times New Roman" w:hAnsi="Times New Roman"/>
                      <w:kern w:val="2"/>
                      <w:szCs w:val="21"/>
                    </w:rPr>
                  </w:pPr>
                </w:p>
              </w:tc>
            </w:tr>
            <w:tr w14:paraId="6CCB7B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30BC33D7">
                  <w:pPr>
                    <w:adjustRightInd w:val="0"/>
                    <w:jc w:val="center"/>
                    <w:rPr>
                      <w:szCs w:val="21"/>
                    </w:rPr>
                  </w:pPr>
                  <w:bookmarkStart w:id="100" w:name="_Hlk201476532"/>
                  <w:r>
                    <w:rPr>
                      <w:szCs w:val="21"/>
                    </w:rPr>
                    <w:t>氟化物</w:t>
                  </w:r>
                </w:p>
              </w:tc>
              <w:tc>
                <w:tcPr>
                  <w:tcW w:w="2159" w:type="dxa"/>
                  <w:tcBorders>
                    <w:tl2br w:val="nil"/>
                    <w:tr2bl w:val="nil"/>
                  </w:tcBorders>
                  <w:vAlign w:val="center"/>
                </w:tcPr>
                <w:p w14:paraId="066807E9">
                  <w:pPr>
                    <w:adjustRightInd w:val="0"/>
                    <w:jc w:val="center"/>
                    <w:rPr>
                      <w:szCs w:val="21"/>
                    </w:rPr>
                  </w:pPr>
                  <w:r>
                    <w:rPr>
                      <w:szCs w:val="21"/>
                    </w:rPr>
                    <w:t>0.02</w:t>
                  </w:r>
                </w:p>
              </w:tc>
              <w:tc>
                <w:tcPr>
                  <w:tcW w:w="1845" w:type="dxa"/>
                  <w:vMerge w:val="continue"/>
                  <w:tcBorders>
                    <w:tl2br w:val="nil"/>
                    <w:tr2bl w:val="nil"/>
                  </w:tcBorders>
                  <w:vAlign w:val="center"/>
                </w:tcPr>
                <w:p w14:paraId="719D5E3D">
                  <w:pPr>
                    <w:pStyle w:val="55"/>
                    <w:adjustRightInd w:val="0"/>
                    <w:snapToGrid w:val="0"/>
                    <w:ind w:right="0" w:rightChars="0"/>
                    <w:rPr>
                      <w:rFonts w:ascii="Times New Roman" w:hAnsi="Times New Roman"/>
                      <w:sz w:val="21"/>
                      <w:szCs w:val="21"/>
                    </w:rPr>
                  </w:pPr>
                </w:p>
              </w:tc>
              <w:tc>
                <w:tcPr>
                  <w:tcW w:w="2657" w:type="dxa"/>
                  <w:vMerge w:val="restart"/>
                  <w:tcBorders>
                    <w:tl2br w:val="nil"/>
                    <w:tr2bl w:val="nil"/>
                  </w:tcBorders>
                  <w:vAlign w:val="center"/>
                </w:tcPr>
                <w:p w14:paraId="21F9C374">
                  <w:pPr>
                    <w:adjustRightInd w:val="0"/>
                    <w:jc w:val="center"/>
                    <w:rPr>
                      <w:szCs w:val="21"/>
                    </w:rPr>
                  </w:pPr>
                  <w:r>
                    <w:rPr>
                      <w:szCs w:val="21"/>
                    </w:rPr>
                    <w:t>《大气污染物综合排放标准》（DB32/4041-2021）</w:t>
                  </w:r>
                </w:p>
              </w:tc>
            </w:tr>
            <w:tr w14:paraId="32BA53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55BFDB7E">
                  <w:pPr>
                    <w:adjustRightInd w:val="0"/>
                    <w:jc w:val="center"/>
                    <w:rPr>
                      <w:szCs w:val="21"/>
                    </w:rPr>
                  </w:pPr>
                  <w:r>
                    <w:rPr>
                      <w:szCs w:val="21"/>
                    </w:rPr>
                    <w:t>丙烯腈</w:t>
                  </w:r>
                </w:p>
              </w:tc>
              <w:tc>
                <w:tcPr>
                  <w:tcW w:w="2159" w:type="dxa"/>
                  <w:tcBorders>
                    <w:tl2br w:val="nil"/>
                    <w:tr2bl w:val="nil"/>
                  </w:tcBorders>
                  <w:vAlign w:val="center"/>
                </w:tcPr>
                <w:p w14:paraId="73BF7C9E">
                  <w:pPr>
                    <w:adjustRightInd w:val="0"/>
                    <w:jc w:val="center"/>
                    <w:rPr>
                      <w:szCs w:val="21"/>
                    </w:rPr>
                  </w:pPr>
                  <w:r>
                    <w:rPr>
                      <w:szCs w:val="21"/>
                    </w:rPr>
                    <w:t>0.15</w:t>
                  </w:r>
                </w:p>
              </w:tc>
              <w:tc>
                <w:tcPr>
                  <w:tcW w:w="1845" w:type="dxa"/>
                  <w:vMerge w:val="continue"/>
                  <w:tcBorders>
                    <w:tl2br w:val="nil"/>
                    <w:tr2bl w:val="nil"/>
                  </w:tcBorders>
                  <w:vAlign w:val="center"/>
                </w:tcPr>
                <w:p w14:paraId="4C330C27">
                  <w:pPr>
                    <w:pStyle w:val="55"/>
                    <w:adjustRightInd w:val="0"/>
                    <w:snapToGrid w:val="0"/>
                    <w:ind w:right="0" w:rightChars="0"/>
                    <w:rPr>
                      <w:rFonts w:ascii="Times New Roman" w:hAnsi="Times New Roman"/>
                      <w:sz w:val="21"/>
                      <w:szCs w:val="21"/>
                    </w:rPr>
                  </w:pPr>
                </w:p>
              </w:tc>
              <w:tc>
                <w:tcPr>
                  <w:tcW w:w="2657" w:type="dxa"/>
                  <w:vMerge w:val="continue"/>
                  <w:tcBorders>
                    <w:tl2br w:val="nil"/>
                    <w:tr2bl w:val="nil"/>
                  </w:tcBorders>
                  <w:vAlign w:val="center"/>
                </w:tcPr>
                <w:p w14:paraId="2CB5C953">
                  <w:pPr>
                    <w:adjustRightInd w:val="0"/>
                    <w:jc w:val="center"/>
                    <w:rPr>
                      <w:szCs w:val="21"/>
                    </w:rPr>
                  </w:pPr>
                </w:p>
              </w:tc>
            </w:tr>
            <w:tr w14:paraId="1DB876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09" w:type="dxa"/>
                  <w:tcBorders>
                    <w:tl2br w:val="nil"/>
                    <w:tr2bl w:val="nil"/>
                  </w:tcBorders>
                  <w:vAlign w:val="center"/>
                </w:tcPr>
                <w:p w14:paraId="42A402AA">
                  <w:pPr>
                    <w:adjustRightInd w:val="0"/>
                    <w:jc w:val="center"/>
                    <w:rPr>
                      <w:szCs w:val="21"/>
                    </w:rPr>
                  </w:pPr>
                  <w:r>
                    <w:rPr>
                      <w:rFonts w:hint="eastAsia"/>
                      <w:szCs w:val="21"/>
                    </w:rPr>
                    <w:t>乙苯</w:t>
                  </w:r>
                </w:p>
              </w:tc>
              <w:tc>
                <w:tcPr>
                  <w:tcW w:w="2159" w:type="dxa"/>
                  <w:tcBorders>
                    <w:tl2br w:val="nil"/>
                    <w:tr2bl w:val="nil"/>
                  </w:tcBorders>
                  <w:vAlign w:val="center"/>
                </w:tcPr>
                <w:p w14:paraId="7014C2B4">
                  <w:pPr>
                    <w:adjustRightInd w:val="0"/>
                    <w:jc w:val="center"/>
                    <w:rPr>
                      <w:szCs w:val="21"/>
                    </w:rPr>
                  </w:pPr>
                  <w:r>
                    <w:rPr>
                      <w:rFonts w:hint="eastAsia"/>
                      <w:szCs w:val="21"/>
                    </w:rPr>
                    <w:t>0.02</w:t>
                  </w:r>
                  <w:r>
                    <w:rPr>
                      <w:rFonts w:hint="eastAsia"/>
                      <w:vertAlign w:val="superscript"/>
                    </w:rPr>
                    <w:t>①</w:t>
                  </w:r>
                </w:p>
              </w:tc>
              <w:tc>
                <w:tcPr>
                  <w:tcW w:w="1845" w:type="dxa"/>
                  <w:vMerge w:val="continue"/>
                  <w:tcBorders>
                    <w:tl2br w:val="nil"/>
                    <w:tr2bl w:val="nil"/>
                  </w:tcBorders>
                  <w:vAlign w:val="center"/>
                </w:tcPr>
                <w:p w14:paraId="01657DA9">
                  <w:pPr>
                    <w:pStyle w:val="55"/>
                    <w:adjustRightInd w:val="0"/>
                    <w:snapToGrid w:val="0"/>
                    <w:ind w:right="0" w:rightChars="0"/>
                    <w:rPr>
                      <w:rFonts w:ascii="Times New Roman" w:hAnsi="Times New Roman"/>
                      <w:sz w:val="21"/>
                      <w:szCs w:val="21"/>
                    </w:rPr>
                  </w:pPr>
                </w:p>
              </w:tc>
              <w:tc>
                <w:tcPr>
                  <w:tcW w:w="2657" w:type="dxa"/>
                  <w:tcBorders>
                    <w:tl2br w:val="nil"/>
                    <w:tr2bl w:val="nil"/>
                  </w:tcBorders>
                  <w:vAlign w:val="center"/>
                </w:tcPr>
                <w:p w14:paraId="2D7CF387">
                  <w:pPr>
                    <w:adjustRightInd w:val="0"/>
                    <w:jc w:val="center"/>
                    <w:rPr>
                      <w:szCs w:val="21"/>
                    </w:rPr>
                  </w:pPr>
                  <w:bookmarkStart w:id="101" w:name="OLE_LINK85"/>
                  <w:r>
                    <w:rPr>
                      <w:szCs w:val="21"/>
                    </w:rPr>
                    <w:t>前苏联(197</w:t>
                  </w:r>
                  <w:r>
                    <w:rPr>
                      <w:rFonts w:hint="eastAsia"/>
                      <w:szCs w:val="21"/>
                    </w:rPr>
                    <w:t>7</w:t>
                  </w:r>
                  <w:r>
                    <w:rPr>
                      <w:szCs w:val="21"/>
                    </w:rPr>
                    <w:t>）空气质量标准</w:t>
                  </w:r>
                  <w:bookmarkEnd w:id="101"/>
                </w:p>
              </w:tc>
            </w:tr>
            <w:bookmarkEnd w:id="100"/>
          </w:tbl>
          <w:p w14:paraId="5F45DA34">
            <w:pPr>
              <w:snapToGrid w:val="0"/>
              <w:spacing w:line="280" w:lineRule="exact"/>
              <w:ind w:firstLine="422" w:firstLineChars="200"/>
            </w:pPr>
            <w:r>
              <w:rPr>
                <w:rFonts w:hint="eastAsia"/>
                <w:b/>
                <w:bCs/>
              </w:rPr>
              <w:t>备注</w:t>
            </w:r>
            <w:r>
              <w:rPr>
                <w:rFonts w:hint="eastAsia"/>
              </w:rPr>
              <w:t>：无组织排放监控浓度限值建议采用</w:t>
            </w:r>
            <w:r>
              <w:t>前苏联(197</w:t>
            </w:r>
            <w:r>
              <w:rPr>
                <w:rFonts w:hint="eastAsia"/>
              </w:rPr>
              <w:t>7</w:t>
            </w:r>
            <w:r>
              <w:t>）空气质量标准</w:t>
            </w:r>
            <w:r>
              <w:rPr>
                <w:rFonts w:hint="eastAsia"/>
              </w:rPr>
              <w:t>中日均值，即0.02 mg/m</w:t>
            </w:r>
            <w:r>
              <w:rPr>
                <w:rFonts w:hint="eastAsia"/>
                <w:vertAlign w:val="superscript"/>
              </w:rPr>
              <w:t>3</w:t>
            </w:r>
            <w:r>
              <w:rPr>
                <w:rFonts w:hint="eastAsia"/>
              </w:rPr>
              <w:t>。</w:t>
            </w:r>
          </w:p>
          <w:p w14:paraId="4B7FB091">
            <w:pPr>
              <w:pStyle w:val="50"/>
              <w:adjustRightInd w:val="0"/>
              <w:snapToGrid w:val="0"/>
              <w:spacing w:beforeLines="50" w:after="0" w:line="360" w:lineRule="auto"/>
              <w:ind w:firstLine="420" w:firstLineChars="200"/>
              <w:jc w:val="both"/>
              <w:rPr>
                <w:rFonts w:hint="default" w:ascii="Times New Roman" w:hAnsi="Times New Roman" w:cs="Times New Roman"/>
                <w:b/>
                <w:szCs w:val="21"/>
              </w:rPr>
            </w:pPr>
            <w:r>
              <w:rPr>
                <w:rFonts w:hint="default" w:ascii="Times New Roman" w:hAnsi="Times New Roman" w:cs="Times New Roman"/>
                <w:szCs w:val="21"/>
              </w:rPr>
              <w:t>厂区内非甲烷总烃无组织排放执行《大气污染物综合排放标准》（DB32/4041-2021）中表2标准限值，具体标准值见表3-9。</w:t>
            </w:r>
          </w:p>
          <w:p w14:paraId="6E180CFC">
            <w:pPr>
              <w:pStyle w:val="50"/>
              <w:adjustRightInd w:val="0"/>
              <w:snapToGrid w:val="0"/>
              <w:spacing w:before="0" w:after="0"/>
              <w:rPr>
                <w:rFonts w:hint="default" w:ascii="Times New Roman" w:hAnsi="Times New Roman" w:cs="Times New Roman"/>
                <w:b/>
                <w:szCs w:val="21"/>
              </w:rPr>
            </w:pPr>
            <w:r>
              <w:rPr>
                <w:rFonts w:hint="default" w:ascii="Times New Roman" w:hAnsi="Times New Roman" w:cs="Times New Roman"/>
                <w:b/>
                <w:szCs w:val="21"/>
              </w:rPr>
              <w:t>表3-9  厂区内VOCs无组织排放限值</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30"/>
              <w:gridCol w:w="1091"/>
              <w:gridCol w:w="2458"/>
              <w:gridCol w:w="1224"/>
              <w:gridCol w:w="2525"/>
            </w:tblGrid>
            <w:tr w14:paraId="075B23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8" w:type="pct"/>
                  <w:tcBorders>
                    <w:top w:val="single" w:color="auto" w:sz="12" w:space="0"/>
                    <w:left w:val="nil"/>
                    <w:bottom w:val="single" w:color="auto" w:sz="4" w:space="0"/>
                    <w:right w:val="single" w:color="auto" w:sz="4" w:space="0"/>
                  </w:tcBorders>
                  <w:vAlign w:val="center"/>
                </w:tcPr>
                <w:p w14:paraId="196E5AA4">
                  <w:pPr>
                    <w:pStyle w:val="50"/>
                    <w:spacing w:before="0" w:after="0"/>
                    <w:rPr>
                      <w:rFonts w:hint="default" w:ascii="Times New Roman" w:hAnsi="Times New Roman" w:cs="Times New Roman"/>
                      <w:b/>
                      <w:szCs w:val="21"/>
                    </w:rPr>
                  </w:pPr>
                  <w:r>
                    <w:rPr>
                      <w:rFonts w:hint="default" w:ascii="Times New Roman" w:hAnsi="Times New Roman" w:cs="Times New Roman"/>
                      <w:b/>
                      <w:szCs w:val="21"/>
                    </w:rPr>
                    <w:t>污染物项目</w:t>
                  </w:r>
                </w:p>
              </w:tc>
              <w:tc>
                <w:tcPr>
                  <w:tcW w:w="655" w:type="pct"/>
                  <w:tcBorders>
                    <w:top w:val="single" w:color="auto" w:sz="12" w:space="0"/>
                    <w:left w:val="single" w:color="auto" w:sz="4" w:space="0"/>
                    <w:bottom w:val="single" w:color="auto" w:sz="4" w:space="0"/>
                    <w:right w:val="single" w:color="auto" w:sz="4" w:space="0"/>
                  </w:tcBorders>
                  <w:vAlign w:val="center"/>
                </w:tcPr>
                <w:p w14:paraId="72DA6FF4">
                  <w:pPr>
                    <w:pStyle w:val="50"/>
                    <w:adjustRightInd w:val="0"/>
                    <w:snapToGrid w:val="0"/>
                    <w:spacing w:beforeLines="50" w:after="0"/>
                    <w:rPr>
                      <w:rFonts w:hint="default" w:ascii="Times New Roman" w:hAnsi="Times New Roman" w:cs="Times New Roman"/>
                      <w:b/>
                      <w:szCs w:val="21"/>
                    </w:rPr>
                  </w:pPr>
                  <w:r>
                    <w:rPr>
                      <w:rFonts w:hint="default" w:ascii="Times New Roman" w:hAnsi="Times New Roman" w:cs="Times New Roman"/>
                      <w:b/>
                      <w:szCs w:val="21"/>
                    </w:rPr>
                    <w:t>监控点限值mg/m</w:t>
                  </w:r>
                  <w:r>
                    <w:rPr>
                      <w:rFonts w:hint="default" w:ascii="Times New Roman" w:hAnsi="Times New Roman" w:cs="Times New Roman"/>
                      <w:b/>
                      <w:szCs w:val="21"/>
                      <w:vertAlign w:val="superscript"/>
                    </w:rPr>
                    <w:t>3</w:t>
                  </w:r>
                </w:p>
              </w:tc>
              <w:tc>
                <w:tcPr>
                  <w:tcW w:w="1475" w:type="pct"/>
                  <w:tcBorders>
                    <w:top w:val="single" w:color="auto" w:sz="12" w:space="0"/>
                    <w:left w:val="single" w:color="auto" w:sz="4" w:space="0"/>
                    <w:bottom w:val="single" w:color="auto" w:sz="4" w:space="0"/>
                    <w:right w:val="single" w:color="auto" w:sz="4" w:space="0"/>
                  </w:tcBorders>
                  <w:vAlign w:val="center"/>
                </w:tcPr>
                <w:p w14:paraId="69C81EB9">
                  <w:pPr>
                    <w:pStyle w:val="50"/>
                    <w:spacing w:before="0" w:after="0"/>
                    <w:rPr>
                      <w:rFonts w:hint="default" w:ascii="Times New Roman" w:hAnsi="Times New Roman" w:cs="Times New Roman"/>
                      <w:b/>
                      <w:szCs w:val="21"/>
                    </w:rPr>
                  </w:pPr>
                  <w:r>
                    <w:rPr>
                      <w:rFonts w:hint="default" w:ascii="Times New Roman" w:hAnsi="Times New Roman" w:cs="Times New Roman"/>
                      <w:b/>
                      <w:szCs w:val="21"/>
                    </w:rPr>
                    <w:t>限值含义</w:t>
                  </w:r>
                </w:p>
              </w:tc>
              <w:tc>
                <w:tcPr>
                  <w:tcW w:w="735" w:type="pct"/>
                  <w:tcBorders>
                    <w:top w:val="single" w:color="auto" w:sz="12" w:space="0"/>
                    <w:left w:val="single" w:color="auto" w:sz="4" w:space="0"/>
                    <w:bottom w:val="single" w:color="auto" w:sz="4" w:space="0"/>
                    <w:right w:val="nil"/>
                  </w:tcBorders>
                  <w:vAlign w:val="center"/>
                </w:tcPr>
                <w:p w14:paraId="4057A67B">
                  <w:pPr>
                    <w:pStyle w:val="50"/>
                    <w:spacing w:before="0" w:after="0"/>
                    <w:rPr>
                      <w:rFonts w:hint="default" w:ascii="Times New Roman" w:hAnsi="Times New Roman" w:cs="Times New Roman"/>
                      <w:b/>
                      <w:szCs w:val="21"/>
                    </w:rPr>
                  </w:pPr>
                  <w:r>
                    <w:rPr>
                      <w:rFonts w:hint="default" w:ascii="Times New Roman" w:hAnsi="Times New Roman" w:cs="Times New Roman"/>
                      <w:b/>
                      <w:szCs w:val="21"/>
                    </w:rPr>
                    <w:t>无组织排放监控位置</w:t>
                  </w:r>
                </w:p>
              </w:tc>
              <w:tc>
                <w:tcPr>
                  <w:tcW w:w="1515" w:type="pct"/>
                  <w:tcBorders>
                    <w:top w:val="single" w:color="auto" w:sz="12" w:space="0"/>
                    <w:left w:val="single" w:color="auto" w:sz="4" w:space="0"/>
                    <w:bottom w:val="single" w:color="auto" w:sz="4" w:space="0"/>
                    <w:right w:val="nil"/>
                  </w:tcBorders>
                  <w:vAlign w:val="center"/>
                </w:tcPr>
                <w:p w14:paraId="0A7A1377">
                  <w:pPr>
                    <w:pStyle w:val="50"/>
                    <w:spacing w:before="0" w:after="0"/>
                    <w:rPr>
                      <w:rFonts w:hint="default" w:ascii="Times New Roman" w:hAnsi="Times New Roman" w:cs="Times New Roman"/>
                      <w:b/>
                      <w:szCs w:val="21"/>
                    </w:rPr>
                  </w:pPr>
                  <w:r>
                    <w:rPr>
                      <w:rFonts w:hint="default" w:ascii="Times New Roman" w:hAnsi="Times New Roman" w:cs="Times New Roman"/>
                      <w:b/>
                      <w:szCs w:val="21"/>
                    </w:rPr>
                    <w:t>标准来源</w:t>
                  </w:r>
                </w:p>
              </w:tc>
            </w:tr>
            <w:tr w14:paraId="0351D8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8" w:type="pct"/>
                  <w:vMerge w:val="restart"/>
                  <w:tcBorders>
                    <w:top w:val="single" w:color="auto" w:sz="4" w:space="0"/>
                    <w:left w:val="nil"/>
                    <w:bottom w:val="single" w:color="auto" w:sz="4" w:space="0"/>
                    <w:right w:val="single" w:color="auto" w:sz="4" w:space="0"/>
                  </w:tcBorders>
                  <w:vAlign w:val="center"/>
                </w:tcPr>
                <w:p w14:paraId="74661636">
                  <w:pPr>
                    <w:pStyle w:val="50"/>
                    <w:spacing w:before="0" w:after="0"/>
                    <w:rPr>
                      <w:rFonts w:hint="default" w:ascii="Times New Roman" w:hAnsi="Times New Roman" w:cs="Times New Roman"/>
                      <w:szCs w:val="21"/>
                    </w:rPr>
                  </w:pPr>
                  <w:r>
                    <w:rPr>
                      <w:rFonts w:hint="default" w:ascii="Times New Roman" w:hAnsi="Times New Roman" w:cs="Times New Roman"/>
                      <w:szCs w:val="21"/>
                    </w:rPr>
                    <w:t>NMHC</w:t>
                  </w:r>
                </w:p>
              </w:tc>
              <w:tc>
                <w:tcPr>
                  <w:tcW w:w="655" w:type="pct"/>
                  <w:tcBorders>
                    <w:top w:val="single" w:color="auto" w:sz="4" w:space="0"/>
                    <w:left w:val="single" w:color="auto" w:sz="4" w:space="0"/>
                    <w:bottom w:val="single" w:color="auto" w:sz="4" w:space="0"/>
                    <w:right w:val="single" w:color="auto" w:sz="4" w:space="0"/>
                  </w:tcBorders>
                  <w:vAlign w:val="center"/>
                </w:tcPr>
                <w:p w14:paraId="5CDD76F2">
                  <w:pPr>
                    <w:pStyle w:val="50"/>
                    <w:spacing w:before="0" w:after="0"/>
                    <w:rPr>
                      <w:rFonts w:hint="default" w:ascii="Times New Roman" w:hAnsi="Times New Roman" w:cs="Times New Roman"/>
                      <w:szCs w:val="21"/>
                    </w:rPr>
                  </w:pPr>
                  <w:r>
                    <w:rPr>
                      <w:rFonts w:hint="default" w:ascii="Times New Roman" w:hAnsi="Times New Roman" w:cs="Times New Roman"/>
                      <w:szCs w:val="21"/>
                    </w:rPr>
                    <w:t>6</w:t>
                  </w:r>
                </w:p>
              </w:tc>
              <w:tc>
                <w:tcPr>
                  <w:tcW w:w="1475" w:type="pct"/>
                  <w:tcBorders>
                    <w:top w:val="single" w:color="auto" w:sz="4" w:space="0"/>
                    <w:left w:val="single" w:color="auto" w:sz="4" w:space="0"/>
                    <w:bottom w:val="single" w:color="auto" w:sz="4" w:space="0"/>
                    <w:right w:val="single" w:color="auto" w:sz="4" w:space="0"/>
                  </w:tcBorders>
                  <w:vAlign w:val="center"/>
                </w:tcPr>
                <w:p w14:paraId="0AFFA6B4">
                  <w:pPr>
                    <w:pStyle w:val="50"/>
                    <w:spacing w:before="0" w:after="0"/>
                    <w:rPr>
                      <w:rFonts w:hint="default" w:ascii="Times New Roman" w:hAnsi="Times New Roman" w:cs="Times New Roman"/>
                      <w:szCs w:val="21"/>
                    </w:rPr>
                  </w:pPr>
                  <w:r>
                    <w:rPr>
                      <w:rFonts w:hint="default" w:ascii="Times New Roman" w:hAnsi="Times New Roman" w:cs="Times New Roman"/>
                      <w:szCs w:val="21"/>
                    </w:rPr>
                    <w:t>监控点处1h平均浓度值</w:t>
                  </w:r>
                </w:p>
              </w:tc>
              <w:tc>
                <w:tcPr>
                  <w:tcW w:w="735" w:type="pct"/>
                  <w:vMerge w:val="restart"/>
                  <w:tcBorders>
                    <w:top w:val="single" w:color="auto" w:sz="4" w:space="0"/>
                    <w:left w:val="single" w:color="auto" w:sz="4" w:space="0"/>
                    <w:bottom w:val="single" w:color="auto" w:sz="4" w:space="0"/>
                    <w:right w:val="nil"/>
                  </w:tcBorders>
                  <w:vAlign w:val="center"/>
                </w:tcPr>
                <w:p w14:paraId="2443B40E">
                  <w:pPr>
                    <w:pStyle w:val="50"/>
                    <w:spacing w:before="0" w:after="0"/>
                    <w:rPr>
                      <w:rFonts w:hint="default" w:ascii="Times New Roman" w:hAnsi="Times New Roman" w:cs="Times New Roman"/>
                      <w:szCs w:val="21"/>
                    </w:rPr>
                  </w:pPr>
                  <w:r>
                    <w:rPr>
                      <w:rFonts w:hint="default" w:ascii="Times New Roman" w:hAnsi="Times New Roman" w:cs="Times New Roman"/>
                      <w:szCs w:val="21"/>
                    </w:rPr>
                    <w:t>在厂房外设置监控点</w:t>
                  </w:r>
                </w:p>
              </w:tc>
              <w:tc>
                <w:tcPr>
                  <w:tcW w:w="1515" w:type="pct"/>
                  <w:vMerge w:val="restart"/>
                  <w:tcBorders>
                    <w:top w:val="single" w:color="auto" w:sz="4" w:space="0"/>
                    <w:left w:val="single" w:color="auto" w:sz="4" w:space="0"/>
                    <w:right w:val="nil"/>
                  </w:tcBorders>
                  <w:vAlign w:val="center"/>
                </w:tcPr>
                <w:p w14:paraId="1174AB7F">
                  <w:pPr>
                    <w:pStyle w:val="50"/>
                    <w:spacing w:before="0" w:after="0"/>
                    <w:rPr>
                      <w:rFonts w:hint="default" w:ascii="Times New Roman" w:hAnsi="Times New Roman" w:cs="Times New Roman"/>
                      <w:szCs w:val="21"/>
                    </w:rPr>
                  </w:pPr>
                  <w:r>
                    <w:rPr>
                      <w:rFonts w:hint="default" w:ascii="Times New Roman" w:hAnsi="Times New Roman" w:cs="Times New Roman"/>
                      <w:szCs w:val="21"/>
                    </w:rPr>
                    <w:t>《大气污染物综合排放标准》（DB32/4041-2021）</w:t>
                  </w:r>
                </w:p>
              </w:tc>
            </w:tr>
            <w:tr w14:paraId="5DE086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8" w:type="pct"/>
                  <w:vMerge w:val="continue"/>
                  <w:tcBorders>
                    <w:top w:val="single" w:color="auto" w:sz="4" w:space="0"/>
                    <w:left w:val="nil"/>
                    <w:bottom w:val="single" w:color="auto" w:sz="12" w:space="0"/>
                    <w:right w:val="single" w:color="auto" w:sz="4" w:space="0"/>
                  </w:tcBorders>
                  <w:vAlign w:val="center"/>
                </w:tcPr>
                <w:p w14:paraId="7B6AB845">
                  <w:pPr>
                    <w:pStyle w:val="50"/>
                    <w:spacing w:before="0" w:after="0"/>
                    <w:rPr>
                      <w:rFonts w:hint="default" w:ascii="Times New Roman" w:hAnsi="Times New Roman" w:cs="Times New Roman"/>
                      <w:szCs w:val="21"/>
                    </w:rPr>
                  </w:pPr>
                </w:p>
              </w:tc>
              <w:tc>
                <w:tcPr>
                  <w:tcW w:w="655" w:type="pct"/>
                  <w:tcBorders>
                    <w:top w:val="single" w:color="auto" w:sz="4" w:space="0"/>
                    <w:left w:val="single" w:color="auto" w:sz="4" w:space="0"/>
                    <w:bottom w:val="single" w:color="auto" w:sz="12" w:space="0"/>
                    <w:right w:val="single" w:color="auto" w:sz="4" w:space="0"/>
                  </w:tcBorders>
                  <w:vAlign w:val="center"/>
                </w:tcPr>
                <w:p w14:paraId="7F03DB50">
                  <w:pPr>
                    <w:pStyle w:val="50"/>
                    <w:spacing w:before="0" w:after="0"/>
                    <w:rPr>
                      <w:rFonts w:hint="default" w:ascii="Times New Roman" w:hAnsi="Times New Roman" w:cs="Times New Roman"/>
                      <w:szCs w:val="21"/>
                    </w:rPr>
                  </w:pPr>
                  <w:r>
                    <w:rPr>
                      <w:rFonts w:hint="default" w:ascii="Times New Roman" w:hAnsi="Times New Roman" w:cs="Times New Roman"/>
                      <w:szCs w:val="21"/>
                    </w:rPr>
                    <w:t>20</w:t>
                  </w:r>
                </w:p>
              </w:tc>
              <w:tc>
                <w:tcPr>
                  <w:tcW w:w="1475" w:type="pct"/>
                  <w:tcBorders>
                    <w:top w:val="single" w:color="auto" w:sz="4" w:space="0"/>
                    <w:left w:val="single" w:color="auto" w:sz="4" w:space="0"/>
                    <w:bottom w:val="single" w:color="auto" w:sz="12" w:space="0"/>
                    <w:right w:val="single" w:color="auto" w:sz="4" w:space="0"/>
                  </w:tcBorders>
                  <w:vAlign w:val="center"/>
                </w:tcPr>
                <w:p w14:paraId="65240876">
                  <w:pPr>
                    <w:pStyle w:val="50"/>
                    <w:spacing w:before="0" w:after="0"/>
                    <w:rPr>
                      <w:rFonts w:hint="default" w:ascii="Times New Roman" w:hAnsi="Times New Roman" w:cs="Times New Roman"/>
                      <w:szCs w:val="21"/>
                    </w:rPr>
                  </w:pPr>
                  <w:r>
                    <w:rPr>
                      <w:rFonts w:hint="default" w:ascii="Times New Roman" w:hAnsi="Times New Roman" w:cs="Times New Roman"/>
                      <w:szCs w:val="21"/>
                    </w:rPr>
                    <w:t>监控点处任意一次浓度值</w:t>
                  </w:r>
                </w:p>
              </w:tc>
              <w:tc>
                <w:tcPr>
                  <w:tcW w:w="735" w:type="pct"/>
                  <w:vMerge w:val="continue"/>
                  <w:tcBorders>
                    <w:top w:val="single" w:color="auto" w:sz="4" w:space="0"/>
                    <w:left w:val="single" w:color="auto" w:sz="4" w:space="0"/>
                    <w:bottom w:val="single" w:color="auto" w:sz="12" w:space="0"/>
                    <w:right w:val="nil"/>
                  </w:tcBorders>
                  <w:vAlign w:val="center"/>
                </w:tcPr>
                <w:p w14:paraId="15CBF09D">
                  <w:pPr>
                    <w:pStyle w:val="50"/>
                    <w:spacing w:before="0" w:after="0"/>
                    <w:rPr>
                      <w:rFonts w:hint="default" w:ascii="Times New Roman" w:hAnsi="Times New Roman" w:cs="Times New Roman"/>
                      <w:szCs w:val="21"/>
                    </w:rPr>
                  </w:pPr>
                </w:p>
              </w:tc>
              <w:tc>
                <w:tcPr>
                  <w:tcW w:w="1515" w:type="pct"/>
                  <w:vMerge w:val="continue"/>
                  <w:tcBorders>
                    <w:left w:val="single" w:color="auto" w:sz="4" w:space="0"/>
                    <w:bottom w:val="single" w:color="auto" w:sz="12" w:space="0"/>
                    <w:right w:val="nil"/>
                  </w:tcBorders>
                  <w:vAlign w:val="center"/>
                </w:tcPr>
                <w:p w14:paraId="682A021A">
                  <w:pPr>
                    <w:pStyle w:val="50"/>
                    <w:spacing w:before="0" w:after="0"/>
                    <w:rPr>
                      <w:rFonts w:hint="default" w:ascii="Times New Roman" w:hAnsi="Times New Roman" w:cs="Times New Roman"/>
                      <w:szCs w:val="21"/>
                    </w:rPr>
                  </w:pPr>
                </w:p>
              </w:tc>
            </w:tr>
          </w:tbl>
          <w:p w14:paraId="3F946444">
            <w:pPr>
              <w:keepNext/>
              <w:keepLines/>
              <w:numPr>
                <w:ilvl w:val="2"/>
                <w:numId w:val="0"/>
              </w:numPr>
              <w:tabs>
                <w:tab w:val="left" w:pos="2126"/>
              </w:tabs>
              <w:adjustRightInd w:val="0"/>
              <w:snapToGrid w:val="0"/>
              <w:spacing w:beforeLines="50" w:line="360" w:lineRule="auto"/>
              <w:rPr>
                <w:b/>
                <w:bCs/>
                <w:szCs w:val="21"/>
              </w:rPr>
            </w:pPr>
            <w:r>
              <w:rPr>
                <w:b/>
                <w:bCs/>
                <w:szCs w:val="21"/>
              </w:rPr>
              <w:t>2、废水排放标准</w:t>
            </w:r>
          </w:p>
          <w:p w14:paraId="7384AF34">
            <w:pPr>
              <w:adjustRightInd w:val="0"/>
              <w:snapToGrid w:val="0"/>
              <w:spacing w:line="360" w:lineRule="auto"/>
              <w:ind w:firstLine="420" w:firstLineChars="200"/>
              <w:rPr>
                <w:szCs w:val="21"/>
              </w:rPr>
            </w:pPr>
            <w:r>
              <w:rPr>
                <w:szCs w:val="21"/>
              </w:rPr>
              <w:t>扩建项目废水排放为生活污水</w:t>
            </w:r>
            <w:r>
              <w:rPr>
                <w:rFonts w:hint="eastAsia"/>
                <w:szCs w:val="21"/>
              </w:rPr>
              <w:t>。生活污水</w:t>
            </w:r>
            <w:r>
              <w:rPr>
                <w:szCs w:val="21"/>
              </w:rPr>
              <w:t>排放达《橡胶制品工业污染物排放标准》（GB27632-2011）中表2限值要求及</w:t>
            </w:r>
            <w:r>
              <w:rPr>
                <w:kern w:val="0"/>
                <w:szCs w:val="21"/>
              </w:rPr>
              <w:t>常州金坛区第二污水处理有限公司</w:t>
            </w:r>
            <w:r>
              <w:rPr>
                <w:szCs w:val="21"/>
              </w:rPr>
              <w:t>接管限值后经厂区已建污水管网接管至</w:t>
            </w:r>
            <w:r>
              <w:rPr>
                <w:kern w:val="0"/>
                <w:szCs w:val="21"/>
              </w:rPr>
              <w:t>常州金坛区第二污水处理有限公司</w:t>
            </w:r>
            <w:r>
              <w:rPr>
                <w:szCs w:val="21"/>
              </w:rPr>
              <w:t>集中处理。</w:t>
            </w:r>
            <w:r>
              <w:rPr>
                <w:rFonts w:hint="eastAsia"/>
                <w:szCs w:val="21"/>
              </w:rPr>
              <w:t>冷却塔排水和纯水制备弃水参考《地表水环境质量标准》（GB3838-2002）中表1 III类标准后作为清下水排入雨水管网。</w:t>
            </w:r>
            <w:r>
              <w:rPr>
                <w:szCs w:val="21"/>
              </w:rPr>
              <w:t>污水处理厂处理尾水达《城镇污水处理厂污染物排放标准》（GB18918-2002）中表1一级A标准及《太湖地区城镇污水处理厂及重点工业行业主要水污染物排放限值》（DB32/1072-2018）中表2标准后排入尧塘河。具体标准见表3-10及表3-11</w:t>
            </w:r>
            <w:r>
              <w:rPr>
                <w:rFonts w:hint="eastAsia"/>
                <w:szCs w:val="21"/>
              </w:rPr>
              <w:t>。</w:t>
            </w:r>
          </w:p>
          <w:p w14:paraId="285711FB">
            <w:pPr>
              <w:tabs>
                <w:tab w:val="left" w:pos="960"/>
              </w:tabs>
              <w:jc w:val="center"/>
              <w:rPr>
                <w:b/>
                <w:bCs/>
                <w:spacing w:val="-4"/>
                <w:szCs w:val="21"/>
              </w:rPr>
            </w:pPr>
            <w:r>
              <w:rPr>
                <w:b/>
                <w:bCs/>
                <w:spacing w:val="-4"/>
                <w:szCs w:val="21"/>
              </w:rPr>
              <w:t>表3-10  污水排放限值及接管要求</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1432"/>
              <w:gridCol w:w="2059"/>
              <w:gridCol w:w="1500"/>
              <w:gridCol w:w="1268"/>
            </w:tblGrid>
            <w:tr w14:paraId="2BF805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4F544E58">
                  <w:pPr>
                    <w:adjustRightInd w:val="0"/>
                    <w:snapToGrid w:val="0"/>
                    <w:jc w:val="center"/>
                    <w:rPr>
                      <w:b/>
                      <w:szCs w:val="21"/>
                    </w:rPr>
                  </w:pPr>
                  <w:r>
                    <w:rPr>
                      <w:b/>
                      <w:szCs w:val="21"/>
                    </w:rPr>
                    <w:t>污染物</w:t>
                  </w:r>
                </w:p>
              </w:tc>
              <w:tc>
                <w:tcPr>
                  <w:tcW w:w="1432" w:type="dxa"/>
                  <w:vAlign w:val="center"/>
                </w:tcPr>
                <w:p w14:paraId="0C9FB37B">
                  <w:pPr>
                    <w:adjustRightInd w:val="0"/>
                    <w:snapToGrid w:val="0"/>
                    <w:jc w:val="center"/>
                    <w:rPr>
                      <w:b/>
                      <w:bCs/>
                      <w:szCs w:val="21"/>
                    </w:rPr>
                  </w:pPr>
                  <w:r>
                    <w:rPr>
                      <w:b/>
                      <w:bCs/>
                      <w:szCs w:val="21"/>
                    </w:rPr>
                    <w:t>间接排放限值（</w:t>
                  </w:r>
                  <w:r>
                    <w:rPr>
                      <w:b/>
                      <w:bCs/>
                      <w:spacing w:val="-4"/>
                      <w:szCs w:val="21"/>
                    </w:rPr>
                    <w:t>mg/L</w:t>
                  </w:r>
                  <w:r>
                    <w:rPr>
                      <w:b/>
                      <w:bCs/>
                      <w:szCs w:val="21"/>
                    </w:rPr>
                    <w:t>）</w:t>
                  </w:r>
                </w:p>
              </w:tc>
              <w:tc>
                <w:tcPr>
                  <w:tcW w:w="2059" w:type="dxa"/>
                  <w:vAlign w:val="center"/>
                </w:tcPr>
                <w:p w14:paraId="14F2AD12">
                  <w:pPr>
                    <w:adjustRightInd w:val="0"/>
                    <w:snapToGrid w:val="0"/>
                    <w:jc w:val="center"/>
                    <w:rPr>
                      <w:b/>
                      <w:bCs/>
                      <w:szCs w:val="21"/>
                    </w:rPr>
                  </w:pPr>
                  <w:r>
                    <w:rPr>
                      <w:b/>
                      <w:bCs/>
                      <w:szCs w:val="21"/>
                    </w:rPr>
                    <w:t>标准来源</w:t>
                  </w:r>
                </w:p>
              </w:tc>
              <w:tc>
                <w:tcPr>
                  <w:tcW w:w="1500" w:type="dxa"/>
                  <w:vAlign w:val="center"/>
                </w:tcPr>
                <w:p w14:paraId="2C40EA30">
                  <w:pPr>
                    <w:adjustRightInd w:val="0"/>
                    <w:snapToGrid w:val="0"/>
                    <w:jc w:val="center"/>
                    <w:rPr>
                      <w:b/>
                      <w:szCs w:val="21"/>
                    </w:rPr>
                  </w:pPr>
                  <w:r>
                    <w:rPr>
                      <w:b/>
                      <w:bCs/>
                      <w:szCs w:val="21"/>
                    </w:rPr>
                    <w:t>接管标准浓度限值（</w:t>
                  </w:r>
                  <w:r>
                    <w:rPr>
                      <w:b/>
                      <w:bCs/>
                      <w:spacing w:val="-4"/>
                      <w:szCs w:val="21"/>
                    </w:rPr>
                    <w:t>mg/L</w:t>
                  </w:r>
                  <w:r>
                    <w:rPr>
                      <w:b/>
                      <w:bCs/>
                      <w:szCs w:val="21"/>
                    </w:rPr>
                    <w:t>）</w:t>
                  </w:r>
                </w:p>
              </w:tc>
              <w:tc>
                <w:tcPr>
                  <w:tcW w:w="1268" w:type="dxa"/>
                  <w:vAlign w:val="center"/>
                </w:tcPr>
                <w:p w14:paraId="6070539A">
                  <w:pPr>
                    <w:adjustRightInd w:val="0"/>
                    <w:snapToGrid w:val="0"/>
                    <w:jc w:val="center"/>
                    <w:rPr>
                      <w:b/>
                      <w:szCs w:val="21"/>
                    </w:rPr>
                  </w:pPr>
                  <w:r>
                    <w:rPr>
                      <w:b/>
                      <w:szCs w:val="21"/>
                    </w:rPr>
                    <w:t>标准来源</w:t>
                  </w:r>
                </w:p>
              </w:tc>
            </w:tr>
            <w:tr w14:paraId="588700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508C85EC">
                  <w:pPr>
                    <w:adjustRightInd w:val="0"/>
                    <w:snapToGrid w:val="0"/>
                    <w:jc w:val="center"/>
                    <w:rPr>
                      <w:szCs w:val="21"/>
                    </w:rPr>
                  </w:pPr>
                  <w:r>
                    <w:rPr>
                      <w:szCs w:val="21"/>
                    </w:rPr>
                    <w:t>pH</w:t>
                  </w:r>
                </w:p>
              </w:tc>
              <w:tc>
                <w:tcPr>
                  <w:tcW w:w="1432" w:type="dxa"/>
                  <w:vAlign w:val="center"/>
                </w:tcPr>
                <w:p w14:paraId="3E703F9C">
                  <w:pPr>
                    <w:adjustRightInd w:val="0"/>
                    <w:snapToGrid w:val="0"/>
                    <w:jc w:val="center"/>
                    <w:rPr>
                      <w:szCs w:val="21"/>
                    </w:rPr>
                  </w:pPr>
                  <w:r>
                    <w:rPr>
                      <w:szCs w:val="21"/>
                    </w:rPr>
                    <w:t>6-9（无量纲）</w:t>
                  </w:r>
                </w:p>
              </w:tc>
              <w:tc>
                <w:tcPr>
                  <w:tcW w:w="2059" w:type="dxa"/>
                  <w:vMerge w:val="restart"/>
                  <w:vAlign w:val="center"/>
                </w:tcPr>
                <w:p w14:paraId="306C4A52">
                  <w:pPr>
                    <w:adjustRightInd w:val="0"/>
                    <w:snapToGrid w:val="0"/>
                    <w:jc w:val="center"/>
                    <w:rPr>
                      <w:szCs w:val="21"/>
                    </w:rPr>
                  </w:pPr>
                  <w:bookmarkStart w:id="102" w:name="OLE_LINK204"/>
                  <w:bookmarkStart w:id="103" w:name="OLE_LINK203"/>
                  <w:r>
                    <w:rPr>
                      <w:szCs w:val="21"/>
                    </w:rPr>
                    <w:t>《橡胶制品工业污染物排放标准》（GB27632-2011）</w:t>
                  </w:r>
                  <w:r>
                    <w:rPr>
                      <w:rFonts w:hint="eastAsia"/>
                    </w:rPr>
                    <w:t>表2新建企业水污染物排放限值</w:t>
                  </w:r>
                  <w:bookmarkEnd w:id="102"/>
                  <w:bookmarkEnd w:id="103"/>
                </w:p>
              </w:tc>
              <w:tc>
                <w:tcPr>
                  <w:tcW w:w="1500" w:type="dxa"/>
                  <w:vAlign w:val="center"/>
                </w:tcPr>
                <w:p w14:paraId="583C27D3">
                  <w:pPr>
                    <w:adjustRightInd w:val="0"/>
                    <w:snapToGrid w:val="0"/>
                    <w:jc w:val="center"/>
                    <w:rPr>
                      <w:szCs w:val="21"/>
                    </w:rPr>
                  </w:pPr>
                  <w:r>
                    <w:rPr>
                      <w:szCs w:val="21"/>
                    </w:rPr>
                    <w:t>6-9（无量纲）</w:t>
                  </w:r>
                </w:p>
              </w:tc>
              <w:tc>
                <w:tcPr>
                  <w:tcW w:w="1268" w:type="dxa"/>
                  <w:vMerge w:val="restart"/>
                  <w:vAlign w:val="center"/>
                </w:tcPr>
                <w:p w14:paraId="738445B7">
                  <w:pPr>
                    <w:adjustRightInd w:val="0"/>
                    <w:snapToGrid w:val="0"/>
                    <w:jc w:val="center"/>
                    <w:rPr>
                      <w:szCs w:val="21"/>
                    </w:rPr>
                  </w:pPr>
                  <w:r>
                    <w:rPr>
                      <w:kern w:val="0"/>
                      <w:szCs w:val="21"/>
                    </w:rPr>
                    <w:t>常州金坛区第二污水处理有限公司</w:t>
                  </w:r>
                  <w:r>
                    <w:rPr>
                      <w:szCs w:val="21"/>
                    </w:rPr>
                    <w:t>接管限值要求</w:t>
                  </w:r>
                </w:p>
              </w:tc>
            </w:tr>
            <w:tr w14:paraId="460B43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29403FE5">
                  <w:pPr>
                    <w:adjustRightInd w:val="0"/>
                    <w:snapToGrid w:val="0"/>
                    <w:jc w:val="center"/>
                    <w:rPr>
                      <w:szCs w:val="21"/>
                    </w:rPr>
                  </w:pPr>
                  <w:r>
                    <w:rPr>
                      <w:szCs w:val="21"/>
                    </w:rPr>
                    <w:t>COD</w:t>
                  </w:r>
                </w:p>
              </w:tc>
              <w:tc>
                <w:tcPr>
                  <w:tcW w:w="1432" w:type="dxa"/>
                  <w:vAlign w:val="center"/>
                </w:tcPr>
                <w:p w14:paraId="443CF801">
                  <w:pPr>
                    <w:adjustRightInd w:val="0"/>
                    <w:snapToGrid w:val="0"/>
                    <w:jc w:val="center"/>
                    <w:rPr>
                      <w:szCs w:val="21"/>
                    </w:rPr>
                  </w:pPr>
                  <w:r>
                    <w:rPr>
                      <w:szCs w:val="21"/>
                    </w:rPr>
                    <w:t>300</w:t>
                  </w:r>
                </w:p>
              </w:tc>
              <w:tc>
                <w:tcPr>
                  <w:tcW w:w="2059" w:type="dxa"/>
                  <w:vMerge w:val="continue"/>
                  <w:vAlign w:val="center"/>
                </w:tcPr>
                <w:p w14:paraId="7B4F1012">
                  <w:pPr>
                    <w:adjustRightInd w:val="0"/>
                    <w:snapToGrid w:val="0"/>
                    <w:jc w:val="center"/>
                    <w:rPr>
                      <w:szCs w:val="21"/>
                    </w:rPr>
                  </w:pPr>
                </w:p>
              </w:tc>
              <w:tc>
                <w:tcPr>
                  <w:tcW w:w="1500" w:type="dxa"/>
                  <w:vAlign w:val="center"/>
                </w:tcPr>
                <w:p w14:paraId="6C821930">
                  <w:pPr>
                    <w:adjustRightInd w:val="0"/>
                    <w:snapToGrid w:val="0"/>
                    <w:jc w:val="center"/>
                    <w:rPr>
                      <w:szCs w:val="21"/>
                    </w:rPr>
                  </w:pPr>
                  <w:r>
                    <w:rPr>
                      <w:szCs w:val="21"/>
                    </w:rPr>
                    <w:t>500</w:t>
                  </w:r>
                </w:p>
              </w:tc>
              <w:tc>
                <w:tcPr>
                  <w:tcW w:w="1268" w:type="dxa"/>
                  <w:vMerge w:val="continue"/>
                  <w:vAlign w:val="center"/>
                </w:tcPr>
                <w:p w14:paraId="17403879">
                  <w:pPr>
                    <w:adjustRightInd w:val="0"/>
                    <w:snapToGrid w:val="0"/>
                    <w:jc w:val="center"/>
                    <w:rPr>
                      <w:szCs w:val="21"/>
                    </w:rPr>
                  </w:pPr>
                </w:p>
              </w:tc>
            </w:tr>
            <w:tr w14:paraId="32EA71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7028D27A">
                  <w:pPr>
                    <w:adjustRightInd w:val="0"/>
                    <w:snapToGrid w:val="0"/>
                    <w:jc w:val="center"/>
                    <w:rPr>
                      <w:szCs w:val="21"/>
                    </w:rPr>
                  </w:pPr>
                  <w:r>
                    <w:rPr>
                      <w:szCs w:val="21"/>
                    </w:rPr>
                    <w:t>SS</w:t>
                  </w:r>
                </w:p>
              </w:tc>
              <w:tc>
                <w:tcPr>
                  <w:tcW w:w="1432" w:type="dxa"/>
                  <w:vAlign w:val="center"/>
                </w:tcPr>
                <w:p w14:paraId="17F93049">
                  <w:pPr>
                    <w:adjustRightInd w:val="0"/>
                    <w:snapToGrid w:val="0"/>
                    <w:jc w:val="center"/>
                    <w:rPr>
                      <w:szCs w:val="21"/>
                    </w:rPr>
                  </w:pPr>
                  <w:r>
                    <w:rPr>
                      <w:szCs w:val="21"/>
                    </w:rPr>
                    <w:t>150</w:t>
                  </w:r>
                </w:p>
              </w:tc>
              <w:tc>
                <w:tcPr>
                  <w:tcW w:w="2059" w:type="dxa"/>
                  <w:vMerge w:val="continue"/>
                  <w:vAlign w:val="center"/>
                </w:tcPr>
                <w:p w14:paraId="49C301A6">
                  <w:pPr>
                    <w:adjustRightInd w:val="0"/>
                    <w:snapToGrid w:val="0"/>
                    <w:jc w:val="center"/>
                    <w:rPr>
                      <w:szCs w:val="21"/>
                    </w:rPr>
                  </w:pPr>
                </w:p>
              </w:tc>
              <w:tc>
                <w:tcPr>
                  <w:tcW w:w="1500" w:type="dxa"/>
                  <w:vAlign w:val="center"/>
                </w:tcPr>
                <w:p w14:paraId="008DE280">
                  <w:pPr>
                    <w:adjustRightInd w:val="0"/>
                    <w:snapToGrid w:val="0"/>
                    <w:jc w:val="center"/>
                    <w:rPr>
                      <w:szCs w:val="21"/>
                    </w:rPr>
                  </w:pPr>
                  <w:r>
                    <w:rPr>
                      <w:szCs w:val="21"/>
                    </w:rPr>
                    <w:t>250</w:t>
                  </w:r>
                </w:p>
              </w:tc>
              <w:tc>
                <w:tcPr>
                  <w:tcW w:w="1268" w:type="dxa"/>
                  <w:vMerge w:val="continue"/>
                  <w:vAlign w:val="center"/>
                </w:tcPr>
                <w:p w14:paraId="1A219821">
                  <w:pPr>
                    <w:adjustRightInd w:val="0"/>
                    <w:snapToGrid w:val="0"/>
                    <w:jc w:val="center"/>
                    <w:rPr>
                      <w:szCs w:val="21"/>
                    </w:rPr>
                  </w:pPr>
                </w:p>
              </w:tc>
            </w:tr>
            <w:tr w14:paraId="22721F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6E70762A">
                  <w:pPr>
                    <w:adjustRightInd w:val="0"/>
                    <w:snapToGrid w:val="0"/>
                    <w:jc w:val="center"/>
                    <w:rPr>
                      <w:szCs w:val="21"/>
                    </w:rPr>
                  </w:pPr>
                  <w:r>
                    <w:rPr>
                      <w:szCs w:val="21"/>
                    </w:rPr>
                    <w:t>氨氮</w:t>
                  </w:r>
                </w:p>
              </w:tc>
              <w:tc>
                <w:tcPr>
                  <w:tcW w:w="1432" w:type="dxa"/>
                  <w:vAlign w:val="center"/>
                </w:tcPr>
                <w:p w14:paraId="2BBE2C7D">
                  <w:pPr>
                    <w:adjustRightInd w:val="0"/>
                    <w:snapToGrid w:val="0"/>
                    <w:jc w:val="center"/>
                    <w:rPr>
                      <w:szCs w:val="21"/>
                    </w:rPr>
                  </w:pPr>
                  <w:r>
                    <w:rPr>
                      <w:szCs w:val="21"/>
                    </w:rPr>
                    <w:t>30</w:t>
                  </w:r>
                </w:p>
              </w:tc>
              <w:tc>
                <w:tcPr>
                  <w:tcW w:w="2059" w:type="dxa"/>
                  <w:vMerge w:val="continue"/>
                  <w:vAlign w:val="center"/>
                </w:tcPr>
                <w:p w14:paraId="68F6AEB0">
                  <w:pPr>
                    <w:adjustRightInd w:val="0"/>
                    <w:snapToGrid w:val="0"/>
                    <w:jc w:val="center"/>
                    <w:rPr>
                      <w:szCs w:val="21"/>
                    </w:rPr>
                  </w:pPr>
                </w:p>
              </w:tc>
              <w:tc>
                <w:tcPr>
                  <w:tcW w:w="1500" w:type="dxa"/>
                  <w:vAlign w:val="center"/>
                </w:tcPr>
                <w:p w14:paraId="48A59F9C">
                  <w:pPr>
                    <w:adjustRightInd w:val="0"/>
                    <w:snapToGrid w:val="0"/>
                    <w:jc w:val="center"/>
                    <w:rPr>
                      <w:szCs w:val="21"/>
                    </w:rPr>
                  </w:pPr>
                  <w:r>
                    <w:rPr>
                      <w:szCs w:val="21"/>
                    </w:rPr>
                    <w:t>35</w:t>
                  </w:r>
                </w:p>
              </w:tc>
              <w:tc>
                <w:tcPr>
                  <w:tcW w:w="1268" w:type="dxa"/>
                  <w:vMerge w:val="continue"/>
                  <w:vAlign w:val="center"/>
                </w:tcPr>
                <w:p w14:paraId="38B73730">
                  <w:pPr>
                    <w:adjustRightInd w:val="0"/>
                    <w:snapToGrid w:val="0"/>
                    <w:jc w:val="center"/>
                    <w:rPr>
                      <w:szCs w:val="21"/>
                    </w:rPr>
                  </w:pPr>
                </w:p>
              </w:tc>
            </w:tr>
            <w:tr w14:paraId="4A5E47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14948E74">
                  <w:pPr>
                    <w:adjustRightInd w:val="0"/>
                    <w:snapToGrid w:val="0"/>
                    <w:jc w:val="center"/>
                    <w:rPr>
                      <w:szCs w:val="21"/>
                    </w:rPr>
                  </w:pPr>
                  <w:r>
                    <w:rPr>
                      <w:szCs w:val="21"/>
                    </w:rPr>
                    <w:t>TP</w:t>
                  </w:r>
                </w:p>
              </w:tc>
              <w:tc>
                <w:tcPr>
                  <w:tcW w:w="1432" w:type="dxa"/>
                  <w:vAlign w:val="center"/>
                </w:tcPr>
                <w:p w14:paraId="078A35E5">
                  <w:pPr>
                    <w:adjustRightInd w:val="0"/>
                    <w:snapToGrid w:val="0"/>
                    <w:jc w:val="center"/>
                    <w:rPr>
                      <w:szCs w:val="21"/>
                    </w:rPr>
                  </w:pPr>
                  <w:r>
                    <w:rPr>
                      <w:szCs w:val="21"/>
                    </w:rPr>
                    <w:t>1.0</w:t>
                  </w:r>
                </w:p>
              </w:tc>
              <w:tc>
                <w:tcPr>
                  <w:tcW w:w="2059" w:type="dxa"/>
                  <w:vMerge w:val="continue"/>
                  <w:vAlign w:val="center"/>
                </w:tcPr>
                <w:p w14:paraId="66E2C52B">
                  <w:pPr>
                    <w:adjustRightInd w:val="0"/>
                    <w:snapToGrid w:val="0"/>
                    <w:jc w:val="center"/>
                    <w:rPr>
                      <w:szCs w:val="21"/>
                    </w:rPr>
                  </w:pPr>
                </w:p>
              </w:tc>
              <w:tc>
                <w:tcPr>
                  <w:tcW w:w="1500" w:type="dxa"/>
                  <w:vAlign w:val="center"/>
                </w:tcPr>
                <w:p w14:paraId="45F3B150">
                  <w:pPr>
                    <w:adjustRightInd w:val="0"/>
                    <w:snapToGrid w:val="0"/>
                    <w:jc w:val="center"/>
                    <w:rPr>
                      <w:szCs w:val="21"/>
                    </w:rPr>
                  </w:pPr>
                  <w:r>
                    <w:rPr>
                      <w:szCs w:val="21"/>
                    </w:rPr>
                    <w:t>3</w:t>
                  </w:r>
                </w:p>
              </w:tc>
              <w:tc>
                <w:tcPr>
                  <w:tcW w:w="1268" w:type="dxa"/>
                  <w:vMerge w:val="continue"/>
                  <w:vAlign w:val="center"/>
                </w:tcPr>
                <w:p w14:paraId="15352A34">
                  <w:pPr>
                    <w:pStyle w:val="23"/>
                    <w:adjustRightInd w:val="0"/>
                    <w:snapToGrid w:val="0"/>
                    <w:ind w:firstLine="210"/>
                    <w:jc w:val="center"/>
                    <w:rPr>
                      <w:rFonts w:ascii="Times New Roman"/>
                      <w:szCs w:val="21"/>
                    </w:rPr>
                  </w:pPr>
                </w:p>
              </w:tc>
            </w:tr>
            <w:tr w14:paraId="11F495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6D69A400">
                  <w:pPr>
                    <w:adjustRightInd w:val="0"/>
                    <w:snapToGrid w:val="0"/>
                    <w:jc w:val="center"/>
                    <w:rPr>
                      <w:szCs w:val="21"/>
                    </w:rPr>
                  </w:pPr>
                  <w:r>
                    <w:rPr>
                      <w:szCs w:val="21"/>
                    </w:rPr>
                    <w:t>TN</w:t>
                  </w:r>
                </w:p>
              </w:tc>
              <w:tc>
                <w:tcPr>
                  <w:tcW w:w="1432" w:type="dxa"/>
                  <w:vAlign w:val="center"/>
                </w:tcPr>
                <w:p w14:paraId="1661771B">
                  <w:pPr>
                    <w:adjustRightInd w:val="0"/>
                    <w:snapToGrid w:val="0"/>
                    <w:jc w:val="center"/>
                    <w:rPr>
                      <w:szCs w:val="21"/>
                    </w:rPr>
                  </w:pPr>
                  <w:r>
                    <w:rPr>
                      <w:szCs w:val="21"/>
                    </w:rPr>
                    <w:t>40</w:t>
                  </w:r>
                </w:p>
              </w:tc>
              <w:tc>
                <w:tcPr>
                  <w:tcW w:w="2059" w:type="dxa"/>
                  <w:vMerge w:val="continue"/>
                  <w:vAlign w:val="center"/>
                </w:tcPr>
                <w:p w14:paraId="1B0E2DD3">
                  <w:pPr>
                    <w:adjustRightInd w:val="0"/>
                    <w:snapToGrid w:val="0"/>
                    <w:jc w:val="center"/>
                    <w:rPr>
                      <w:szCs w:val="21"/>
                    </w:rPr>
                  </w:pPr>
                </w:p>
              </w:tc>
              <w:tc>
                <w:tcPr>
                  <w:tcW w:w="1500" w:type="dxa"/>
                  <w:vAlign w:val="center"/>
                </w:tcPr>
                <w:p w14:paraId="2966F429">
                  <w:pPr>
                    <w:adjustRightInd w:val="0"/>
                    <w:snapToGrid w:val="0"/>
                    <w:jc w:val="center"/>
                    <w:rPr>
                      <w:szCs w:val="21"/>
                    </w:rPr>
                  </w:pPr>
                  <w:r>
                    <w:rPr>
                      <w:szCs w:val="21"/>
                    </w:rPr>
                    <w:t>50</w:t>
                  </w:r>
                </w:p>
              </w:tc>
              <w:tc>
                <w:tcPr>
                  <w:tcW w:w="1268" w:type="dxa"/>
                  <w:vMerge w:val="continue"/>
                  <w:vAlign w:val="center"/>
                </w:tcPr>
                <w:p w14:paraId="36905693">
                  <w:pPr>
                    <w:pStyle w:val="23"/>
                    <w:adjustRightInd w:val="0"/>
                    <w:snapToGrid w:val="0"/>
                    <w:ind w:firstLine="210"/>
                    <w:jc w:val="center"/>
                    <w:rPr>
                      <w:rFonts w:ascii="Times New Roman"/>
                      <w:szCs w:val="21"/>
                    </w:rPr>
                  </w:pPr>
                </w:p>
              </w:tc>
            </w:tr>
            <w:tr w14:paraId="3F3A65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086DFA62">
                  <w:pPr>
                    <w:adjustRightInd w:val="0"/>
                    <w:snapToGrid w:val="0"/>
                    <w:jc w:val="center"/>
                    <w:rPr>
                      <w:szCs w:val="21"/>
                    </w:rPr>
                  </w:pPr>
                  <w:r>
                    <w:rPr>
                      <w:rFonts w:hint="eastAsia"/>
                      <w:szCs w:val="21"/>
                    </w:rPr>
                    <w:t>石油类</w:t>
                  </w:r>
                </w:p>
              </w:tc>
              <w:tc>
                <w:tcPr>
                  <w:tcW w:w="1432" w:type="dxa"/>
                  <w:vAlign w:val="center"/>
                </w:tcPr>
                <w:p w14:paraId="54B80129">
                  <w:pPr>
                    <w:adjustRightInd w:val="0"/>
                    <w:snapToGrid w:val="0"/>
                    <w:jc w:val="center"/>
                    <w:rPr>
                      <w:szCs w:val="21"/>
                    </w:rPr>
                  </w:pPr>
                  <w:r>
                    <w:rPr>
                      <w:rFonts w:hint="eastAsia"/>
                      <w:szCs w:val="21"/>
                    </w:rPr>
                    <w:t>10</w:t>
                  </w:r>
                </w:p>
              </w:tc>
              <w:tc>
                <w:tcPr>
                  <w:tcW w:w="2059" w:type="dxa"/>
                  <w:vMerge w:val="continue"/>
                  <w:vAlign w:val="center"/>
                </w:tcPr>
                <w:p w14:paraId="583E7ED6">
                  <w:pPr>
                    <w:adjustRightInd w:val="0"/>
                    <w:snapToGrid w:val="0"/>
                    <w:jc w:val="center"/>
                    <w:rPr>
                      <w:szCs w:val="21"/>
                    </w:rPr>
                  </w:pPr>
                </w:p>
              </w:tc>
              <w:tc>
                <w:tcPr>
                  <w:tcW w:w="1500" w:type="dxa"/>
                  <w:vAlign w:val="center"/>
                </w:tcPr>
                <w:p w14:paraId="317E2377">
                  <w:pPr>
                    <w:adjustRightInd w:val="0"/>
                    <w:snapToGrid w:val="0"/>
                    <w:jc w:val="center"/>
                    <w:rPr>
                      <w:szCs w:val="21"/>
                    </w:rPr>
                  </w:pPr>
                  <w:r>
                    <w:rPr>
                      <w:rFonts w:hint="eastAsia"/>
                      <w:szCs w:val="21"/>
                    </w:rPr>
                    <w:t>15</w:t>
                  </w:r>
                </w:p>
              </w:tc>
              <w:tc>
                <w:tcPr>
                  <w:tcW w:w="1268" w:type="dxa"/>
                  <w:vMerge w:val="continue"/>
                  <w:vAlign w:val="center"/>
                </w:tcPr>
                <w:p w14:paraId="49F07F4E">
                  <w:pPr>
                    <w:pStyle w:val="23"/>
                    <w:adjustRightInd w:val="0"/>
                    <w:snapToGrid w:val="0"/>
                    <w:ind w:firstLine="210"/>
                    <w:jc w:val="center"/>
                    <w:rPr>
                      <w:rFonts w:ascii="Times New Roman"/>
                      <w:szCs w:val="21"/>
                    </w:rPr>
                  </w:pPr>
                </w:p>
              </w:tc>
            </w:tr>
            <w:tr w14:paraId="166CF0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7A9B9294">
                  <w:pPr>
                    <w:adjustRightInd w:val="0"/>
                    <w:snapToGrid w:val="0"/>
                    <w:jc w:val="center"/>
                    <w:rPr>
                      <w:szCs w:val="21"/>
                    </w:rPr>
                  </w:pPr>
                  <w:r>
                    <w:rPr>
                      <w:szCs w:val="21"/>
                    </w:rPr>
                    <w:t>基准排水量（m</w:t>
                  </w:r>
                  <w:r>
                    <w:rPr>
                      <w:szCs w:val="21"/>
                      <w:vertAlign w:val="superscript"/>
                    </w:rPr>
                    <w:t>3</w:t>
                  </w:r>
                  <w:r>
                    <w:rPr>
                      <w:szCs w:val="21"/>
                    </w:rPr>
                    <w:t>/t胶）</w:t>
                  </w:r>
                </w:p>
              </w:tc>
              <w:tc>
                <w:tcPr>
                  <w:tcW w:w="1432" w:type="dxa"/>
                  <w:vAlign w:val="center"/>
                </w:tcPr>
                <w:p w14:paraId="7FD31792">
                  <w:pPr>
                    <w:adjustRightInd w:val="0"/>
                    <w:snapToGrid w:val="0"/>
                    <w:jc w:val="center"/>
                    <w:rPr>
                      <w:szCs w:val="21"/>
                    </w:rPr>
                  </w:pPr>
                  <w:r>
                    <w:rPr>
                      <w:szCs w:val="21"/>
                    </w:rPr>
                    <w:t>7</w:t>
                  </w:r>
                </w:p>
              </w:tc>
              <w:tc>
                <w:tcPr>
                  <w:tcW w:w="2059" w:type="dxa"/>
                  <w:vMerge w:val="continue"/>
                  <w:vAlign w:val="center"/>
                </w:tcPr>
                <w:p w14:paraId="718F8133">
                  <w:pPr>
                    <w:adjustRightInd w:val="0"/>
                    <w:snapToGrid w:val="0"/>
                    <w:jc w:val="center"/>
                    <w:rPr>
                      <w:szCs w:val="21"/>
                    </w:rPr>
                  </w:pPr>
                </w:p>
              </w:tc>
              <w:tc>
                <w:tcPr>
                  <w:tcW w:w="1500" w:type="dxa"/>
                  <w:vAlign w:val="center"/>
                </w:tcPr>
                <w:p w14:paraId="316339E9">
                  <w:pPr>
                    <w:adjustRightInd w:val="0"/>
                    <w:snapToGrid w:val="0"/>
                    <w:jc w:val="center"/>
                    <w:rPr>
                      <w:szCs w:val="21"/>
                    </w:rPr>
                  </w:pPr>
                  <w:r>
                    <w:rPr>
                      <w:szCs w:val="21"/>
                    </w:rPr>
                    <w:t>/</w:t>
                  </w:r>
                </w:p>
              </w:tc>
              <w:tc>
                <w:tcPr>
                  <w:tcW w:w="1268" w:type="dxa"/>
                  <w:vMerge w:val="continue"/>
                  <w:vAlign w:val="center"/>
                </w:tcPr>
                <w:p w14:paraId="67F6D71A">
                  <w:pPr>
                    <w:pStyle w:val="23"/>
                    <w:adjustRightInd w:val="0"/>
                    <w:snapToGrid w:val="0"/>
                    <w:ind w:firstLine="210"/>
                    <w:jc w:val="center"/>
                    <w:rPr>
                      <w:rFonts w:ascii="Times New Roman"/>
                      <w:szCs w:val="21"/>
                    </w:rPr>
                  </w:pPr>
                </w:p>
              </w:tc>
            </w:tr>
            <w:tr w14:paraId="2E982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069" w:type="dxa"/>
                  <w:vAlign w:val="center"/>
                </w:tcPr>
                <w:p w14:paraId="45C8E0A4">
                  <w:pPr>
                    <w:adjustRightInd w:val="0"/>
                    <w:snapToGrid w:val="0"/>
                    <w:jc w:val="center"/>
                    <w:rPr>
                      <w:szCs w:val="21"/>
                    </w:rPr>
                  </w:pPr>
                  <w:r>
                    <w:rPr>
                      <w:rFonts w:hint="eastAsia"/>
                      <w:szCs w:val="21"/>
                    </w:rPr>
                    <w:t>动植物油</w:t>
                  </w:r>
                </w:p>
              </w:tc>
              <w:tc>
                <w:tcPr>
                  <w:tcW w:w="1432" w:type="dxa"/>
                  <w:vAlign w:val="center"/>
                </w:tcPr>
                <w:p w14:paraId="672F4F7F">
                  <w:pPr>
                    <w:adjustRightInd w:val="0"/>
                    <w:snapToGrid w:val="0"/>
                    <w:jc w:val="center"/>
                    <w:rPr>
                      <w:szCs w:val="21"/>
                    </w:rPr>
                  </w:pPr>
                  <w:r>
                    <w:rPr>
                      <w:rFonts w:hint="eastAsia"/>
                      <w:szCs w:val="21"/>
                    </w:rPr>
                    <w:t>100</w:t>
                  </w:r>
                </w:p>
              </w:tc>
              <w:tc>
                <w:tcPr>
                  <w:tcW w:w="2059" w:type="dxa"/>
                  <w:vAlign w:val="center"/>
                </w:tcPr>
                <w:p w14:paraId="0D150816">
                  <w:pPr>
                    <w:adjustRightInd w:val="0"/>
                    <w:snapToGrid w:val="0"/>
                    <w:jc w:val="center"/>
                    <w:rPr>
                      <w:szCs w:val="21"/>
                    </w:rPr>
                  </w:pPr>
                  <w:bookmarkStart w:id="104" w:name="OLE_LINK205"/>
                  <w:r>
                    <w:rPr>
                      <w:rFonts w:hint="eastAsia"/>
                      <w:szCs w:val="21"/>
                    </w:rPr>
                    <w:t>污水排入城镇下水道水质标准(GB/T 31962-2015)</w:t>
                  </w:r>
                  <w:bookmarkEnd w:id="104"/>
                </w:p>
              </w:tc>
              <w:tc>
                <w:tcPr>
                  <w:tcW w:w="1500" w:type="dxa"/>
                  <w:vAlign w:val="center"/>
                </w:tcPr>
                <w:p w14:paraId="3F2851D6">
                  <w:pPr>
                    <w:adjustRightInd w:val="0"/>
                    <w:snapToGrid w:val="0"/>
                    <w:jc w:val="center"/>
                    <w:rPr>
                      <w:szCs w:val="21"/>
                    </w:rPr>
                  </w:pPr>
                  <w:r>
                    <w:rPr>
                      <w:rFonts w:hint="eastAsia"/>
                      <w:szCs w:val="21"/>
                    </w:rPr>
                    <w:t>100</w:t>
                  </w:r>
                </w:p>
              </w:tc>
              <w:tc>
                <w:tcPr>
                  <w:tcW w:w="1268" w:type="dxa"/>
                  <w:vMerge w:val="continue"/>
                  <w:vAlign w:val="center"/>
                </w:tcPr>
                <w:p w14:paraId="336C6486">
                  <w:pPr>
                    <w:pStyle w:val="23"/>
                    <w:adjustRightInd w:val="0"/>
                    <w:snapToGrid w:val="0"/>
                    <w:ind w:firstLine="210"/>
                    <w:jc w:val="center"/>
                    <w:rPr>
                      <w:rFonts w:ascii="Times New Roman"/>
                      <w:szCs w:val="21"/>
                    </w:rPr>
                  </w:pPr>
                </w:p>
              </w:tc>
            </w:tr>
          </w:tbl>
          <w:p w14:paraId="65099223">
            <w:pPr>
              <w:tabs>
                <w:tab w:val="left" w:pos="960"/>
              </w:tabs>
              <w:adjustRightInd w:val="0"/>
              <w:snapToGrid w:val="0"/>
              <w:spacing w:beforeLines="50"/>
              <w:jc w:val="center"/>
              <w:rPr>
                <w:b/>
                <w:bCs/>
                <w:spacing w:val="-4"/>
                <w:szCs w:val="21"/>
              </w:rPr>
            </w:pPr>
            <w:r>
              <w:rPr>
                <w:rFonts w:hint="eastAsia"/>
                <w:b/>
                <w:bCs/>
                <w:spacing w:val="-4"/>
                <w:szCs w:val="21"/>
              </w:rPr>
              <w:t>表3-11  冷却塔排水和纯水制备弃水排放标准</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12"/>
              <w:gridCol w:w="1935"/>
              <w:gridCol w:w="4759"/>
            </w:tblGrid>
            <w:tr w14:paraId="4ED4D0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12" w:type="dxa"/>
                  <w:noWrap/>
                  <w:vAlign w:val="center"/>
                </w:tcPr>
                <w:p w14:paraId="364572B1">
                  <w:pPr>
                    <w:adjustRightInd w:val="0"/>
                    <w:snapToGrid w:val="0"/>
                    <w:jc w:val="center"/>
                    <w:rPr>
                      <w:b/>
                      <w:szCs w:val="21"/>
                    </w:rPr>
                  </w:pPr>
                  <w:r>
                    <w:rPr>
                      <w:b/>
                      <w:szCs w:val="21"/>
                    </w:rPr>
                    <w:t>污染物</w:t>
                  </w:r>
                </w:p>
              </w:tc>
              <w:tc>
                <w:tcPr>
                  <w:tcW w:w="1935" w:type="dxa"/>
                  <w:noWrap/>
                  <w:vAlign w:val="center"/>
                </w:tcPr>
                <w:p w14:paraId="040AAE34">
                  <w:pPr>
                    <w:adjustRightInd w:val="0"/>
                    <w:snapToGrid w:val="0"/>
                    <w:jc w:val="center"/>
                    <w:rPr>
                      <w:b/>
                      <w:szCs w:val="21"/>
                    </w:rPr>
                  </w:pPr>
                  <w:r>
                    <w:rPr>
                      <w:rFonts w:hint="eastAsia"/>
                      <w:b/>
                      <w:szCs w:val="21"/>
                    </w:rPr>
                    <w:t>标准限值（mg/L）</w:t>
                  </w:r>
                </w:p>
              </w:tc>
              <w:tc>
                <w:tcPr>
                  <w:tcW w:w="4759" w:type="dxa"/>
                  <w:noWrap/>
                  <w:vAlign w:val="center"/>
                </w:tcPr>
                <w:p w14:paraId="3BE3BE34">
                  <w:pPr>
                    <w:adjustRightInd w:val="0"/>
                    <w:snapToGrid w:val="0"/>
                    <w:jc w:val="center"/>
                    <w:rPr>
                      <w:b/>
                      <w:szCs w:val="21"/>
                    </w:rPr>
                  </w:pPr>
                  <w:r>
                    <w:rPr>
                      <w:b/>
                      <w:szCs w:val="21"/>
                    </w:rPr>
                    <w:t>标准来源</w:t>
                  </w:r>
                </w:p>
              </w:tc>
            </w:tr>
            <w:tr w14:paraId="353083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12" w:type="dxa"/>
                  <w:noWrap/>
                  <w:vAlign w:val="center"/>
                </w:tcPr>
                <w:p w14:paraId="6A7E7280">
                  <w:pPr>
                    <w:adjustRightInd w:val="0"/>
                    <w:snapToGrid w:val="0"/>
                    <w:jc w:val="center"/>
                    <w:rPr>
                      <w:szCs w:val="21"/>
                    </w:rPr>
                  </w:pPr>
                  <w:r>
                    <w:rPr>
                      <w:rFonts w:hint="eastAsia"/>
                      <w:szCs w:val="21"/>
                    </w:rPr>
                    <w:t>pH</w:t>
                  </w:r>
                </w:p>
              </w:tc>
              <w:tc>
                <w:tcPr>
                  <w:tcW w:w="1935" w:type="dxa"/>
                  <w:noWrap/>
                  <w:vAlign w:val="center"/>
                </w:tcPr>
                <w:p w14:paraId="5597A566">
                  <w:pPr>
                    <w:adjustRightInd w:val="0"/>
                    <w:snapToGrid w:val="0"/>
                    <w:jc w:val="center"/>
                    <w:rPr>
                      <w:szCs w:val="21"/>
                    </w:rPr>
                  </w:pPr>
                  <w:r>
                    <w:rPr>
                      <w:rFonts w:hint="eastAsia"/>
                      <w:szCs w:val="21"/>
                    </w:rPr>
                    <w:t>6-9（无量纲）</w:t>
                  </w:r>
                </w:p>
              </w:tc>
              <w:tc>
                <w:tcPr>
                  <w:tcW w:w="4759" w:type="dxa"/>
                  <w:vMerge w:val="restart"/>
                  <w:noWrap/>
                  <w:vAlign w:val="center"/>
                </w:tcPr>
                <w:p w14:paraId="63743CCA">
                  <w:pPr>
                    <w:adjustRightInd w:val="0"/>
                    <w:snapToGrid w:val="0"/>
                    <w:jc w:val="center"/>
                    <w:rPr>
                      <w:szCs w:val="21"/>
                    </w:rPr>
                  </w:pPr>
                  <w:r>
                    <w:rPr>
                      <w:rFonts w:hint="eastAsia"/>
                      <w:szCs w:val="21"/>
                    </w:rPr>
                    <w:t>《地表水环境质量标准》（GB3838-2002）</w:t>
                  </w:r>
                </w:p>
              </w:tc>
            </w:tr>
            <w:tr w14:paraId="1D5765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12" w:type="dxa"/>
                  <w:noWrap/>
                  <w:vAlign w:val="center"/>
                </w:tcPr>
                <w:p w14:paraId="4122F3ED">
                  <w:pPr>
                    <w:adjustRightInd w:val="0"/>
                    <w:snapToGrid w:val="0"/>
                    <w:jc w:val="center"/>
                    <w:rPr>
                      <w:szCs w:val="21"/>
                    </w:rPr>
                  </w:pPr>
                  <w:r>
                    <w:rPr>
                      <w:szCs w:val="21"/>
                    </w:rPr>
                    <w:t>COD</w:t>
                  </w:r>
                </w:p>
              </w:tc>
              <w:tc>
                <w:tcPr>
                  <w:tcW w:w="1935" w:type="dxa"/>
                  <w:noWrap/>
                  <w:vAlign w:val="center"/>
                </w:tcPr>
                <w:p w14:paraId="1665CA9F">
                  <w:pPr>
                    <w:adjustRightInd w:val="0"/>
                    <w:snapToGrid w:val="0"/>
                    <w:jc w:val="center"/>
                    <w:rPr>
                      <w:szCs w:val="21"/>
                    </w:rPr>
                  </w:pPr>
                  <w:r>
                    <w:rPr>
                      <w:rFonts w:hint="eastAsia"/>
                      <w:szCs w:val="21"/>
                    </w:rPr>
                    <w:t>20</w:t>
                  </w:r>
                </w:p>
              </w:tc>
              <w:tc>
                <w:tcPr>
                  <w:tcW w:w="4759" w:type="dxa"/>
                  <w:vMerge w:val="continue"/>
                  <w:noWrap/>
                  <w:vAlign w:val="center"/>
                </w:tcPr>
                <w:p w14:paraId="278C08A6">
                  <w:pPr>
                    <w:adjustRightInd w:val="0"/>
                    <w:snapToGrid w:val="0"/>
                    <w:jc w:val="center"/>
                    <w:rPr>
                      <w:szCs w:val="21"/>
                    </w:rPr>
                  </w:pPr>
                </w:p>
              </w:tc>
            </w:tr>
          </w:tbl>
          <w:p w14:paraId="18535B3C">
            <w:pPr>
              <w:tabs>
                <w:tab w:val="left" w:pos="960"/>
              </w:tabs>
              <w:adjustRightInd w:val="0"/>
              <w:snapToGrid w:val="0"/>
              <w:spacing w:beforeLines="50"/>
              <w:jc w:val="center"/>
              <w:rPr>
                <w:b/>
                <w:bCs/>
                <w:spacing w:val="-4"/>
                <w:szCs w:val="21"/>
              </w:rPr>
            </w:pPr>
            <w:r>
              <w:rPr>
                <w:b/>
                <w:bCs/>
                <w:spacing w:val="-4"/>
                <w:szCs w:val="21"/>
              </w:rPr>
              <w:t>表3-1</w:t>
            </w:r>
            <w:r>
              <w:rPr>
                <w:rFonts w:hint="eastAsia"/>
                <w:b/>
                <w:bCs/>
                <w:spacing w:val="-4"/>
                <w:szCs w:val="21"/>
              </w:rPr>
              <w:t>1</w:t>
            </w:r>
            <w:r>
              <w:rPr>
                <w:b/>
                <w:bCs/>
                <w:spacing w:val="-4"/>
                <w:szCs w:val="21"/>
              </w:rPr>
              <w:t xml:space="preserve">  城镇污水处理厂污染物排放标准</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1331"/>
              <w:gridCol w:w="1710"/>
              <w:gridCol w:w="4268"/>
            </w:tblGrid>
            <w:tr w14:paraId="502194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vAlign w:val="center"/>
                </w:tcPr>
                <w:p w14:paraId="7FAD821F">
                  <w:pPr>
                    <w:adjustRightInd w:val="0"/>
                    <w:snapToGrid w:val="0"/>
                    <w:jc w:val="center"/>
                    <w:rPr>
                      <w:szCs w:val="21"/>
                    </w:rPr>
                  </w:pPr>
                  <w:r>
                    <w:rPr>
                      <w:b/>
                      <w:szCs w:val="21"/>
                    </w:rPr>
                    <w:t>序号</w:t>
                  </w:r>
                </w:p>
              </w:tc>
              <w:tc>
                <w:tcPr>
                  <w:tcW w:w="1331" w:type="dxa"/>
                  <w:vAlign w:val="center"/>
                </w:tcPr>
                <w:p w14:paraId="4D471136">
                  <w:pPr>
                    <w:adjustRightInd w:val="0"/>
                    <w:snapToGrid w:val="0"/>
                    <w:jc w:val="center"/>
                    <w:rPr>
                      <w:b/>
                      <w:szCs w:val="21"/>
                    </w:rPr>
                  </w:pPr>
                  <w:r>
                    <w:rPr>
                      <w:b/>
                      <w:szCs w:val="21"/>
                    </w:rPr>
                    <w:t>项目</w:t>
                  </w:r>
                </w:p>
              </w:tc>
              <w:tc>
                <w:tcPr>
                  <w:tcW w:w="1710" w:type="dxa"/>
                  <w:vAlign w:val="center"/>
                </w:tcPr>
                <w:p w14:paraId="76BC22EA">
                  <w:pPr>
                    <w:adjustRightInd w:val="0"/>
                    <w:snapToGrid w:val="0"/>
                    <w:jc w:val="center"/>
                    <w:rPr>
                      <w:b/>
                      <w:szCs w:val="21"/>
                    </w:rPr>
                  </w:pPr>
                  <w:r>
                    <w:rPr>
                      <w:b/>
                      <w:szCs w:val="21"/>
                    </w:rPr>
                    <w:t>浓度（mg/L）</w:t>
                  </w:r>
                </w:p>
              </w:tc>
              <w:tc>
                <w:tcPr>
                  <w:tcW w:w="4268" w:type="dxa"/>
                  <w:vAlign w:val="center"/>
                </w:tcPr>
                <w:p w14:paraId="673CAEE2">
                  <w:pPr>
                    <w:adjustRightInd w:val="0"/>
                    <w:snapToGrid w:val="0"/>
                    <w:jc w:val="center"/>
                    <w:rPr>
                      <w:b/>
                      <w:szCs w:val="21"/>
                    </w:rPr>
                  </w:pPr>
                  <w:r>
                    <w:rPr>
                      <w:b/>
                      <w:szCs w:val="21"/>
                    </w:rPr>
                    <w:t>标准来源</w:t>
                  </w:r>
                </w:p>
              </w:tc>
            </w:tr>
            <w:tr w14:paraId="3CD820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1118A50A">
                  <w:pPr>
                    <w:adjustRightInd w:val="0"/>
                    <w:snapToGrid w:val="0"/>
                    <w:jc w:val="center"/>
                    <w:rPr>
                      <w:szCs w:val="21"/>
                    </w:rPr>
                  </w:pPr>
                  <w:r>
                    <w:rPr>
                      <w:szCs w:val="21"/>
                    </w:rPr>
                    <w:t>1</w:t>
                  </w:r>
                </w:p>
              </w:tc>
              <w:tc>
                <w:tcPr>
                  <w:tcW w:w="1331" w:type="dxa"/>
                  <w:vAlign w:val="center"/>
                </w:tcPr>
                <w:p w14:paraId="63CF4EC8">
                  <w:pPr>
                    <w:adjustRightInd w:val="0"/>
                    <w:snapToGrid w:val="0"/>
                    <w:jc w:val="center"/>
                    <w:rPr>
                      <w:snapToGrid w:val="0"/>
                      <w:kern w:val="18"/>
                      <w:szCs w:val="21"/>
                    </w:rPr>
                  </w:pPr>
                  <w:r>
                    <w:rPr>
                      <w:snapToGrid w:val="0"/>
                      <w:kern w:val="18"/>
                      <w:szCs w:val="21"/>
                    </w:rPr>
                    <w:t>pH</w:t>
                  </w:r>
                </w:p>
              </w:tc>
              <w:tc>
                <w:tcPr>
                  <w:tcW w:w="1710" w:type="dxa"/>
                  <w:vAlign w:val="center"/>
                </w:tcPr>
                <w:p w14:paraId="77B7BE01">
                  <w:pPr>
                    <w:adjustRightInd w:val="0"/>
                    <w:snapToGrid w:val="0"/>
                    <w:jc w:val="center"/>
                    <w:rPr>
                      <w:szCs w:val="21"/>
                    </w:rPr>
                  </w:pPr>
                  <w:r>
                    <w:rPr>
                      <w:szCs w:val="21"/>
                    </w:rPr>
                    <w:t>6~9（无量纲）</w:t>
                  </w:r>
                </w:p>
              </w:tc>
              <w:tc>
                <w:tcPr>
                  <w:tcW w:w="4268" w:type="dxa"/>
                  <w:vMerge w:val="restart"/>
                  <w:vAlign w:val="center"/>
                </w:tcPr>
                <w:p w14:paraId="37CBC099">
                  <w:pPr>
                    <w:adjustRightInd w:val="0"/>
                    <w:snapToGrid w:val="0"/>
                    <w:jc w:val="center"/>
                    <w:rPr>
                      <w:snapToGrid w:val="0"/>
                      <w:kern w:val="18"/>
                      <w:szCs w:val="21"/>
                    </w:rPr>
                  </w:pPr>
                  <w:r>
                    <w:rPr>
                      <w:snapToGrid w:val="0"/>
                      <w:kern w:val="18"/>
                      <w:szCs w:val="21"/>
                    </w:rPr>
                    <w:t>《城镇污水处理厂污染物排放标准》</w:t>
                  </w:r>
                  <w:r>
                    <w:rPr>
                      <w:szCs w:val="21"/>
                    </w:rPr>
                    <w:t>（</w:t>
                  </w:r>
                  <w:r>
                    <w:rPr>
                      <w:snapToGrid w:val="0"/>
                      <w:kern w:val="18"/>
                      <w:szCs w:val="21"/>
                    </w:rPr>
                    <w:t>GB18918</w:t>
                  </w:r>
                  <w:r>
                    <w:rPr>
                      <w:szCs w:val="21"/>
                    </w:rPr>
                    <w:t>-2002）及其修改单中</w:t>
                  </w:r>
                  <w:r>
                    <w:rPr>
                      <w:snapToGrid w:val="0"/>
                      <w:kern w:val="18"/>
                      <w:szCs w:val="21"/>
                    </w:rPr>
                    <w:t>一级</w:t>
                  </w:r>
                  <w:r>
                    <w:rPr>
                      <w:szCs w:val="21"/>
                    </w:rPr>
                    <w:t>A标准</w:t>
                  </w:r>
                </w:p>
              </w:tc>
            </w:tr>
            <w:tr w14:paraId="7154FE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30423436">
                  <w:pPr>
                    <w:adjustRightInd w:val="0"/>
                    <w:snapToGrid w:val="0"/>
                    <w:jc w:val="center"/>
                    <w:rPr>
                      <w:szCs w:val="21"/>
                    </w:rPr>
                  </w:pPr>
                  <w:r>
                    <w:rPr>
                      <w:rFonts w:hint="eastAsia"/>
                      <w:szCs w:val="21"/>
                    </w:rPr>
                    <w:t>2</w:t>
                  </w:r>
                </w:p>
              </w:tc>
              <w:tc>
                <w:tcPr>
                  <w:tcW w:w="1331" w:type="dxa"/>
                  <w:vAlign w:val="center"/>
                </w:tcPr>
                <w:p w14:paraId="5E01DA6F">
                  <w:pPr>
                    <w:adjustRightInd w:val="0"/>
                    <w:snapToGrid w:val="0"/>
                    <w:jc w:val="center"/>
                    <w:rPr>
                      <w:snapToGrid w:val="0"/>
                      <w:kern w:val="18"/>
                      <w:szCs w:val="21"/>
                    </w:rPr>
                  </w:pPr>
                  <w:r>
                    <w:rPr>
                      <w:snapToGrid w:val="0"/>
                      <w:kern w:val="18"/>
                      <w:szCs w:val="21"/>
                    </w:rPr>
                    <w:t>SS</w:t>
                  </w:r>
                </w:p>
              </w:tc>
              <w:tc>
                <w:tcPr>
                  <w:tcW w:w="1710" w:type="dxa"/>
                  <w:vAlign w:val="center"/>
                </w:tcPr>
                <w:p w14:paraId="7F34BB1D">
                  <w:pPr>
                    <w:adjustRightInd w:val="0"/>
                    <w:snapToGrid w:val="0"/>
                    <w:jc w:val="center"/>
                    <w:rPr>
                      <w:snapToGrid w:val="0"/>
                      <w:kern w:val="18"/>
                      <w:szCs w:val="21"/>
                    </w:rPr>
                  </w:pPr>
                  <w:r>
                    <w:rPr>
                      <w:snapToGrid w:val="0"/>
                      <w:kern w:val="18"/>
                      <w:szCs w:val="21"/>
                    </w:rPr>
                    <w:t>≤10</w:t>
                  </w:r>
                </w:p>
              </w:tc>
              <w:tc>
                <w:tcPr>
                  <w:tcW w:w="4268" w:type="dxa"/>
                  <w:vMerge w:val="continue"/>
                  <w:vAlign w:val="center"/>
                </w:tcPr>
                <w:p w14:paraId="5FCE24BD">
                  <w:pPr>
                    <w:adjustRightInd w:val="0"/>
                    <w:snapToGrid w:val="0"/>
                    <w:jc w:val="center"/>
                    <w:rPr>
                      <w:szCs w:val="21"/>
                    </w:rPr>
                  </w:pPr>
                </w:p>
              </w:tc>
            </w:tr>
            <w:tr w14:paraId="47760F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7C7701F0">
                  <w:pPr>
                    <w:adjustRightInd w:val="0"/>
                    <w:snapToGrid w:val="0"/>
                    <w:jc w:val="center"/>
                    <w:rPr>
                      <w:szCs w:val="21"/>
                    </w:rPr>
                  </w:pPr>
                  <w:r>
                    <w:rPr>
                      <w:szCs w:val="21"/>
                    </w:rPr>
                    <w:t>3</w:t>
                  </w:r>
                </w:p>
              </w:tc>
              <w:tc>
                <w:tcPr>
                  <w:tcW w:w="1331" w:type="dxa"/>
                  <w:vAlign w:val="center"/>
                </w:tcPr>
                <w:p w14:paraId="11C3696C">
                  <w:pPr>
                    <w:adjustRightInd w:val="0"/>
                    <w:snapToGrid w:val="0"/>
                    <w:jc w:val="center"/>
                    <w:rPr>
                      <w:snapToGrid w:val="0"/>
                      <w:kern w:val="18"/>
                      <w:szCs w:val="21"/>
                    </w:rPr>
                  </w:pPr>
                  <w:r>
                    <w:rPr>
                      <w:rFonts w:hint="eastAsia"/>
                      <w:snapToGrid w:val="0"/>
                      <w:kern w:val="18"/>
                      <w:szCs w:val="21"/>
                    </w:rPr>
                    <w:t>石油类</w:t>
                  </w:r>
                </w:p>
              </w:tc>
              <w:tc>
                <w:tcPr>
                  <w:tcW w:w="1710" w:type="dxa"/>
                  <w:vAlign w:val="center"/>
                </w:tcPr>
                <w:p w14:paraId="0FF1133F">
                  <w:pPr>
                    <w:adjustRightInd w:val="0"/>
                    <w:snapToGrid w:val="0"/>
                    <w:jc w:val="center"/>
                    <w:rPr>
                      <w:snapToGrid w:val="0"/>
                      <w:kern w:val="18"/>
                      <w:szCs w:val="21"/>
                    </w:rPr>
                  </w:pPr>
                  <w:r>
                    <w:rPr>
                      <w:snapToGrid w:val="0"/>
                      <w:kern w:val="18"/>
                      <w:szCs w:val="21"/>
                    </w:rPr>
                    <w:t>≤1</w:t>
                  </w:r>
                </w:p>
              </w:tc>
              <w:tc>
                <w:tcPr>
                  <w:tcW w:w="4268" w:type="dxa"/>
                  <w:vMerge w:val="continue"/>
                  <w:vAlign w:val="center"/>
                </w:tcPr>
                <w:p w14:paraId="2EF74400">
                  <w:pPr>
                    <w:adjustRightInd w:val="0"/>
                    <w:snapToGrid w:val="0"/>
                    <w:jc w:val="center"/>
                    <w:rPr>
                      <w:szCs w:val="21"/>
                    </w:rPr>
                  </w:pPr>
                </w:p>
              </w:tc>
            </w:tr>
            <w:tr w14:paraId="313DB0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1D385A6A">
                  <w:pPr>
                    <w:adjustRightInd w:val="0"/>
                    <w:snapToGrid w:val="0"/>
                    <w:jc w:val="center"/>
                    <w:rPr>
                      <w:szCs w:val="21"/>
                    </w:rPr>
                  </w:pPr>
                  <w:r>
                    <w:rPr>
                      <w:szCs w:val="21"/>
                    </w:rPr>
                    <w:t>4</w:t>
                  </w:r>
                </w:p>
              </w:tc>
              <w:tc>
                <w:tcPr>
                  <w:tcW w:w="1331" w:type="dxa"/>
                  <w:vAlign w:val="center"/>
                </w:tcPr>
                <w:p w14:paraId="43CF38CB">
                  <w:pPr>
                    <w:adjustRightInd w:val="0"/>
                    <w:snapToGrid w:val="0"/>
                    <w:jc w:val="center"/>
                    <w:rPr>
                      <w:snapToGrid w:val="0"/>
                      <w:kern w:val="18"/>
                      <w:szCs w:val="21"/>
                    </w:rPr>
                  </w:pPr>
                  <w:r>
                    <w:rPr>
                      <w:rFonts w:hint="eastAsia"/>
                      <w:snapToGrid w:val="0"/>
                      <w:kern w:val="18"/>
                      <w:szCs w:val="21"/>
                    </w:rPr>
                    <w:t>动植物油</w:t>
                  </w:r>
                </w:p>
              </w:tc>
              <w:tc>
                <w:tcPr>
                  <w:tcW w:w="1710" w:type="dxa"/>
                  <w:vAlign w:val="center"/>
                </w:tcPr>
                <w:p w14:paraId="7A58AD72">
                  <w:pPr>
                    <w:adjustRightInd w:val="0"/>
                    <w:snapToGrid w:val="0"/>
                    <w:jc w:val="center"/>
                    <w:rPr>
                      <w:snapToGrid w:val="0"/>
                      <w:kern w:val="18"/>
                      <w:szCs w:val="21"/>
                    </w:rPr>
                  </w:pPr>
                  <w:r>
                    <w:rPr>
                      <w:snapToGrid w:val="0"/>
                      <w:kern w:val="18"/>
                      <w:szCs w:val="21"/>
                    </w:rPr>
                    <w:t>≤1</w:t>
                  </w:r>
                </w:p>
              </w:tc>
              <w:tc>
                <w:tcPr>
                  <w:tcW w:w="4268" w:type="dxa"/>
                  <w:vMerge w:val="continue"/>
                  <w:vAlign w:val="center"/>
                </w:tcPr>
                <w:p w14:paraId="524A3D33">
                  <w:pPr>
                    <w:adjustRightInd w:val="0"/>
                    <w:snapToGrid w:val="0"/>
                    <w:jc w:val="center"/>
                    <w:rPr>
                      <w:szCs w:val="21"/>
                    </w:rPr>
                  </w:pPr>
                </w:p>
              </w:tc>
            </w:tr>
            <w:tr w14:paraId="48075E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5825F415">
                  <w:pPr>
                    <w:adjustRightInd w:val="0"/>
                    <w:snapToGrid w:val="0"/>
                    <w:jc w:val="center"/>
                    <w:rPr>
                      <w:szCs w:val="21"/>
                    </w:rPr>
                  </w:pPr>
                  <w:r>
                    <w:rPr>
                      <w:szCs w:val="21"/>
                    </w:rPr>
                    <w:t>5</w:t>
                  </w:r>
                </w:p>
              </w:tc>
              <w:tc>
                <w:tcPr>
                  <w:tcW w:w="1331" w:type="dxa"/>
                  <w:vAlign w:val="center"/>
                </w:tcPr>
                <w:p w14:paraId="32751319">
                  <w:pPr>
                    <w:adjustRightInd w:val="0"/>
                    <w:snapToGrid w:val="0"/>
                    <w:jc w:val="center"/>
                    <w:rPr>
                      <w:snapToGrid w:val="0"/>
                      <w:kern w:val="18"/>
                      <w:szCs w:val="21"/>
                    </w:rPr>
                  </w:pPr>
                  <w:r>
                    <w:rPr>
                      <w:snapToGrid w:val="0"/>
                      <w:kern w:val="18"/>
                      <w:szCs w:val="21"/>
                    </w:rPr>
                    <w:t>COD</w:t>
                  </w:r>
                </w:p>
              </w:tc>
              <w:tc>
                <w:tcPr>
                  <w:tcW w:w="1710" w:type="dxa"/>
                  <w:vAlign w:val="center"/>
                </w:tcPr>
                <w:p w14:paraId="73EB5A7A">
                  <w:pPr>
                    <w:adjustRightInd w:val="0"/>
                    <w:snapToGrid w:val="0"/>
                    <w:jc w:val="center"/>
                    <w:rPr>
                      <w:snapToGrid w:val="0"/>
                      <w:kern w:val="18"/>
                      <w:szCs w:val="21"/>
                    </w:rPr>
                  </w:pPr>
                  <w:r>
                    <w:rPr>
                      <w:snapToGrid w:val="0"/>
                      <w:kern w:val="18"/>
                      <w:szCs w:val="21"/>
                    </w:rPr>
                    <w:t>≤50</w:t>
                  </w:r>
                </w:p>
              </w:tc>
              <w:tc>
                <w:tcPr>
                  <w:tcW w:w="4268" w:type="dxa"/>
                  <w:vMerge w:val="restart"/>
                  <w:vAlign w:val="center"/>
                </w:tcPr>
                <w:p w14:paraId="01CAD366">
                  <w:pPr>
                    <w:adjustRightInd w:val="0"/>
                    <w:snapToGrid w:val="0"/>
                    <w:jc w:val="center"/>
                    <w:rPr>
                      <w:szCs w:val="21"/>
                    </w:rPr>
                  </w:pPr>
                  <w:r>
                    <w:rPr>
                      <w:szCs w:val="21"/>
                    </w:rPr>
                    <w:t>《太湖地区城镇污水处理厂及重点工业行业主要水污染物排放限值》（DB32/1072—2018）中表2中的标准</w:t>
                  </w:r>
                </w:p>
              </w:tc>
            </w:tr>
            <w:tr w14:paraId="097E27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14EB8610">
                  <w:pPr>
                    <w:adjustRightInd w:val="0"/>
                    <w:snapToGrid w:val="0"/>
                    <w:jc w:val="center"/>
                    <w:rPr>
                      <w:snapToGrid w:val="0"/>
                      <w:kern w:val="18"/>
                      <w:szCs w:val="21"/>
                    </w:rPr>
                  </w:pPr>
                  <w:r>
                    <w:rPr>
                      <w:szCs w:val="21"/>
                    </w:rPr>
                    <w:t>6</w:t>
                  </w:r>
                </w:p>
              </w:tc>
              <w:tc>
                <w:tcPr>
                  <w:tcW w:w="1331" w:type="dxa"/>
                  <w:vAlign w:val="center"/>
                </w:tcPr>
                <w:p w14:paraId="1EAD4788">
                  <w:pPr>
                    <w:adjustRightInd w:val="0"/>
                    <w:snapToGrid w:val="0"/>
                    <w:jc w:val="center"/>
                    <w:rPr>
                      <w:snapToGrid w:val="0"/>
                      <w:kern w:val="18"/>
                      <w:szCs w:val="21"/>
                    </w:rPr>
                  </w:pPr>
                  <w:r>
                    <w:rPr>
                      <w:snapToGrid w:val="0"/>
                      <w:kern w:val="18"/>
                      <w:szCs w:val="21"/>
                    </w:rPr>
                    <w:t>氨氮</w:t>
                  </w:r>
                </w:p>
              </w:tc>
              <w:tc>
                <w:tcPr>
                  <w:tcW w:w="1710" w:type="dxa"/>
                  <w:vAlign w:val="center"/>
                </w:tcPr>
                <w:p w14:paraId="4A3BCF4C">
                  <w:pPr>
                    <w:adjustRightInd w:val="0"/>
                    <w:snapToGrid w:val="0"/>
                    <w:jc w:val="center"/>
                    <w:rPr>
                      <w:snapToGrid w:val="0"/>
                      <w:kern w:val="18"/>
                      <w:szCs w:val="21"/>
                    </w:rPr>
                  </w:pPr>
                  <w:r>
                    <w:rPr>
                      <w:snapToGrid w:val="0"/>
                      <w:kern w:val="18"/>
                      <w:szCs w:val="21"/>
                    </w:rPr>
                    <w:t>≤4（6）*</w:t>
                  </w:r>
                </w:p>
              </w:tc>
              <w:tc>
                <w:tcPr>
                  <w:tcW w:w="4268" w:type="dxa"/>
                  <w:vMerge w:val="continue"/>
                  <w:vAlign w:val="center"/>
                </w:tcPr>
                <w:p w14:paraId="3C5C383B">
                  <w:pPr>
                    <w:adjustRightInd w:val="0"/>
                    <w:snapToGrid w:val="0"/>
                    <w:rPr>
                      <w:szCs w:val="21"/>
                    </w:rPr>
                  </w:pPr>
                </w:p>
              </w:tc>
            </w:tr>
            <w:tr w14:paraId="7A52DE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4DBDCD24">
                  <w:pPr>
                    <w:adjustRightInd w:val="0"/>
                    <w:snapToGrid w:val="0"/>
                    <w:jc w:val="center"/>
                    <w:rPr>
                      <w:szCs w:val="21"/>
                    </w:rPr>
                  </w:pPr>
                  <w:r>
                    <w:rPr>
                      <w:szCs w:val="21"/>
                    </w:rPr>
                    <w:t>7</w:t>
                  </w:r>
                </w:p>
              </w:tc>
              <w:tc>
                <w:tcPr>
                  <w:tcW w:w="1331" w:type="dxa"/>
                  <w:vAlign w:val="center"/>
                </w:tcPr>
                <w:p w14:paraId="0A35BFFE">
                  <w:pPr>
                    <w:adjustRightInd w:val="0"/>
                    <w:snapToGrid w:val="0"/>
                    <w:jc w:val="center"/>
                    <w:rPr>
                      <w:snapToGrid w:val="0"/>
                      <w:kern w:val="18"/>
                      <w:szCs w:val="21"/>
                    </w:rPr>
                  </w:pPr>
                  <w:r>
                    <w:rPr>
                      <w:snapToGrid w:val="0"/>
                      <w:kern w:val="18"/>
                      <w:szCs w:val="21"/>
                    </w:rPr>
                    <w:t>TP</w:t>
                  </w:r>
                </w:p>
              </w:tc>
              <w:tc>
                <w:tcPr>
                  <w:tcW w:w="1710" w:type="dxa"/>
                  <w:vAlign w:val="center"/>
                </w:tcPr>
                <w:p w14:paraId="70B83E76">
                  <w:pPr>
                    <w:adjustRightInd w:val="0"/>
                    <w:snapToGrid w:val="0"/>
                    <w:jc w:val="center"/>
                    <w:rPr>
                      <w:snapToGrid w:val="0"/>
                      <w:kern w:val="18"/>
                      <w:szCs w:val="21"/>
                    </w:rPr>
                  </w:pPr>
                  <w:r>
                    <w:rPr>
                      <w:snapToGrid w:val="0"/>
                      <w:kern w:val="18"/>
                      <w:szCs w:val="21"/>
                    </w:rPr>
                    <w:t>≤0.5</w:t>
                  </w:r>
                </w:p>
              </w:tc>
              <w:tc>
                <w:tcPr>
                  <w:tcW w:w="4268" w:type="dxa"/>
                  <w:vMerge w:val="continue"/>
                  <w:vAlign w:val="center"/>
                </w:tcPr>
                <w:p w14:paraId="1AABB17D">
                  <w:pPr>
                    <w:adjustRightInd w:val="0"/>
                    <w:snapToGrid w:val="0"/>
                    <w:rPr>
                      <w:szCs w:val="21"/>
                    </w:rPr>
                  </w:pPr>
                </w:p>
              </w:tc>
            </w:tr>
            <w:tr w14:paraId="0080E8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1E9C1409">
                  <w:pPr>
                    <w:adjustRightInd w:val="0"/>
                    <w:snapToGrid w:val="0"/>
                    <w:jc w:val="center"/>
                    <w:rPr>
                      <w:snapToGrid w:val="0"/>
                      <w:kern w:val="18"/>
                      <w:szCs w:val="21"/>
                    </w:rPr>
                  </w:pPr>
                  <w:r>
                    <w:rPr>
                      <w:rFonts w:hint="eastAsia"/>
                      <w:szCs w:val="21"/>
                    </w:rPr>
                    <w:t>8</w:t>
                  </w:r>
                </w:p>
              </w:tc>
              <w:tc>
                <w:tcPr>
                  <w:tcW w:w="1331" w:type="dxa"/>
                  <w:vAlign w:val="center"/>
                </w:tcPr>
                <w:p w14:paraId="3EEE44E8">
                  <w:pPr>
                    <w:adjustRightInd w:val="0"/>
                    <w:snapToGrid w:val="0"/>
                    <w:jc w:val="center"/>
                    <w:rPr>
                      <w:snapToGrid w:val="0"/>
                      <w:kern w:val="18"/>
                      <w:szCs w:val="21"/>
                    </w:rPr>
                  </w:pPr>
                  <w:r>
                    <w:rPr>
                      <w:snapToGrid w:val="0"/>
                      <w:kern w:val="18"/>
                      <w:szCs w:val="21"/>
                    </w:rPr>
                    <w:t>TN</w:t>
                  </w:r>
                </w:p>
              </w:tc>
              <w:tc>
                <w:tcPr>
                  <w:tcW w:w="1710" w:type="dxa"/>
                  <w:vAlign w:val="center"/>
                </w:tcPr>
                <w:p w14:paraId="4BECC396">
                  <w:pPr>
                    <w:adjustRightInd w:val="0"/>
                    <w:snapToGrid w:val="0"/>
                    <w:jc w:val="center"/>
                    <w:rPr>
                      <w:snapToGrid w:val="0"/>
                      <w:kern w:val="18"/>
                      <w:szCs w:val="21"/>
                    </w:rPr>
                  </w:pPr>
                  <w:r>
                    <w:rPr>
                      <w:snapToGrid w:val="0"/>
                      <w:kern w:val="18"/>
                      <w:szCs w:val="21"/>
                    </w:rPr>
                    <w:t>≤12（15）*</w:t>
                  </w:r>
                </w:p>
              </w:tc>
              <w:tc>
                <w:tcPr>
                  <w:tcW w:w="4268" w:type="dxa"/>
                  <w:vMerge w:val="continue"/>
                  <w:vAlign w:val="center"/>
                </w:tcPr>
                <w:p w14:paraId="05DFD739">
                  <w:pPr>
                    <w:adjustRightInd w:val="0"/>
                    <w:snapToGrid w:val="0"/>
                    <w:rPr>
                      <w:szCs w:val="21"/>
                    </w:rPr>
                  </w:pPr>
                </w:p>
              </w:tc>
            </w:tr>
          </w:tbl>
          <w:p w14:paraId="32DC5712">
            <w:pPr>
              <w:pStyle w:val="8"/>
              <w:adjustRightInd w:val="0"/>
              <w:snapToGrid w:val="0"/>
              <w:spacing w:line="360" w:lineRule="auto"/>
              <w:ind w:firstLine="422" w:firstLineChars="200"/>
              <w:rPr>
                <w:b/>
                <w:bCs/>
                <w:szCs w:val="21"/>
              </w:rPr>
            </w:pPr>
            <w:r>
              <w:rPr>
                <w:b/>
                <w:bCs/>
                <w:szCs w:val="21"/>
              </w:rPr>
              <w:t>注*：括号外数值为水温＞12℃时的控制指标，括号内数值为水温≤12℃时的控制指标。</w:t>
            </w:r>
          </w:p>
          <w:p w14:paraId="6FB50F6F">
            <w:pPr>
              <w:adjustRightInd w:val="0"/>
              <w:snapToGrid w:val="0"/>
              <w:spacing w:line="360" w:lineRule="auto"/>
              <w:ind w:firstLine="420" w:firstLineChars="200"/>
              <w:rPr>
                <w:szCs w:val="21"/>
              </w:rPr>
            </w:pPr>
            <w:r>
              <w:rPr>
                <w:rFonts w:hint="eastAsia"/>
                <w:szCs w:val="21"/>
              </w:rPr>
              <w:t>2026年3月28日起污水处理厂排放口执行</w:t>
            </w:r>
            <w:r>
              <w:rPr>
                <w:szCs w:val="21"/>
              </w:rPr>
              <w:t>《城镇污水处理厂污染物排放标准》</w:t>
            </w:r>
            <w:r>
              <w:rPr>
                <w:rFonts w:hint="eastAsia"/>
                <w:szCs w:val="21"/>
              </w:rPr>
              <w:t>（DB32/4440-2022）表1C标准。</w:t>
            </w:r>
          </w:p>
          <w:p w14:paraId="5BB3F596">
            <w:pPr>
              <w:tabs>
                <w:tab w:val="left" w:pos="960"/>
              </w:tabs>
              <w:adjustRightInd w:val="0"/>
              <w:snapToGrid w:val="0"/>
              <w:spacing w:beforeLines="50"/>
              <w:jc w:val="center"/>
              <w:rPr>
                <w:b/>
                <w:bCs/>
                <w:spacing w:val="-4"/>
                <w:szCs w:val="21"/>
              </w:rPr>
            </w:pPr>
            <w:r>
              <w:rPr>
                <w:b/>
                <w:bCs/>
                <w:spacing w:val="-4"/>
                <w:szCs w:val="21"/>
              </w:rPr>
              <w:t>表3-1</w:t>
            </w:r>
            <w:r>
              <w:rPr>
                <w:rFonts w:hint="eastAsia"/>
                <w:b/>
                <w:bCs/>
                <w:spacing w:val="-4"/>
                <w:szCs w:val="21"/>
              </w:rPr>
              <w:t>2</w:t>
            </w:r>
            <w:r>
              <w:rPr>
                <w:b/>
                <w:bCs/>
                <w:spacing w:val="-4"/>
                <w:szCs w:val="21"/>
              </w:rPr>
              <w:t xml:space="preserve">  城镇污水处理厂污染物排放标准</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1331"/>
              <w:gridCol w:w="1710"/>
              <w:gridCol w:w="4268"/>
            </w:tblGrid>
            <w:tr w14:paraId="200BF8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000" w:type="dxa"/>
                  <w:vAlign w:val="center"/>
                </w:tcPr>
                <w:p w14:paraId="1CE6541B">
                  <w:pPr>
                    <w:adjustRightInd w:val="0"/>
                    <w:snapToGrid w:val="0"/>
                    <w:jc w:val="center"/>
                    <w:rPr>
                      <w:szCs w:val="21"/>
                    </w:rPr>
                  </w:pPr>
                  <w:r>
                    <w:rPr>
                      <w:b/>
                      <w:szCs w:val="21"/>
                    </w:rPr>
                    <w:t>序号</w:t>
                  </w:r>
                </w:p>
              </w:tc>
              <w:tc>
                <w:tcPr>
                  <w:tcW w:w="1331" w:type="dxa"/>
                  <w:vAlign w:val="center"/>
                </w:tcPr>
                <w:p w14:paraId="46A17612">
                  <w:pPr>
                    <w:adjustRightInd w:val="0"/>
                    <w:snapToGrid w:val="0"/>
                    <w:jc w:val="center"/>
                    <w:rPr>
                      <w:b/>
                      <w:szCs w:val="21"/>
                    </w:rPr>
                  </w:pPr>
                  <w:r>
                    <w:rPr>
                      <w:b/>
                      <w:szCs w:val="21"/>
                    </w:rPr>
                    <w:t>项目</w:t>
                  </w:r>
                </w:p>
              </w:tc>
              <w:tc>
                <w:tcPr>
                  <w:tcW w:w="1710" w:type="dxa"/>
                  <w:vAlign w:val="center"/>
                </w:tcPr>
                <w:p w14:paraId="5256B42B">
                  <w:pPr>
                    <w:adjustRightInd w:val="0"/>
                    <w:snapToGrid w:val="0"/>
                    <w:jc w:val="center"/>
                    <w:rPr>
                      <w:b/>
                      <w:szCs w:val="21"/>
                    </w:rPr>
                  </w:pPr>
                  <w:r>
                    <w:rPr>
                      <w:b/>
                      <w:szCs w:val="21"/>
                    </w:rPr>
                    <w:t>浓度（mg/L）</w:t>
                  </w:r>
                </w:p>
              </w:tc>
              <w:tc>
                <w:tcPr>
                  <w:tcW w:w="4268" w:type="dxa"/>
                  <w:vAlign w:val="center"/>
                </w:tcPr>
                <w:p w14:paraId="7682E993">
                  <w:pPr>
                    <w:adjustRightInd w:val="0"/>
                    <w:snapToGrid w:val="0"/>
                    <w:jc w:val="center"/>
                    <w:rPr>
                      <w:b/>
                      <w:szCs w:val="21"/>
                    </w:rPr>
                  </w:pPr>
                  <w:r>
                    <w:rPr>
                      <w:b/>
                      <w:szCs w:val="21"/>
                    </w:rPr>
                    <w:t>标准来源</w:t>
                  </w:r>
                </w:p>
              </w:tc>
            </w:tr>
            <w:tr w14:paraId="39BCAE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6818FFF7">
                  <w:pPr>
                    <w:adjustRightInd w:val="0"/>
                    <w:snapToGrid w:val="0"/>
                    <w:jc w:val="center"/>
                    <w:rPr>
                      <w:szCs w:val="21"/>
                    </w:rPr>
                  </w:pPr>
                  <w:r>
                    <w:rPr>
                      <w:szCs w:val="21"/>
                    </w:rPr>
                    <w:t>1</w:t>
                  </w:r>
                </w:p>
              </w:tc>
              <w:tc>
                <w:tcPr>
                  <w:tcW w:w="1331" w:type="dxa"/>
                  <w:vAlign w:val="center"/>
                </w:tcPr>
                <w:p w14:paraId="5D4EAD34">
                  <w:pPr>
                    <w:adjustRightInd w:val="0"/>
                    <w:snapToGrid w:val="0"/>
                    <w:jc w:val="center"/>
                    <w:rPr>
                      <w:snapToGrid w:val="0"/>
                      <w:kern w:val="18"/>
                      <w:szCs w:val="21"/>
                    </w:rPr>
                  </w:pPr>
                  <w:r>
                    <w:rPr>
                      <w:snapToGrid w:val="0"/>
                      <w:kern w:val="18"/>
                      <w:szCs w:val="21"/>
                    </w:rPr>
                    <w:t>pH</w:t>
                  </w:r>
                </w:p>
              </w:tc>
              <w:tc>
                <w:tcPr>
                  <w:tcW w:w="1710" w:type="dxa"/>
                  <w:vAlign w:val="center"/>
                </w:tcPr>
                <w:p w14:paraId="1CD97EFA">
                  <w:pPr>
                    <w:adjustRightInd w:val="0"/>
                    <w:snapToGrid w:val="0"/>
                    <w:jc w:val="center"/>
                    <w:rPr>
                      <w:szCs w:val="21"/>
                    </w:rPr>
                  </w:pPr>
                  <w:r>
                    <w:rPr>
                      <w:szCs w:val="21"/>
                    </w:rPr>
                    <w:t>6~9（无量纲）</w:t>
                  </w:r>
                </w:p>
              </w:tc>
              <w:tc>
                <w:tcPr>
                  <w:tcW w:w="4268" w:type="dxa"/>
                  <w:vMerge w:val="restart"/>
                  <w:vAlign w:val="center"/>
                </w:tcPr>
                <w:p w14:paraId="1745CA2A">
                  <w:pPr>
                    <w:adjustRightInd w:val="0"/>
                    <w:snapToGrid w:val="0"/>
                    <w:jc w:val="center"/>
                    <w:rPr>
                      <w:szCs w:val="21"/>
                    </w:rPr>
                  </w:pPr>
                  <w:r>
                    <w:t>《城镇污水处理厂污染物排放标准》</w:t>
                  </w:r>
                  <w:r>
                    <w:rPr>
                      <w:rFonts w:hint="eastAsia"/>
                    </w:rPr>
                    <w:t>（</w:t>
                  </w:r>
                  <w:r>
                    <w:rPr>
                      <w:rFonts w:hint="eastAsia"/>
                      <w:szCs w:val="21"/>
                    </w:rPr>
                    <w:t>DB32/4440-2022</w:t>
                  </w:r>
                  <w:r>
                    <w:rPr>
                      <w:rFonts w:hint="eastAsia"/>
                    </w:rPr>
                    <w:t>）</w:t>
                  </w:r>
                  <w:r>
                    <w:rPr>
                      <w:szCs w:val="21"/>
                    </w:rPr>
                    <w:t>表1</w:t>
                  </w:r>
                  <w:r>
                    <w:rPr>
                      <w:rFonts w:hint="eastAsia"/>
                      <w:szCs w:val="21"/>
                    </w:rPr>
                    <w:t>C</w:t>
                  </w:r>
                  <w:r>
                    <w:rPr>
                      <w:szCs w:val="21"/>
                    </w:rPr>
                    <w:t>标准</w:t>
                  </w:r>
                </w:p>
              </w:tc>
            </w:tr>
            <w:tr w14:paraId="37CCD1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29B556B7">
                  <w:pPr>
                    <w:adjustRightInd w:val="0"/>
                    <w:snapToGrid w:val="0"/>
                    <w:jc w:val="center"/>
                    <w:rPr>
                      <w:szCs w:val="21"/>
                    </w:rPr>
                  </w:pPr>
                  <w:r>
                    <w:rPr>
                      <w:szCs w:val="21"/>
                    </w:rPr>
                    <w:t>2</w:t>
                  </w:r>
                </w:p>
              </w:tc>
              <w:tc>
                <w:tcPr>
                  <w:tcW w:w="1331" w:type="dxa"/>
                  <w:vAlign w:val="center"/>
                </w:tcPr>
                <w:p w14:paraId="16CA1B26">
                  <w:pPr>
                    <w:pStyle w:val="94"/>
                    <w:adjustRightInd/>
                    <w:snapToGrid/>
                    <w:jc w:val="center"/>
                    <w:rPr>
                      <w:rFonts w:cs="Times New Roman"/>
                      <w:snapToGrid w:val="0"/>
                      <w:kern w:val="18"/>
                      <w:szCs w:val="21"/>
                    </w:rPr>
                  </w:pPr>
                  <w:r>
                    <w:rPr>
                      <w:rFonts w:cs="Times New Roman"/>
                    </w:rPr>
                    <w:t>COD</w:t>
                  </w:r>
                </w:p>
              </w:tc>
              <w:tc>
                <w:tcPr>
                  <w:tcW w:w="1710" w:type="dxa"/>
                  <w:vAlign w:val="center"/>
                </w:tcPr>
                <w:p w14:paraId="0B2EF07E">
                  <w:pPr>
                    <w:jc w:val="center"/>
                    <w:rPr>
                      <w:snapToGrid w:val="0"/>
                      <w:kern w:val="18"/>
                      <w:szCs w:val="21"/>
                    </w:rPr>
                  </w:pPr>
                  <w:r>
                    <w:rPr>
                      <w:rFonts w:hint="eastAsia"/>
                    </w:rPr>
                    <w:t>50</w:t>
                  </w:r>
                </w:p>
              </w:tc>
              <w:tc>
                <w:tcPr>
                  <w:tcW w:w="4268" w:type="dxa"/>
                  <w:vMerge w:val="continue"/>
                  <w:vAlign w:val="center"/>
                </w:tcPr>
                <w:p w14:paraId="45BBEC91">
                  <w:pPr>
                    <w:adjustRightInd w:val="0"/>
                    <w:snapToGrid w:val="0"/>
                    <w:jc w:val="center"/>
                    <w:rPr>
                      <w:szCs w:val="21"/>
                    </w:rPr>
                  </w:pPr>
                </w:p>
              </w:tc>
            </w:tr>
            <w:tr w14:paraId="55C503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0195796D">
                  <w:pPr>
                    <w:adjustRightInd w:val="0"/>
                    <w:snapToGrid w:val="0"/>
                    <w:jc w:val="center"/>
                    <w:rPr>
                      <w:szCs w:val="21"/>
                    </w:rPr>
                  </w:pPr>
                  <w:r>
                    <w:rPr>
                      <w:szCs w:val="21"/>
                    </w:rPr>
                    <w:t>3</w:t>
                  </w:r>
                </w:p>
              </w:tc>
              <w:tc>
                <w:tcPr>
                  <w:tcW w:w="1331" w:type="dxa"/>
                  <w:vAlign w:val="center"/>
                </w:tcPr>
                <w:p w14:paraId="46EAD8BB">
                  <w:pPr>
                    <w:pStyle w:val="94"/>
                    <w:adjustRightInd/>
                    <w:snapToGrid/>
                    <w:jc w:val="center"/>
                    <w:rPr>
                      <w:rFonts w:cs="Times New Roman"/>
                      <w:snapToGrid w:val="0"/>
                      <w:kern w:val="18"/>
                      <w:szCs w:val="21"/>
                    </w:rPr>
                  </w:pPr>
                  <w:r>
                    <w:rPr>
                      <w:rFonts w:cs="Times New Roman"/>
                    </w:rPr>
                    <w:t>SS</w:t>
                  </w:r>
                </w:p>
              </w:tc>
              <w:tc>
                <w:tcPr>
                  <w:tcW w:w="1710" w:type="dxa"/>
                  <w:vAlign w:val="center"/>
                </w:tcPr>
                <w:p w14:paraId="2959A84E">
                  <w:pPr>
                    <w:jc w:val="center"/>
                    <w:rPr>
                      <w:snapToGrid w:val="0"/>
                      <w:kern w:val="18"/>
                      <w:szCs w:val="21"/>
                    </w:rPr>
                  </w:pPr>
                  <w:r>
                    <w:t>10</w:t>
                  </w:r>
                </w:p>
              </w:tc>
              <w:tc>
                <w:tcPr>
                  <w:tcW w:w="4268" w:type="dxa"/>
                  <w:vMerge w:val="continue"/>
                  <w:vAlign w:val="center"/>
                </w:tcPr>
                <w:p w14:paraId="508964B4">
                  <w:pPr>
                    <w:adjustRightInd w:val="0"/>
                    <w:snapToGrid w:val="0"/>
                    <w:jc w:val="center"/>
                    <w:rPr>
                      <w:szCs w:val="21"/>
                    </w:rPr>
                  </w:pPr>
                </w:p>
              </w:tc>
            </w:tr>
            <w:tr w14:paraId="59AAB5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Height w:val="302" w:hRule="atLeast"/>
                <w:jc w:val="center"/>
              </w:trPr>
              <w:tc>
                <w:tcPr>
                  <w:tcW w:w="1000" w:type="dxa"/>
                  <w:vAlign w:val="center"/>
                </w:tcPr>
                <w:p w14:paraId="1E1E19E9">
                  <w:pPr>
                    <w:adjustRightInd w:val="0"/>
                    <w:snapToGrid w:val="0"/>
                    <w:jc w:val="center"/>
                    <w:rPr>
                      <w:szCs w:val="21"/>
                    </w:rPr>
                  </w:pPr>
                  <w:r>
                    <w:rPr>
                      <w:szCs w:val="21"/>
                    </w:rPr>
                    <w:t>4</w:t>
                  </w:r>
                </w:p>
              </w:tc>
              <w:tc>
                <w:tcPr>
                  <w:tcW w:w="1331" w:type="dxa"/>
                  <w:vAlign w:val="center"/>
                </w:tcPr>
                <w:p w14:paraId="268EDB68">
                  <w:pPr>
                    <w:pStyle w:val="94"/>
                    <w:adjustRightInd/>
                    <w:snapToGrid/>
                    <w:jc w:val="center"/>
                    <w:rPr>
                      <w:rFonts w:cs="Times New Roman"/>
                      <w:snapToGrid w:val="0"/>
                      <w:kern w:val="18"/>
                      <w:szCs w:val="21"/>
                    </w:rPr>
                  </w:pPr>
                  <w:r>
                    <w:rPr>
                      <w:rFonts w:cs="Times New Roman"/>
                    </w:rPr>
                    <w:t>氨氮</w:t>
                  </w:r>
                </w:p>
              </w:tc>
              <w:tc>
                <w:tcPr>
                  <w:tcW w:w="1710" w:type="dxa"/>
                  <w:vAlign w:val="center"/>
                </w:tcPr>
                <w:p w14:paraId="1546C7E7">
                  <w:pPr>
                    <w:jc w:val="center"/>
                    <w:rPr>
                      <w:snapToGrid w:val="0"/>
                      <w:kern w:val="18"/>
                      <w:szCs w:val="21"/>
                    </w:rPr>
                  </w:pPr>
                  <w:r>
                    <w:t>4</w:t>
                  </w:r>
                  <w:r>
                    <w:rPr>
                      <w:rFonts w:hint="eastAsia"/>
                    </w:rPr>
                    <w:t>（6）</w:t>
                  </w:r>
                  <w:r>
                    <w:rPr>
                      <w:snapToGrid w:val="0"/>
                      <w:kern w:val="18"/>
                      <w:szCs w:val="21"/>
                    </w:rPr>
                    <w:t>*</w:t>
                  </w:r>
                </w:p>
              </w:tc>
              <w:tc>
                <w:tcPr>
                  <w:tcW w:w="4268" w:type="dxa"/>
                  <w:vMerge w:val="continue"/>
                  <w:vAlign w:val="center"/>
                </w:tcPr>
                <w:p w14:paraId="3AB941B3">
                  <w:pPr>
                    <w:adjustRightInd w:val="0"/>
                    <w:snapToGrid w:val="0"/>
                    <w:jc w:val="center"/>
                    <w:rPr>
                      <w:szCs w:val="21"/>
                    </w:rPr>
                  </w:pPr>
                </w:p>
              </w:tc>
            </w:tr>
            <w:tr w14:paraId="0F153B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77E051DB">
                  <w:pPr>
                    <w:adjustRightInd w:val="0"/>
                    <w:snapToGrid w:val="0"/>
                    <w:jc w:val="center"/>
                    <w:rPr>
                      <w:szCs w:val="21"/>
                    </w:rPr>
                  </w:pPr>
                  <w:r>
                    <w:rPr>
                      <w:szCs w:val="21"/>
                    </w:rPr>
                    <w:t>5</w:t>
                  </w:r>
                </w:p>
              </w:tc>
              <w:tc>
                <w:tcPr>
                  <w:tcW w:w="1331" w:type="dxa"/>
                  <w:vAlign w:val="center"/>
                </w:tcPr>
                <w:p w14:paraId="6DFCFAAE">
                  <w:pPr>
                    <w:pStyle w:val="94"/>
                    <w:adjustRightInd/>
                    <w:snapToGrid/>
                    <w:jc w:val="center"/>
                    <w:rPr>
                      <w:rFonts w:cs="Times New Roman"/>
                      <w:snapToGrid w:val="0"/>
                      <w:kern w:val="18"/>
                      <w:szCs w:val="21"/>
                    </w:rPr>
                  </w:pPr>
                  <w:r>
                    <w:rPr>
                      <w:rFonts w:cs="Times New Roman"/>
                    </w:rPr>
                    <w:t>总磷</w:t>
                  </w:r>
                </w:p>
              </w:tc>
              <w:tc>
                <w:tcPr>
                  <w:tcW w:w="1710" w:type="dxa"/>
                  <w:vAlign w:val="center"/>
                </w:tcPr>
                <w:p w14:paraId="781DD612">
                  <w:pPr>
                    <w:jc w:val="center"/>
                    <w:rPr>
                      <w:snapToGrid w:val="0"/>
                      <w:kern w:val="18"/>
                      <w:szCs w:val="21"/>
                    </w:rPr>
                  </w:pPr>
                  <w:r>
                    <w:rPr>
                      <w:rFonts w:hint="eastAsia"/>
                    </w:rPr>
                    <w:t>0.5</w:t>
                  </w:r>
                </w:p>
              </w:tc>
              <w:tc>
                <w:tcPr>
                  <w:tcW w:w="4268" w:type="dxa"/>
                  <w:vMerge w:val="continue"/>
                  <w:vAlign w:val="center"/>
                </w:tcPr>
                <w:p w14:paraId="5F046A07">
                  <w:pPr>
                    <w:adjustRightInd w:val="0"/>
                    <w:snapToGrid w:val="0"/>
                    <w:jc w:val="center"/>
                    <w:rPr>
                      <w:szCs w:val="21"/>
                    </w:rPr>
                  </w:pPr>
                </w:p>
              </w:tc>
            </w:tr>
            <w:tr w14:paraId="63D7D2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3A28F71A">
                  <w:pPr>
                    <w:adjustRightInd w:val="0"/>
                    <w:snapToGrid w:val="0"/>
                    <w:jc w:val="center"/>
                    <w:rPr>
                      <w:szCs w:val="21"/>
                    </w:rPr>
                  </w:pPr>
                  <w:r>
                    <w:rPr>
                      <w:szCs w:val="21"/>
                    </w:rPr>
                    <w:t>6</w:t>
                  </w:r>
                </w:p>
              </w:tc>
              <w:tc>
                <w:tcPr>
                  <w:tcW w:w="1331" w:type="dxa"/>
                  <w:vAlign w:val="center"/>
                </w:tcPr>
                <w:p w14:paraId="707FAB54">
                  <w:pPr>
                    <w:pStyle w:val="94"/>
                    <w:adjustRightInd/>
                    <w:snapToGrid/>
                    <w:jc w:val="center"/>
                    <w:rPr>
                      <w:rFonts w:cs="Times New Roman"/>
                      <w:snapToGrid w:val="0"/>
                      <w:kern w:val="18"/>
                      <w:szCs w:val="21"/>
                    </w:rPr>
                  </w:pPr>
                  <w:r>
                    <w:rPr>
                      <w:rFonts w:cs="Times New Roman"/>
                    </w:rPr>
                    <w:t>总氮</w:t>
                  </w:r>
                </w:p>
              </w:tc>
              <w:tc>
                <w:tcPr>
                  <w:tcW w:w="1710" w:type="dxa"/>
                  <w:vAlign w:val="center"/>
                </w:tcPr>
                <w:p w14:paraId="5DBBC8EB">
                  <w:pPr>
                    <w:jc w:val="center"/>
                    <w:rPr>
                      <w:snapToGrid w:val="0"/>
                      <w:kern w:val="18"/>
                      <w:szCs w:val="21"/>
                    </w:rPr>
                  </w:pPr>
                  <w:r>
                    <w:rPr>
                      <w:rFonts w:hint="eastAsia"/>
                      <w:szCs w:val="21"/>
                    </w:rPr>
                    <w:t>12</w:t>
                  </w:r>
                  <w:r>
                    <w:rPr>
                      <w:szCs w:val="21"/>
                    </w:rPr>
                    <w:t>（1</w:t>
                  </w:r>
                  <w:r>
                    <w:rPr>
                      <w:rFonts w:hint="eastAsia"/>
                      <w:szCs w:val="21"/>
                    </w:rPr>
                    <w:t>5</w:t>
                  </w:r>
                  <w:r>
                    <w:rPr>
                      <w:szCs w:val="21"/>
                    </w:rPr>
                    <w:t>）</w:t>
                  </w:r>
                  <w:r>
                    <w:rPr>
                      <w:snapToGrid w:val="0"/>
                      <w:kern w:val="18"/>
                      <w:szCs w:val="21"/>
                    </w:rPr>
                    <w:t>*</w:t>
                  </w:r>
                </w:p>
              </w:tc>
              <w:tc>
                <w:tcPr>
                  <w:tcW w:w="4268" w:type="dxa"/>
                  <w:vMerge w:val="continue"/>
                  <w:vAlign w:val="center"/>
                </w:tcPr>
                <w:p w14:paraId="686AAC16">
                  <w:pPr>
                    <w:adjustRightInd w:val="0"/>
                    <w:snapToGrid w:val="0"/>
                    <w:jc w:val="center"/>
                    <w:rPr>
                      <w:szCs w:val="21"/>
                    </w:rPr>
                  </w:pPr>
                </w:p>
              </w:tc>
            </w:tr>
            <w:tr w14:paraId="4A22BF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3281B7A7">
                  <w:pPr>
                    <w:adjustRightInd w:val="0"/>
                    <w:snapToGrid w:val="0"/>
                    <w:jc w:val="center"/>
                    <w:rPr>
                      <w:snapToGrid w:val="0"/>
                      <w:kern w:val="18"/>
                      <w:szCs w:val="21"/>
                    </w:rPr>
                  </w:pPr>
                  <w:r>
                    <w:rPr>
                      <w:szCs w:val="21"/>
                    </w:rPr>
                    <w:t>7</w:t>
                  </w:r>
                </w:p>
              </w:tc>
              <w:tc>
                <w:tcPr>
                  <w:tcW w:w="1331" w:type="dxa"/>
                  <w:vAlign w:val="center"/>
                </w:tcPr>
                <w:p w14:paraId="1028A0DD">
                  <w:pPr>
                    <w:pStyle w:val="94"/>
                    <w:adjustRightInd/>
                    <w:snapToGrid/>
                    <w:jc w:val="center"/>
                    <w:rPr>
                      <w:rFonts w:cs="Times New Roman"/>
                      <w:snapToGrid w:val="0"/>
                      <w:kern w:val="18"/>
                      <w:szCs w:val="21"/>
                    </w:rPr>
                  </w:pPr>
                  <w:r>
                    <w:rPr>
                      <w:rFonts w:hint="eastAsia" w:cs="Times New Roman"/>
                      <w:snapToGrid w:val="0"/>
                      <w:kern w:val="18"/>
                      <w:szCs w:val="21"/>
                    </w:rPr>
                    <w:t>石油类</w:t>
                  </w:r>
                </w:p>
              </w:tc>
              <w:tc>
                <w:tcPr>
                  <w:tcW w:w="1710" w:type="dxa"/>
                  <w:vAlign w:val="center"/>
                </w:tcPr>
                <w:p w14:paraId="1440E43C">
                  <w:pPr>
                    <w:jc w:val="center"/>
                    <w:rPr>
                      <w:snapToGrid w:val="0"/>
                      <w:kern w:val="18"/>
                      <w:szCs w:val="21"/>
                    </w:rPr>
                  </w:pPr>
                  <w:r>
                    <w:rPr>
                      <w:rFonts w:hint="eastAsia"/>
                      <w:snapToGrid w:val="0"/>
                      <w:kern w:val="18"/>
                      <w:szCs w:val="21"/>
                    </w:rPr>
                    <w:t>1</w:t>
                  </w:r>
                </w:p>
              </w:tc>
              <w:tc>
                <w:tcPr>
                  <w:tcW w:w="4268" w:type="dxa"/>
                  <w:vMerge w:val="continue"/>
                  <w:vAlign w:val="center"/>
                </w:tcPr>
                <w:p w14:paraId="71B72CAD">
                  <w:pPr>
                    <w:adjustRightInd w:val="0"/>
                    <w:snapToGrid w:val="0"/>
                    <w:rPr>
                      <w:szCs w:val="21"/>
                    </w:rPr>
                  </w:pPr>
                </w:p>
              </w:tc>
            </w:tr>
            <w:tr w14:paraId="7EA0BC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000" w:type="dxa"/>
                  <w:vAlign w:val="center"/>
                </w:tcPr>
                <w:p w14:paraId="4DAA4AE6">
                  <w:pPr>
                    <w:adjustRightInd w:val="0"/>
                    <w:snapToGrid w:val="0"/>
                    <w:jc w:val="center"/>
                    <w:rPr>
                      <w:szCs w:val="21"/>
                    </w:rPr>
                  </w:pPr>
                  <w:r>
                    <w:rPr>
                      <w:rFonts w:hint="eastAsia"/>
                      <w:szCs w:val="21"/>
                    </w:rPr>
                    <w:t>8</w:t>
                  </w:r>
                </w:p>
              </w:tc>
              <w:tc>
                <w:tcPr>
                  <w:tcW w:w="1331" w:type="dxa"/>
                  <w:vAlign w:val="center"/>
                </w:tcPr>
                <w:p w14:paraId="19213A91">
                  <w:pPr>
                    <w:pStyle w:val="94"/>
                    <w:adjustRightInd/>
                    <w:snapToGrid/>
                    <w:jc w:val="center"/>
                    <w:rPr>
                      <w:rFonts w:cs="Times New Roman"/>
                      <w:snapToGrid w:val="0"/>
                      <w:kern w:val="18"/>
                      <w:szCs w:val="21"/>
                    </w:rPr>
                  </w:pPr>
                  <w:r>
                    <w:rPr>
                      <w:rFonts w:hint="eastAsia" w:cs="Times New Roman"/>
                    </w:rPr>
                    <w:t>动植物油</w:t>
                  </w:r>
                </w:p>
              </w:tc>
              <w:tc>
                <w:tcPr>
                  <w:tcW w:w="1710" w:type="dxa"/>
                  <w:vAlign w:val="center"/>
                </w:tcPr>
                <w:p w14:paraId="07023CC3">
                  <w:pPr>
                    <w:jc w:val="center"/>
                    <w:rPr>
                      <w:snapToGrid w:val="0"/>
                      <w:kern w:val="18"/>
                      <w:szCs w:val="21"/>
                    </w:rPr>
                  </w:pPr>
                  <w:r>
                    <w:rPr>
                      <w:rFonts w:hint="eastAsia"/>
                      <w:szCs w:val="21"/>
                    </w:rPr>
                    <w:t>1</w:t>
                  </w:r>
                </w:p>
              </w:tc>
              <w:tc>
                <w:tcPr>
                  <w:tcW w:w="4268" w:type="dxa"/>
                  <w:vMerge w:val="continue"/>
                  <w:vAlign w:val="center"/>
                </w:tcPr>
                <w:p w14:paraId="55F1215A">
                  <w:pPr>
                    <w:adjustRightInd w:val="0"/>
                    <w:snapToGrid w:val="0"/>
                    <w:rPr>
                      <w:szCs w:val="21"/>
                    </w:rPr>
                  </w:pPr>
                </w:p>
              </w:tc>
            </w:tr>
          </w:tbl>
          <w:p w14:paraId="3796A4F0">
            <w:pPr>
              <w:pStyle w:val="8"/>
              <w:adjustRightInd w:val="0"/>
              <w:snapToGrid w:val="0"/>
              <w:spacing w:line="360" w:lineRule="auto"/>
              <w:ind w:firstLine="422" w:firstLineChars="200"/>
              <w:rPr>
                <w:b/>
                <w:bCs/>
                <w:szCs w:val="21"/>
              </w:rPr>
            </w:pPr>
            <w:r>
              <w:rPr>
                <w:b/>
                <w:bCs/>
                <w:szCs w:val="21"/>
              </w:rPr>
              <w:t>注*：</w:t>
            </w:r>
            <w:r>
              <w:rPr>
                <w:rFonts w:hint="eastAsia"/>
                <w:b/>
                <w:bCs/>
                <w:szCs w:val="21"/>
              </w:rPr>
              <w:t>每年11月1日至次年3月31日执行括号内排放标准</w:t>
            </w:r>
            <w:r>
              <w:rPr>
                <w:b/>
                <w:bCs/>
                <w:szCs w:val="21"/>
              </w:rPr>
              <w:t>。</w:t>
            </w:r>
          </w:p>
          <w:p w14:paraId="1361880C">
            <w:pPr>
              <w:pStyle w:val="8"/>
              <w:adjustRightInd w:val="0"/>
              <w:snapToGrid w:val="0"/>
              <w:spacing w:line="360" w:lineRule="auto"/>
              <w:ind w:firstLine="420" w:firstLineChars="200"/>
              <w:rPr>
                <w:szCs w:val="21"/>
              </w:rPr>
            </w:pPr>
            <w:r>
              <w:rPr>
                <w:szCs w:val="21"/>
              </w:rPr>
              <w:t>本次扩建项目模具清洗废水、清洗废水及喷淋塔废水经污水处理设施处理后回用于</w:t>
            </w:r>
            <w:r>
              <w:rPr>
                <w:rFonts w:hint="eastAsia"/>
                <w:szCs w:val="21"/>
              </w:rPr>
              <w:t>生产</w:t>
            </w:r>
            <w:r>
              <w:rPr>
                <w:szCs w:val="21"/>
              </w:rPr>
              <w:t>用水，回用标准参照《城市污水再生利用 工业用水水质》（GB/T19923-2024）</w:t>
            </w:r>
            <w:r>
              <w:rPr>
                <w:rFonts w:hint="eastAsia"/>
                <w:szCs w:val="21"/>
                <w:lang w:val="en-US" w:eastAsia="zh-CN"/>
              </w:rPr>
              <w:t>中“间冷开式循环冷却水补充水、锅炉补给水、工艺用水、产品用水”</w:t>
            </w:r>
            <w:r>
              <w:rPr>
                <w:szCs w:val="21"/>
              </w:rPr>
              <w:t>取值，具体标准见表3-13。</w:t>
            </w:r>
          </w:p>
          <w:p w14:paraId="25361F95">
            <w:pPr>
              <w:tabs>
                <w:tab w:val="left" w:pos="960"/>
              </w:tabs>
              <w:adjustRightInd w:val="0"/>
              <w:snapToGrid w:val="0"/>
              <w:jc w:val="center"/>
              <w:rPr>
                <w:b/>
                <w:spacing w:val="-4"/>
                <w:szCs w:val="21"/>
              </w:rPr>
            </w:pPr>
            <w:r>
              <w:rPr>
                <w:b/>
                <w:spacing w:val="-4"/>
                <w:szCs w:val="21"/>
              </w:rPr>
              <w:t>表3-13  工业用水水质标准  单位：mg/L</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921"/>
              <w:gridCol w:w="3487"/>
              <w:gridCol w:w="2901"/>
            </w:tblGrid>
            <w:tr w14:paraId="01F4E3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12" w:space="0"/>
                    <w:left w:val="nil"/>
                    <w:bottom w:val="single" w:color="auto" w:sz="6" w:space="0"/>
                    <w:right w:val="single" w:color="auto" w:sz="6" w:space="0"/>
                  </w:tcBorders>
                  <w:vAlign w:val="center"/>
                </w:tcPr>
                <w:p w14:paraId="518124EA">
                  <w:pPr>
                    <w:adjustRightInd w:val="0"/>
                    <w:snapToGrid w:val="0"/>
                    <w:jc w:val="center"/>
                    <w:rPr>
                      <w:b/>
                      <w:szCs w:val="21"/>
                    </w:rPr>
                  </w:pPr>
                  <w:r>
                    <w:rPr>
                      <w:b/>
                      <w:szCs w:val="21"/>
                    </w:rPr>
                    <w:t>污染物名称</w:t>
                  </w:r>
                </w:p>
              </w:tc>
              <w:tc>
                <w:tcPr>
                  <w:tcW w:w="3487" w:type="dxa"/>
                  <w:tcBorders>
                    <w:top w:val="single" w:color="auto" w:sz="12" w:space="0"/>
                    <w:left w:val="nil"/>
                    <w:bottom w:val="single" w:color="auto" w:sz="6" w:space="0"/>
                    <w:right w:val="single" w:color="auto" w:sz="6" w:space="0"/>
                  </w:tcBorders>
                  <w:vAlign w:val="center"/>
                </w:tcPr>
                <w:p w14:paraId="4F96605B">
                  <w:pPr>
                    <w:adjustRightInd w:val="0"/>
                    <w:snapToGrid w:val="0"/>
                    <w:jc w:val="center"/>
                    <w:rPr>
                      <w:b/>
                      <w:szCs w:val="21"/>
                    </w:rPr>
                  </w:pPr>
                  <w:r>
                    <w:rPr>
                      <w:b/>
                      <w:szCs w:val="21"/>
                    </w:rPr>
                    <w:t>浓度限值</w:t>
                  </w:r>
                </w:p>
              </w:tc>
              <w:tc>
                <w:tcPr>
                  <w:tcW w:w="2901" w:type="dxa"/>
                  <w:tcBorders>
                    <w:top w:val="single" w:color="auto" w:sz="12" w:space="0"/>
                    <w:left w:val="single" w:color="auto" w:sz="6" w:space="0"/>
                    <w:right w:val="nil"/>
                  </w:tcBorders>
                  <w:vAlign w:val="center"/>
                </w:tcPr>
                <w:p w14:paraId="6E7BCB24">
                  <w:pPr>
                    <w:adjustRightInd w:val="0"/>
                    <w:snapToGrid w:val="0"/>
                    <w:jc w:val="center"/>
                    <w:rPr>
                      <w:b/>
                      <w:szCs w:val="21"/>
                    </w:rPr>
                  </w:pPr>
                  <w:r>
                    <w:rPr>
                      <w:b/>
                      <w:szCs w:val="21"/>
                    </w:rPr>
                    <w:t>标准来源</w:t>
                  </w:r>
                </w:p>
              </w:tc>
            </w:tr>
            <w:tr w14:paraId="3C8A4D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6488B3F2">
                  <w:pPr>
                    <w:adjustRightInd w:val="0"/>
                    <w:snapToGrid w:val="0"/>
                    <w:jc w:val="center"/>
                    <w:rPr>
                      <w:snapToGrid w:val="0"/>
                      <w:kern w:val="18"/>
                      <w:szCs w:val="21"/>
                    </w:rPr>
                  </w:pPr>
                  <w:r>
                    <w:rPr>
                      <w:snapToGrid w:val="0"/>
                      <w:kern w:val="18"/>
                      <w:szCs w:val="21"/>
                    </w:rPr>
                    <w:t>COD</w:t>
                  </w:r>
                </w:p>
              </w:tc>
              <w:tc>
                <w:tcPr>
                  <w:tcW w:w="3487" w:type="dxa"/>
                  <w:tcBorders>
                    <w:top w:val="single" w:color="auto" w:sz="6" w:space="0"/>
                    <w:left w:val="nil"/>
                    <w:bottom w:val="single" w:color="auto" w:sz="6" w:space="0"/>
                    <w:right w:val="single" w:color="auto" w:sz="6" w:space="0"/>
                  </w:tcBorders>
                  <w:vAlign w:val="center"/>
                </w:tcPr>
                <w:p w14:paraId="1595E36A">
                  <w:pPr>
                    <w:adjustRightInd w:val="0"/>
                    <w:snapToGrid w:val="0"/>
                    <w:jc w:val="center"/>
                    <w:rPr>
                      <w:snapToGrid w:val="0"/>
                      <w:kern w:val="18"/>
                      <w:szCs w:val="21"/>
                    </w:rPr>
                  </w:pPr>
                  <w:r>
                    <w:rPr>
                      <w:szCs w:val="21"/>
                    </w:rPr>
                    <w:t>50</w:t>
                  </w:r>
                </w:p>
              </w:tc>
              <w:tc>
                <w:tcPr>
                  <w:tcW w:w="2901" w:type="dxa"/>
                  <w:vMerge w:val="restart"/>
                  <w:tcBorders>
                    <w:top w:val="single" w:color="auto" w:sz="6" w:space="0"/>
                    <w:left w:val="single" w:color="auto" w:sz="6" w:space="0"/>
                    <w:right w:val="nil"/>
                  </w:tcBorders>
                  <w:vAlign w:val="center"/>
                </w:tcPr>
                <w:p w14:paraId="40572EDC">
                  <w:pPr>
                    <w:adjustRightInd w:val="0"/>
                    <w:snapToGrid w:val="0"/>
                    <w:jc w:val="center"/>
                    <w:rPr>
                      <w:szCs w:val="21"/>
                    </w:rPr>
                  </w:pPr>
                  <w:r>
                    <w:rPr>
                      <w:szCs w:val="21"/>
                    </w:rPr>
                    <w:t>《城市污水再生利用 工业用水水质》（GB/T19923-2024）</w:t>
                  </w:r>
                </w:p>
              </w:tc>
            </w:tr>
            <w:tr w14:paraId="1F8644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50DBFC8A">
                  <w:pPr>
                    <w:adjustRightInd w:val="0"/>
                    <w:snapToGrid w:val="0"/>
                    <w:jc w:val="center"/>
                    <w:rPr>
                      <w:snapToGrid w:val="0"/>
                      <w:kern w:val="18"/>
                      <w:szCs w:val="21"/>
                    </w:rPr>
                  </w:pPr>
                  <w:r>
                    <w:rPr>
                      <w:snapToGrid w:val="0"/>
                      <w:kern w:val="18"/>
                      <w:szCs w:val="21"/>
                    </w:rPr>
                    <w:t>阴离子表面活性剂</w:t>
                  </w:r>
                </w:p>
              </w:tc>
              <w:tc>
                <w:tcPr>
                  <w:tcW w:w="3487" w:type="dxa"/>
                  <w:tcBorders>
                    <w:top w:val="single" w:color="auto" w:sz="6" w:space="0"/>
                    <w:left w:val="nil"/>
                    <w:bottom w:val="single" w:color="auto" w:sz="6" w:space="0"/>
                    <w:right w:val="single" w:color="auto" w:sz="6" w:space="0"/>
                  </w:tcBorders>
                  <w:vAlign w:val="center"/>
                </w:tcPr>
                <w:p w14:paraId="7AE359C0">
                  <w:pPr>
                    <w:adjustRightInd w:val="0"/>
                    <w:snapToGrid w:val="0"/>
                    <w:jc w:val="center"/>
                    <w:rPr>
                      <w:snapToGrid w:val="0"/>
                      <w:kern w:val="18"/>
                      <w:szCs w:val="21"/>
                    </w:rPr>
                  </w:pPr>
                  <w:r>
                    <w:rPr>
                      <w:szCs w:val="21"/>
                    </w:rPr>
                    <w:t>0.5</w:t>
                  </w:r>
                </w:p>
              </w:tc>
              <w:tc>
                <w:tcPr>
                  <w:tcW w:w="2901" w:type="dxa"/>
                  <w:vMerge w:val="continue"/>
                  <w:tcBorders>
                    <w:left w:val="single" w:color="auto" w:sz="6" w:space="0"/>
                    <w:right w:val="nil"/>
                  </w:tcBorders>
                  <w:vAlign w:val="center"/>
                </w:tcPr>
                <w:p w14:paraId="38F856AC">
                  <w:pPr>
                    <w:adjustRightInd w:val="0"/>
                    <w:snapToGrid w:val="0"/>
                    <w:jc w:val="center"/>
                    <w:rPr>
                      <w:szCs w:val="21"/>
                    </w:rPr>
                  </w:pPr>
                </w:p>
              </w:tc>
            </w:tr>
            <w:tr w14:paraId="37FA85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65E4D394">
                  <w:pPr>
                    <w:adjustRightInd w:val="0"/>
                    <w:snapToGrid w:val="0"/>
                    <w:jc w:val="center"/>
                    <w:rPr>
                      <w:snapToGrid w:val="0"/>
                      <w:kern w:val="18"/>
                      <w:szCs w:val="21"/>
                    </w:rPr>
                  </w:pPr>
                  <w:r>
                    <w:rPr>
                      <w:snapToGrid w:val="0"/>
                      <w:kern w:val="18"/>
                      <w:szCs w:val="21"/>
                    </w:rPr>
                    <w:t>石油类</w:t>
                  </w:r>
                </w:p>
              </w:tc>
              <w:tc>
                <w:tcPr>
                  <w:tcW w:w="3487" w:type="dxa"/>
                  <w:tcBorders>
                    <w:top w:val="single" w:color="auto" w:sz="6" w:space="0"/>
                    <w:left w:val="nil"/>
                    <w:bottom w:val="single" w:color="auto" w:sz="6" w:space="0"/>
                    <w:right w:val="single" w:color="auto" w:sz="6" w:space="0"/>
                  </w:tcBorders>
                  <w:vAlign w:val="center"/>
                </w:tcPr>
                <w:p w14:paraId="0A017070">
                  <w:pPr>
                    <w:adjustRightInd w:val="0"/>
                    <w:snapToGrid w:val="0"/>
                    <w:jc w:val="center"/>
                    <w:rPr>
                      <w:szCs w:val="21"/>
                    </w:rPr>
                  </w:pPr>
                  <w:r>
                    <w:rPr>
                      <w:szCs w:val="21"/>
                    </w:rPr>
                    <w:t>1.0</w:t>
                  </w:r>
                </w:p>
              </w:tc>
              <w:tc>
                <w:tcPr>
                  <w:tcW w:w="2901" w:type="dxa"/>
                  <w:vMerge w:val="continue"/>
                  <w:tcBorders>
                    <w:left w:val="single" w:color="auto" w:sz="6" w:space="0"/>
                    <w:right w:val="nil"/>
                  </w:tcBorders>
                  <w:vAlign w:val="center"/>
                </w:tcPr>
                <w:p w14:paraId="2FC24D6A">
                  <w:pPr>
                    <w:adjustRightInd w:val="0"/>
                    <w:snapToGrid w:val="0"/>
                    <w:jc w:val="center"/>
                    <w:rPr>
                      <w:szCs w:val="21"/>
                    </w:rPr>
                  </w:pPr>
                </w:p>
              </w:tc>
            </w:tr>
            <w:tr w14:paraId="48B12E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1D5B934D">
                  <w:pPr>
                    <w:adjustRightInd w:val="0"/>
                    <w:snapToGrid w:val="0"/>
                    <w:jc w:val="center"/>
                    <w:rPr>
                      <w:snapToGrid w:val="0"/>
                      <w:kern w:val="18"/>
                      <w:szCs w:val="21"/>
                    </w:rPr>
                  </w:pPr>
                  <w:r>
                    <w:rPr>
                      <w:rFonts w:hint="eastAsia"/>
                      <w:snapToGrid w:val="0"/>
                      <w:kern w:val="18"/>
                      <w:szCs w:val="21"/>
                    </w:rPr>
                    <w:t>总磷</w:t>
                  </w:r>
                </w:p>
              </w:tc>
              <w:tc>
                <w:tcPr>
                  <w:tcW w:w="3487" w:type="dxa"/>
                  <w:tcBorders>
                    <w:top w:val="single" w:color="auto" w:sz="6" w:space="0"/>
                    <w:left w:val="nil"/>
                    <w:bottom w:val="single" w:color="auto" w:sz="6" w:space="0"/>
                    <w:right w:val="single" w:color="auto" w:sz="6" w:space="0"/>
                  </w:tcBorders>
                  <w:vAlign w:val="center"/>
                </w:tcPr>
                <w:p w14:paraId="6AFEF0E1">
                  <w:pPr>
                    <w:adjustRightInd w:val="0"/>
                    <w:snapToGrid w:val="0"/>
                    <w:jc w:val="center"/>
                    <w:rPr>
                      <w:szCs w:val="21"/>
                    </w:rPr>
                  </w:pPr>
                  <w:r>
                    <w:rPr>
                      <w:rFonts w:hint="eastAsia"/>
                      <w:szCs w:val="21"/>
                    </w:rPr>
                    <w:t>0.5</w:t>
                  </w:r>
                </w:p>
              </w:tc>
              <w:tc>
                <w:tcPr>
                  <w:tcW w:w="2901" w:type="dxa"/>
                  <w:vMerge w:val="continue"/>
                  <w:tcBorders>
                    <w:left w:val="single" w:color="auto" w:sz="6" w:space="0"/>
                    <w:right w:val="nil"/>
                  </w:tcBorders>
                  <w:vAlign w:val="center"/>
                </w:tcPr>
                <w:p w14:paraId="313DF703">
                  <w:pPr>
                    <w:adjustRightInd w:val="0"/>
                    <w:snapToGrid w:val="0"/>
                    <w:jc w:val="center"/>
                    <w:rPr>
                      <w:szCs w:val="21"/>
                    </w:rPr>
                  </w:pPr>
                </w:p>
              </w:tc>
            </w:tr>
            <w:tr w14:paraId="797781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226BC015">
                  <w:pPr>
                    <w:adjustRightInd w:val="0"/>
                    <w:snapToGrid w:val="0"/>
                    <w:jc w:val="center"/>
                    <w:rPr>
                      <w:snapToGrid w:val="0"/>
                      <w:kern w:val="18"/>
                      <w:szCs w:val="21"/>
                    </w:rPr>
                  </w:pPr>
                  <w:r>
                    <w:rPr>
                      <w:rFonts w:hint="eastAsia"/>
                      <w:snapToGrid w:val="0"/>
                      <w:kern w:val="18"/>
                      <w:szCs w:val="21"/>
                    </w:rPr>
                    <w:t>总氮</w:t>
                  </w:r>
                </w:p>
              </w:tc>
              <w:tc>
                <w:tcPr>
                  <w:tcW w:w="3487" w:type="dxa"/>
                  <w:tcBorders>
                    <w:top w:val="single" w:color="auto" w:sz="6" w:space="0"/>
                    <w:left w:val="nil"/>
                    <w:bottom w:val="single" w:color="auto" w:sz="6" w:space="0"/>
                    <w:right w:val="single" w:color="auto" w:sz="6" w:space="0"/>
                  </w:tcBorders>
                  <w:vAlign w:val="center"/>
                </w:tcPr>
                <w:p w14:paraId="29D101D9">
                  <w:pPr>
                    <w:adjustRightInd w:val="0"/>
                    <w:snapToGrid w:val="0"/>
                    <w:jc w:val="center"/>
                    <w:rPr>
                      <w:szCs w:val="21"/>
                    </w:rPr>
                  </w:pPr>
                  <w:r>
                    <w:rPr>
                      <w:rFonts w:hint="eastAsia"/>
                      <w:szCs w:val="21"/>
                    </w:rPr>
                    <w:t>15</w:t>
                  </w:r>
                </w:p>
              </w:tc>
              <w:tc>
                <w:tcPr>
                  <w:tcW w:w="2901" w:type="dxa"/>
                  <w:vMerge w:val="continue"/>
                  <w:tcBorders>
                    <w:left w:val="single" w:color="auto" w:sz="6" w:space="0"/>
                    <w:right w:val="nil"/>
                  </w:tcBorders>
                  <w:vAlign w:val="center"/>
                </w:tcPr>
                <w:p w14:paraId="6D157B0B">
                  <w:pPr>
                    <w:adjustRightInd w:val="0"/>
                    <w:snapToGrid w:val="0"/>
                    <w:jc w:val="center"/>
                    <w:rPr>
                      <w:szCs w:val="21"/>
                    </w:rPr>
                  </w:pPr>
                </w:p>
              </w:tc>
            </w:tr>
            <w:tr w14:paraId="45959D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6053C2C7">
                  <w:pPr>
                    <w:adjustRightInd w:val="0"/>
                    <w:snapToGrid w:val="0"/>
                    <w:jc w:val="center"/>
                    <w:rPr>
                      <w:snapToGrid w:val="0"/>
                      <w:kern w:val="18"/>
                      <w:szCs w:val="21"/>
                    </w:rPr>
                  </w:pPr>
                  <w:r>
                    <w:rPr>
                      <w:rFonts w:hint="eastAsia"/>
                      <w:snapToGrid w:val="0"/>
                      <w:kern w:val="18"/>
                      <w:szCs w:val="21"/>
                    </w:rPr>
                    <w:t>溶解性总固体</w:t>
                  </w:r>
                </w:p>
              </w:tc>
              <w:tc>
                <w:tcPr>
                  <w:tcW w:w="3487" w:type="dxa"/>
                  <w:tcBorders>
                    <w:top w:val="single" w:color="auto" w:sz="6" w:space="0"/>
                    <w:left w:val="nil"/>
                    <w:bottom w:val="single" w:color="auto" w:sz="6" w:space="0"/>
                    <w:right w:val="single" w:color="auto" w:sz="6" w:space="0"/>
                  </w:tcBorders>
                  <w:vAlign w:val="center"/>
                </w:tcPr>
                <w:p w14:paraId="0BD8B73D">
                  <w:pPr>
                    <w:adjustRightInd w:val="0"/>
                    <w:snapToGrid w:val="0"/>
                    <w:jc w:val="center"/>
                    <w:rPr>
                      <w:szCs w:val="21"/>
                    </w:rPr>
                  </w:pPr>
                  <w:r>
                    <w:rPr>
                      <w:rFonts w:hint="eastAsia"/>
                      <w:szCs w:val="21"/>
                    </w:rPr>
                    <w:t>1000</w:t>
                  </w:r>
                </w:p>
              </w:tc>
              <w:tc>
                <w:tcPr>
                  <w:tcW w:w="2901" w:type="dxa"/>
                  <w:vMerge w:val="continue"/>
                  <w:tcBorders>
                    <w:left w:val="single" w:color="auto" w:sz="6" w:space="0"/>
                    <w:right w:val="nil"/>
                  </w:tcBorders>
                  <w:vAlign w:val="center"/>
                </w:tcPr>
                <w:p w14:paraId="4652FFB7">
                  <w:pPr>
                    <w:adjustRightInd w:val="0"/>
                    <w:snapToGrid w:val="0"/>
                    <w:jc w:val="center"/>
                    <w:rPr>
                      <w:szCs w:val="21"/>
                    </w:rPr>
                  </w:pPr>
                </w:p>
              </w:tc>
            </w:tr>
            <w:tr w14:paraId="1E2BB8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4C35B34F">
                  <w:pPr>
                    <w:adjustRightInd w:val="0"/>
                    <w:snapToGrid w:val="0"/>
                    <w:jc w:val="center"/>
                    <w:rPr>
                      <w:snapToGrid w:val="0"/>
                      <w:kern w:val="18"/>
                      <w:szCs w:val="21"/>
                    </w:rPr>
                  </w:pPr>
                  <w:r>
                    <w:rPr>
                      <w:rFonts w:hint="eastAsia"/>
                      <w:snapToGrid w:val="0"/>
                      <w:kern w:val="18"/>
                      <w:szCs w:val="21"/>
                    </w:rPr>
                    <w:t>pH</w:t>
                  </w:r>
                </w:p>
              </w:tc>
              <w:tc>
                <w:tcPr>
                  <w:tcW w:w="3487" w:type="dxa"/>
                  <w:tcBorders>
                    <w:top w:val="single" w:color="auto" w:sz="6" w:space="0"/>
                    <w:left w:val="nil"/>
                    <w:bottom w:val="single" w:color="auto" w:sz="6" w:space="0"/>
                    <w:right w:val="single" w:color="auto" w:sz="6" w:space="0"/>
                  </w:tcBorders>
                  <w:vAlign w:val="center"/>
                </w:tcPr>
                <w:p w14:paraId="4FB2D440">
                  <w:pPr>
                    <w:adjustRightInd w:val="0"/>
                    <w:snapToGrid w:val="0"/>
                    <w:jc w:val="center"/>
                    <w:rPr>
                      <w:szCs w:val="21"/>
                    </w:rPr>
                  </w:pPr>
                  <w:r>
                    <w:rPr>
                      <w:rFonts w:hint="eastAsia"/>
                      <w:szCs w:val="21"/>
                    </w:rPr>
                    <w:t>6.0-9.0</w:t>
                  </w:r>
                </w:p>
              </w:tc>
              <w:tc>
                <w:tcPr>
                  <w:tcW w:w="2901" w:type="dxa"/>
                  <w:vMerge w:val="continue"/>
                  <w:tcBorders>
                    <w:left w:val="single" w:color="auto" w:sz="6" w:space="0"/>
                    <w:right w:val="nil"/>
                  </w:tcBorders>
                  <w:vAlign w:val="center"/>
                </w:tcPr>
                <w:p w14:paraId="3FE9D84B">
                  <w:pPr>
                    <w:adjustRightInd w:val="0"/>
                    <w:snapToGrid w:val="0"/>
                    <w:jc w:val="center"/>
                    <w:rPr>
                      <w:szCs w:val="21"/>
                    </w:rPr>
                  </w:pPr>
                </w:p>
              </w:tc>
            </w:tr>
            <w:tr w14:paraId="4B7C68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bottom w:val="single" w:color="auto" w:sz="6" w:space="0"/>
                    <w:right w:val="single" w:color="auto" w:sz="6" w:space="0"/>
                  </w:tcBorders>
                  <w:vAlign w:val="center"/>
                </w:tcPr>
                <w:p w14:paraId="27357031">
                  <w:pPr>
                    <w:adjustRightInd w:val="0"/>
                    <w:snapToGrid w:val="0"/>
                    <w:jc w:val="center"/>
                    <w:rPr>
                      <w:rFonts w:hint="eastAsia" w:eastAsia="宋体"/>
                      <w:snapToGrid w:val="0"/>
                      <w:kern w:val="18"/>
                      <w:szCs w:val="21"/>
                      <w:lang w:val="en-US" w:eastAsia="zh-CN"/>
                    </w:rPr>
                  </w:pPr>
                  <w:r>
                    <w:rPr>
                      <w:rFonts w:hint="eastAsia"/>
                      <w:snapToGrid w:val="0"/>
                      <w:kern w:val="18"/>
                      <w:szCs w:val="21"/>
                      <w:lang w:val="en-US" w:eastAsia="zh-CN"/>
                    </w:rPr>
                    <w:t>氯化物</w:t>
                  </w:r>
                </w:p>
              </w:tc>
              <w:tc>
                <w:tcPr>
                  <w:tcW w:w="3487" w:type="dxa"/>
                  <w:tcBorders>
                    <w:top w:val="single" w:color="auto" w:sz="6" w:space="0"/>
                    <w:left w:val="nil"/>
                    <w:bottom w:val="single" w:color="auto" w:sz="6" w:space="0"/>
                    <w:right w:val="single" w:color="auto" w:sz="6" w:space="0"/>
                  </w:tcBorders>
                  <w:vAlign w:val="center"/>
                </w:tcPr>
                <w:p w14:paraId="7402DC69">
                  <w:pPr>
                    <w:adjustRightInd w:val="0"/>
                    <w:snapToGrid w:val="0"/>
                    <w:jc w:val="center"/>
                    <w:rPr>
                      <w:rFonts w:hint="default" w:eastAsia="宋体"/>
                      <w:szCs w:val="21"/>
                      <w:lang w:val="en-US" w:eastAsia="zh-CN"/>
                    </w:rPr>
                  </w:pPr>
                  <w:r>
                    <w:rPr>
                      <w:rFonts w:hint="eastAsia"/>
                      <w:szCs w:val="21"/>
                      <w:lang w:val="en-US" w:eastAsia="zh-CN"/>
                    </w:rPr>
                    <w:t>250</w:t>
                  </w:r>
                </w:p>
              </w:tc>
              <w:tc>
                <w:tcPr>
                  <w:tcW w:w="2901" w:type="dxa"/>
                  <w:vMerge w:val="continue"/>
                  <w:tcBorders>
                    <w:left w:val="single" w:color="auto" w:sz="6" w:space="0"/>
                    <w:right w:val="nil"/>
                  </w:tcBorders>
                  <w:vAlign w:val="center"/>
                </w:tcPr>
                <w:p w14:paraId="168C75AD">
                  <w:pPr>
                    <w:adjustRightInd w:val="0"/>
                    <w:snapToGrid w:val="0"/>
                    <w:jc w:val="center"/>
                    <w:rPr>
                      <w:szCs w:val="21"/>
                    </w:rPr>
                  </w:pPr>
                </w:p>
              </w:tc>
            </w:tr>
            <w:tr w14:paraId="4DEDDA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1921" w:type="dxa"/>
                  <w:tcBorders>
                    <w:top w:val="single" w:color="auto" w:sz="6" w:space="0"/>
                    <w:left w:val="nil"/>
                    <w:right w:val="single" w:color="auto" w:sz="6" w:space="0"/>
                  </w:tcBorders>
                  <w:vAlign w:val="center"/>
                </w:tcPr>
                <w:p w14:paraId="5FFD95EA">
                  <w:pPr>
                    <w:adjustRightInd w:val="0"/>
                    <w:snapToGrid w:val="0"/>
                    <w:jc w:val="center"/>
                    <w:rPr>
                      <w:rFonts w:hint="default"/>
                      <w:snapToGrid w:val="0"/>
                      <w:kern w:val="18"/>
                      <w:szCs w:val="21"/>
                      <w:lang w:val="en-US" w:eastAsia="zh-CN"/>
                    </w:rPr>
                  </w:pPr>
                  <w:r>
                    <w:rPr>
                      <w:rFonts w:hint="eastAsia"/>
                      <w:snapToGrid w:val="0"/>
                      <w:kern w:val="18"/>
                      <w:szCs w:val="21"/>
                      <w:lang w:val="en-US" w:eastAsia="zh-CN"/>
                    </w:rPr>
                    <w:t>氨氮</w:t>
                  </w:r>
                </w:p>
              </w:tc>
              <w:tc>
                <w:tcPr>
                  <w:tcW w:w="3487" w:type="dxa"/>
                  <w:tcBorders>
                    <w:top w:val="single" w:color="auto" w:sz="6" w:space="0"/>
                    <w:left w:val="nil"/>
                    <w:right w:val="single" w:color="auto" w:sz="6" w:space="0"/>
                  </w:tcBorders>
                  <w:vAlign w:val="center"/>
                </w:tcPr>
                <w:p w14:paraId="035C08D8">
                  <w:pPr>
                    <w:adjustRightInd w:val="0"/>
                    <w:snapToGrid w:val="0"/>
                    <w:jc w:val="center"/>
                    <w:rPr>
                      <w:rFonts w:hint="default"/>
                      <w:szCs w:val="21"/>
                      <w:lang w:val="en-US" w:eastAsia="zh-CN"/>
                    </w:rPr>
                  </w:pPr>
                  <w:r>
                    <w:rPr>
                      <w:rFonts w:hint="eastAsia"/>
                      <w:szCs w:val="21"/>
                      <w:lang w:val="en-US" w:eastAsia="zh-CN"/>
                    </w:rPr>
                    <w:t>5</w:t>
                  </w:r>
                </w:p>
              </w:tc>
              <w:tc>
                <w:tcPr>
                  <w:tcW w:w="2901" w:type="dxa"/>
                  <w:vMerge w:val="continue"/>
                  <w:tcBorders>
                    <w:left w:val="single" w:color="auto" w:sz="6" w:space="0"/>
                    <w:right w:val="nil"/>
                  </w:tcBorders>
                  <w:vAlign w:val="center"/>
                </w:tcPr>
                <w:p w14:paraId="4AC81417">
                  <w:pPr>
                    <w:adjustRightInd w:val="0"/>
                    <w:snapToGrid w:val="0"/>
                    <w:jc w:val="center"/>
                    <w:rPr>
                      <w:szCs w:val="21"/>
                    </w:rPr>
                  </w:pPr>
                </w:p>
              </w:tc>
            </w:tr>
          </w:tbl>
          <w:p w14:paraId="6A64E0EC">
            <w:pPr>
              <w:adjustRightInd w:val="0"/>
              <w:snapToGrid w:val="0"/>
              <w:spacing w:beforeLines="50" w:line="360" w:lineRule="auto"/>
              <w:rPr>
                <w:b/>
                <w:bCs/>
                <w:szCs w:val="21"/>
              </w:rPr>
            </w:pPr>
            <w:r>
              <w:rPr>
                <w:b/>
                <w:bCs/>
                <w:szCs w:val="21"/>
              </w:rPr>
              <w:t>3、噪声排放标准</w:t>
            </w:r>
          </w:p>
          <w:p w14:paraId="03889B3A">
            <w:pPr>
              <w:spacing w:line="360" w:lineRule="auto"/>
              <w:ind w:firstLine="420" w:firstLineChars="200"/>
              <w:rPr>
                <w:szCs w:val="21"/>
              </w:rPr>
            </w:pPr>
            <w:r>
              <w:rPr>
                <w:szCs w:val="21"/>
              </w:rPr>
              <w:t>营运期项目厂界噪声执行《工业企业厂界环境噪声排放标准》（GB12348-2008）表1中3类标准，具体限值见表3-14。</w:t>
            </w:r>
          </w:p>
          <w:p w14:paraId="1D6AAC55">
            <w:pPr>
              <w:tabs>
                <w:tab w:val="left" w:pos="1367"/>
              </w:tabs>
              <w:ind w:firstLine="422" w:firstLineChars="200"/>
              <w:jc w:val="center"/>
              <w:rPr>
                <w:b/>
                <w:kern w:val="0"/>
                <w:szCs w:val="21"/>
              </w:rPr>
            </w:pPr>
            <w:r>
              <w:rPr>
                <w:b/>
                <w:kern w:val="0"/>
                <w:szCs w:val="21"/>
              </w:rPr>
              <w:t>表3-14  工业企业厂界噪声排放限值  单位：dB(A)</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10"/>
              <w:gridCol w:w="943"/>
              <w:gridCol w:w="972"/>
              <w:gridCol w:w="5300"/>
            </w:tblGrid>
            <w:tr w14:paraId="2513F1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66" w:type="pct"/>
                  <w:vAlign w:val="center"/>
                </w:tcPr>
                <w:p w14:paraId="3AA9227D">
                  <w:pPr>
                    <w:adjustRightInd w:val="0"/>
                    <w:snapToGrid w:val="0"/>
                    <w:jc w:val="center"/>
                    <w:rPr>
                      <w:b/>
                      <w:spacing w:val="-6"/>
                      <w:szCs w:val="21"/>
                    </w:rPr>
                  </w:pPr>
                  <w:r>
                    <w:rPr>
                      <w:b/>
                      <w:spacing w:val="-6"/>
                      <w:szCs w:val="21"/>
                    </w:rPr>
                    <w:t>类别</w:t>
                  </w:r>
                </w:p>
              </w:tc>
              <w:tc>
                <w:tcPr>
                  <w:tcW w:w="566" w:type="pct"/>
                  <w:vAlign w:val="center"/>
                </w:tcPr>
                <w:p w14:paraId="11CDF578">
                  <w:pPr>
                    <w:adjustRightInd w:val="0"/>
                    <w:snapToGrid w:val="0"/>
                    <w:jc w:val="center"/>
                    <w:rPr>
                      <w:b/>
                      <w:spacing w:val="-6"/>
                      <w:szCs w:val="21"/>
                    </w:rPr>
                  </w:pPr>
                  <w:r>
                    <w:rPr>
                      <w:b/>
                      <w:spacing w:val="-6"/>
                      <w:szCs w:val="21"/>
                    </w:rPr>
                    <w:t>昼间</w:t>
                  </w:r>
                </w:p>
              </w:tc>
              <w:tc>
                <w:tcPr>
                  <w:tcW w:w="584" w:type="pct"/>
                  <w:vAlign w:val="center"/>
                </w:tcPr>
                <w:p w14:paraId="5A5E4402">
                  <w:pPr>
                    <w:adjustRightInd w:val="0"/>
                    <w:snapToGrid w:val="0"/>
                    <w:jc w:val="center"/>
                    <w:rPr>
                      <w:b/>
                      <w:spacing w:val="-6"/>
                      <w:szCs w:val="21"/>
                    </w:rPr>
                  </w:pPr>
                  <w:r>
                    <w:rPr>
                      <w:b/>
                      <w:spacing w:val="-6"/>
                      <w:szCs w:val="21"/>
                    </w:rPr>
                    <w:t>夜间</w:t>
                  </w:r>
                </w:p>
              </w:tc>
              <w:tc>
                <w:tcPr>
                  <w:tcW w:w="3181" w:type="pct"/>
                  <w:vAlign w:val="center"/>
                </w:tcPr>
                <w:p w14:paraId="656F81F7">
                  <w:pPr>
                    <w:adjustRightInd w:val="0"/>
                    <w:snapToGrid w:val="0"/>
                    <w:jc w:val="center"/>
                    <w:rPr>
                      <w:b/>
                      <w:spacing w:val="-6"/>
                      <w:szCs w:val="21"/>
                    </w:rPr>
                  </w:pPr>
                  <w:r>
                    <w:rPr>
                      <w:b/>
                      <w:spacing w:val="-6"/>
                      <w:szCs w:val="21"/>
                    </w:rPr>
                    <w:t>限值来源</w:t>
                  </w:r>
                </w:p>
              </w:tc>
            </w:tr>
            <w:tr w14:paraId="16FF16C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666" w:type="pct"/>
                  <w:vAlign w:val="center"/>
                </w:tcPr>
                <w:p w14:paraId="46C9F8A8">
                  <w:pPr>
                    <w:adjustRightInd w:val="0"/>
                    <w:snapToGrid w:val="0"/>
                    <w:jc w:val="center"/>
                    <w:rPr>
                      <w:szCs w:val="21"/>
                    </w:rPr>
                  </w:pPr>
                  <w:r>
                    <w:rPr>
                      <w:szCs w:val="21"/>
                    </w:rPr>
                    <w:t>3</w:t>
                  </w:r>
                  <w:r>
                    <w:rPr>
                      <w:rFonts w:hint="eastAsia"/>
                      <w:szCs w:val="21"/>
                    </w:rPr>
                    <w:t>类</w:t>
                  </w:r>
                </w:p>
              </w:tc>
              <w:tc>
                <w:tcPr>
                  <w:tcW w:w="566" w:type="pct"/>
                  <w:vAlign w:val="center"/>
                </w:tcPr>
                <w:p w14:paraId="7DFA24B3">
                  <w:pPr>
                    <w:adjustRightInd w:val="0"/>
                    <w:snapToGrid w:val="0"/>
                    <w:jc w:val="center"/>
                    <w:rPr>
                      <w:szCs w:val="21"/>
                    </w:rPr>
                  </w:pPr>
                  <w:r>
                    <w:rPr>
                      <w:szCs w:val="21"/>
                    </w:rPr>
                    <w:t>65</w:t>
                  </w:r>
                </w:p>
              </w:tc>
              <w:tc>
                <w:tcPr>
                  <w:tcW w:w="584" w:type="pct"/>
                  <w:vAlign w:val="center"/>
                </w:tcPr>
                <w:p w14:paraId="38449524">
                  <w:pPr>
                    <w:adjustRightInd w:val="0"/>
                    <w:snapToGrid w:val="0"/>
                    <w:jc w:val="center"/>
                    <w:rPr>
                      <w:szCs w:val="21"/>
                    </w:rPr>
                  </w:pPr>
                  <w:r>
                    <w:rPr>
                      <w:szCs w:val="21"/>
                    </w:rPr>
                    <w:t>55</w:t>
                  </w:r>
                </w:p>
              </w:tc>
              <w:tc>
                <w:tcPr>
                  <w:tcW w:w="3181" w:type="pct"/>
                  <w:vAlign w:val="center"/>
                </w:tcPr>
                <w:p w14:paraId="2E00CE35">
                  <w:pPr>
                    <w:adjustRightInd w:val="0"/>
                    <w:snapToGrid w:val="0"/>
                    <w:rPr>
                      <w:szCs w:val="21"/>
                    </w:rPr>
                  </w:pPr>
                  <w:r>
                    <w:rPr>
                      <w:szCs w:val="21"/>
                    </w:rPr>
                    <w:t>《工业企业厂界环境噪声排放标准》（GB12348-2008）</w:t>
                  </w:r>
                </w:p>
              </w:tc>
            </w:tr>
          </w:tbl>
          <w:p w14:paraId="0729FD75">
            <w:pPr>
              <w:adjustRightInd w:val="0"/>
              <w:snapToGrid w:val="0"/>
              <w:spacing w:beforeLines="50" w:line="360" w:lineRule="auto"/>
              <w:rPr>
                <w:b/>
                <w:bCs/>
                <w:szCs w:val="21"/>
              </w:rPr>
            </w:pPr>
            <w:r>
              <w:rPr>
                <w:b/>
                <w:bCs/>
                <w:szCs w:val="21"/>
              </w:rPr>
              <w:t>4、固体污染物控制标准</w:t>
            </w:r>
          </w:p>
          <w:p w14:paraId="53DCCDEA">
            <w:pPr>
              <w:spacing w:line="360" w:lineRule="auto"/>
              <w:ind w:firstLine="420" w:firstLineChars="200"/>
              <w:rPr>
                <w:szCs w:val="21"/>
              </w:rPr>
            </w:pPr>
            <w:r>
              <w:rPr>
                <w:szCs w:val="21"/>
              </w:rPr>
              <w:t>一般工业固体废物执行《一般工业固体废物贮存和填埋污染控制标准》（GB18599-2020）中要求；危险废物执行《危险废物贮存污染控制标准》（GB18597-2023）要求；生活垃圾处理执行《城市生活垃圾处理及污染防治技术政策》（建城[2000]120号）等相关规定。</w:t>
            </w:r>
          </w:p>
          <w:p w14:paraId="3E181A0D">
            <w:pPr>
              <w:spacing w:line="360" w:lineRule="auto"/>
              <w:ind w:firstLine="420" w:firstLineChars="200"/>
              <w:rPr>
                <w:szCs w:val="21"/>
              </w:rPr>
            </w:pPr>
          </w:p>
          <w:p w14:paraId="64CF1653">
            <w:pPr>
              <w:spacing w:line="360" w:lineRule="auto"/>
              <w:ind w:firstLine="420" w:firstLineChars="200"/>
              <w:rPr>
                <w:szCs w:val="21"/>
              </w:rPr>
            </w:pPr>
          </w:p>
          <w:p w14:paraId="651E8839">
            <w:pPr>
              <w:spacing w:line="360" w:lineRule="auto"/>
              <w:ind w:firstLine="420" w:firstLineChars="200"/>
              <w:rPr>
                <w:szCs w:val="21"/>
              </w:rPr>
            </w:pPr>
          </w:p>
          <w:p w14:paraId="66716025">
            <w:pPr>
              <w:spacing w:line="360" w:lineRule="auto"/>
              <w:ind w:firstLine="420" w:firstLineChars="200"/>
              <w:rPr>
                <w:szCs w:val="21"/>
              </w:rPr>
            </w:pPr>
          </w:p>
          <w:p w14:paraId="0CF03727">
            <w:pPr>
              <w:spacing w:line="360" w:lineRule="auto"/>
              <w:ind w:firstLine="420" w:firstLineChars="200"/>
              <w:rPr>
                <w:szCs w:val="21"/>
              </w:rPr>
            </w:pPr>
          </w:p>
          <w:p w14:paraId="2F0728F7">
            <w:pPr>
              <w:spacing w:line="360" w:lineRule="auto"/>
              <w:ind w:firstLine="420" w:firstLineChars="200"/>
              <w:rPr>
                <w:szCs w:val="21"/>
              </w:rPr>
            </w:pPr>
          </w:p>
          <w:p w14:paraId="0F231654">
            <w:pPr>
              <w:spacing w:line="360" w:lineRule="auto"/>
              <w:ind w:firstLine="420" w:firstLineChars="200"/>
              <w:rPr>
                <w:szCs w:val="21"/>
              </w:rPr>
            </w:pPr>
          </w:p>
          <w:p w14:paraId="21744EC0">
            <w:pPr>
              <w:spacing w:line="360" w:lineRule="auto"/>
              <w:ind w:firstLine="420" w:firstLineChars="200"/>
              <w:rPr>
                <w:szCs w:val="21"/>
              </w:rPr>
            </w:pPr>
          </w:p>
          <w:p w14:paraId="25E7EF2E">
            <w:pPr>
              <w:spacing w:line="360" w:lineRule="auto"/>
              <w:ind w:firstLine="420" w:firstLineChars="200"/>
              <w:rPr>
                <w:szCs w:val="21"/>
              </w:rPr>
            </w:pPr>
          </w:p>
          <w:p w14:paraId="15FDBBDE">
            <w:pPr>
              <w:spacing w:line="360" w:lineRule="auto"/>
              <w:ind w:firstLine="420" w:firstLineChars="200"/>
              <w:rPr>
                <w:szCs w:val="21"/>
              </w:rPr>
            </w:pPr>
          </w:p>
          <w:p w14:paraId="62C9335E">
            <w:pPr>
              <w:spacing w:line="360" w:lineRule="auto"/>
              <w:ind w:firstLine="420" w:firstLineChars="200"/>
              <w:rPr>
                <w:szCs w:val="21"/>
              </w:rPr>
            </w:pPr>
          </w:p>
          <w:p w14:paraId="1A227B9B">
            <w:pPr>
              <w:spacing w:line="360" w:lineRule="auto"/>
              <w:rPr>
                <w:szCs w:val="21"/>
              </w:rPr>
            </w:pPr>
          </w:p>
        </w:tc>
      </w:tr>
    </w:tbl>
    <w:p w14:paraId="5EFE8050">
      <w:pPr>
        <w:sectPr>
          <w:pgSz w:w="11907" w:h="16840"/>
          <w:pgMar w:top="1701" w:right="1531" w:bottom="2127" w:left="1531" w:header="851" w:footer="851" w:gutter="0"/>
          <w:cols w:space="720" w:num="1"/>
          <w:docGrid w:linePitch="312" w:charSpace="0"/>
        </w:sectPr>
      </w:pPr>
    </w:p>
    <w:tbl>
      <w:tblPr>
        <w:tblStyle w:val="25"/>
        <w:tblW w:w="496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703"/>
      </w:tblGrid>
      <w:tr w14:paraId="2B844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dxa"/>
            <w:vAlign w:val="center"/>
          </w:tcPr>
          <w:p w14:paraId="138E9144">
            <w:pPr>
              <w:adjustRightInd w:val="0"/>
              <w:snapToGrid w:val="0"/>
              <w:spacing w:line="360" w:lineRule="auto"/>
              <w:jc w:val="center"/>
              <w:rPr>
                <w:kern w:val="0"/>
                <w:szCs w:val="21"/>
              </w:rPr>
            </w:pPr>
            <w:r>
              <w:rPr>
                <w:kern w:val="0"/>
                <w:szCs w:val="21"/>
              </w:rPr>
              <w:t>总量控制指标</w:t>
            </w:r>
          </w:p>
        </w:tc>
        <w:tc>
          <w:tcPr>
            <w:tcW w:w="12703" w:type="dxa"/>
          </w:tcPr>
          <w:p w14:paraId="6A835BAC">
            <w:pPr>
              <w:adjustRightInd w:val="0"/>
              <w:snapToGrid w:val="0"/>
              <w:spacing w:beforeLines="50" w:line="360" w:lineRule="auto"/>
              <w:ind w:firstLine="422" w:firstLineChars="200"/>
              <w:rPr>
                <w:b/>
                <w:bCs/>
                <w:szCs w:val="21"/>
              </w:rPr>
            </w:pPr>
            <w:r>
              <w:rPr>
                <w:b/>
                <w:bCs/>
                <w:szCs w:val="21"/>
              </w:rPr>
              <w:t>1、项目污染物总量排放情况</w:t>
            </w:r>
          </w:p>
          <w:p w14:paraId="55D80151">
            <w:pPr>
              <w:spacing w:line="360" w:lineRule="auto"/>
              <w:ind w:firstLine="420" w:firstLineChars="200"/>
              <w:rPr>
                <w:szCs w:val="21"/>
              </w:rPr>
            </w:pPr>
            <w:r>
              <w:rPr>
                <w:szCs w:val="21"/>
              </w:rPr>
              <w:t>根据项目排污特征，确定总量控制因子为：</w:t>
            </w:r>
          </w:p>
          <w:p w14:paraId="1457AC21">
            <w:pPr>
              <w:spacing w:line="360" w:lineRule="auto"/>
              <w:ind w:firstLine="420" w:firstLineChars="200"/>
              <w:rPr>
                <w:szCs w:val="21"/>
              </w:rPr>
            </w:pPr>
            <w:r>
              <w:rPr>
                <w:szCs w:val="21"/>
              </w:rPr>
              <w:t>废水总量控制因子：COD、NH</w:t>
            </w:r>
            <w:r>
              <w:rPr>
                <w:szCs w:val="21"/>
                <w:vertAlign w:val="subscript"/>
              </w:rPr>
              <w:t>3</w:t>
            </w:r>
            <w:r>
              <w:rPr>
                <w:szCs w:val="21"/>
              </w:rPr>
              <w:t>-N、TP、TN；特征考核因子：SS</w:t>
            </w:r>
            <w:r>
              <w:rPr>
                <w:rFonts w:hint="eastAsia"/>
                <w:szCs w:val="21"/>
              </w:rPr>
              <w:t>、石油类、动植物油</w:t>
            </w:r>
            <w:r>
              <w:rPr>
                <w:szCs w:val="21"/>
              </w:rPr>
              <w:t>；</w:t>
            </w:r>
          </w:p>
          <w:p w14:paraId="5C6F0681">
            <w:pPr>
              <w:spacing w:line="360" w:lineRule="auto"/>
              <w:ind w:firstLine="420" w:firstLineChars="200"/>
              <w:rPr>
                <w:szCs w:val="21"/>
              </w:rPr>
            </w:pPr>
            <w:r>
              <w:rPr>
                <w:szCs w:val="21"/>
              </w:rPr>
              <w:t>废气总量控制因子：</w:t>
            </w:r>
            <w:r>
              <w:rPr>
                <w:rFonts w:hint="eastAsia"/>
                <w:szCs w:val="21"/>
              </w:rPr>
              <w:t>VOCs（即为文中非甲烷总烃的量）</w:t>
            </w:r>
            <w:r>
              <w:rPr>
                <w:szCs w:val="21"/>
              </w:rPr>
              <w:t>、颗粒物；特征考核因子：H</w:t>
            </w:r>
            <w:r>
              <w:rPr>
                <w:szCs w:val="21"/>
                <w:vertAlign w:val="subscript"/>
              </w:rPr>
              <w:t>2</w:t>
            </w:r>
            <w:r>
              <w:rPr>
                <w:szCs w:val="21"/>
              </w:rPr>
              <w:t>S、</w:t>
            </w:r>
            <w:r>
              <w:rPr>
                <w:rFonts w:hint="eastAsia"/>
                <w:szCs w:val="21"/>
              </w:rPr>
              <w:t>氟化物</w:t>
            </w:r>
            <w:r>
              <w:rPr>
                <w:szCs w:val="21"/>
              </w:rPr>
              <w:t>；</w:t>
            </w:r>
          </w:p>
          <w:p w14:paraId="297E9428">
            <w:pPr>
              <w:spacing w:line="360" w:lineRule="auto"/>
              <w:ind w:firstLine="420" w:firstLineChars="200"/>
              <w:rPr>
                <w:szCs w:val="21"/>
              </w:rPr>
            </w:pPr>
            <w:r>
              <w:rPr>
                <w:szCs w:val="21"/>
              </w:rPr>
              <w:t>固废：工业固体废物排放量。</w:t>
            </w:r>
          </w:p>
          <w:p w14:paraId="1687D848">
            <w:pPr>
              <w:spacing w:line="360" w:lineRule="auto"/>
              <w:ind w:firstLine="420" w:firstLineChars="200"/>
              <w:rPr>
                <w:szCs w:val="21"/>
              </w:rPr>
            </w:pPr>
            <w:r>
              <w:rPr>
                <w:szCs w:val="21"/>
              </w:rPr>
              <w:t>项目建成后全厂污染物排放量总量详见下表：</w:t>
            </w:r>
          </w:p>
          <w:p w14:paraId="179F516F">
            <w:pPr>
              <w:adjustRightInd w:val="0"/>
              <w:snapToGrid w:val="0"/>
              <w:jc w:val="center"/>
              <w:rPr>
                <w:b/>
                <w:bCs/>
                <w:szCs w:val="21"/>
              </w:rPr>
            </w:pPr>
            <w:r>
              <w:rPr>
                <w:b/>
                <w:szCs w:val="21"/>
              </w:rPr>
              <w:t xml:space="preserve">表3-15  </w:t>
            </w:r>
            <w:r>
              <w:rPr>
                <w:b/>
                <w:bCs/>
                <w:szCs w:val="21"/>
              </w:rPr>
              <w:t>项目全厂污染物排放总量表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95"/>
              <w:gridCol w:w="948"/>
              <w:gridCol w:w="1607"/>
              <w:gridCol w:w="1103"/>
              <w:gridCol w:w="1103"/>
              <w:gridCol w:w="1103"/>
              <w:gridCol w:w="1103"/>
              <w:gridCol w:w="1343"/>
              <w:gridCol w:w="1103"/>
              <w:gridCol w:w="1278"/>
              <w:gridCol w:w="991"/>
            </w:tblGrid>
            <w:tr w14:paraId="1F39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8" w:type="pct"/>
                  <w:gridSpan w:val="2"/>
                  <w:vMerge w:val="restart"/>
                  <w:tcMar>
                    <w:left w:w="28" w:type="dxa"/>
                    <w:right w:w="28" w:type="dxa"/>
                  </w:tcMar>
                  <w:vAlign w:val="center"/>
                </w:tcPr>
                <w:p w14:paraId="305E6C1B">
                  <w:pPr>
                    <w:spacing w:line="320" w:lineRule="exact"/>
                    <w:jc w:val="center"/>
                    <w:rPr>
                      <w:b/>
                      <w:bCs/>
                      <w:szCs w:val="21"/>
                    </w:rPr>
                  </w:pPr>
                  <w:r>
                    <w:rPr>
                      <w:b/>
                      <w:bCs/>
                      <w:szCs w:val="21"/>
                    </w:rPr>
                    <w:t>种类</w:t>
                  </w:r>
                </w:p>
              </w:tc>
              <w:tc>
                <w:tcPr>
                  <w:tcW w:w="644" w:type="pct"/>
                  <w:vMerge w:val="restart"/>
                  <w:tcMar>
                    <w:left w:w="28" w:type="dxa"/>
                    <w:right w:w="28" w:type="dxa"/>
                  </w:tcMar>
                  <w:vAlign w:val="center"/>
                </w:tcPr>
                <w:p w14:paraId="3AE49F55">
                  <w:pPr>
                    <w:spacing w:line="320" w:lineRule="exact"/>
                    <w:jc w:val="center"/>
                    <w:rPr>
                      <w:b/>
                      <w:bCs/>
                      <w:szCs w:val="21"/>
                    </w:rPr>
                  </w:pPr>
                  <w:r>
                    <w:rPr>
                      <w:b/>
                      <w:bCs/>
                      <w:szCs w:val="21"/>
                    </w:rPr>
                    <w:t>污染物名称</w:t>
                  </w:r>
                </w:p>
              </w:tc>
              <w:tc>
                <w:tcPr>
                  <w:tcW w:w="442" w:type="pct"/>
                  <w:vMerge w:val="restart"/>
                  <w:tcMar>
                    <w:left w:w="28" w:type="dxa"/>
                    <w:right w:w="28" w:type="dxa"/>
                  </w:tcMar>
                  <w:vAlign w:val="center"/>
                </w:tcPr>
                <w:p w14:paraId="029ED7B1">
                  <w:pPr>
                    <w:spacing w:line="320" w:lineRule="exact"/>
                    <w:jc w:val="center"/>
                    <w:rPr>
                      <w:b/>
                      <w:bCs/>
                      <w:szCs w:val="21"/>
                    </w:rPr>
                  </w:pPr>
                  <w:r>
                    <w:rPr>
                      <w:rFonts w:hint="eastAsia"/>
                      <w:b/>
                      <w:bCs/>
                      <w:szCs w:val="21"/>
                    </w:rPr>
                    <w:t>现有项目已批复量</w:t>
                  </w:r>
                </w:p>
              </w:tc>
              <w:tc>
                <w:tcPr>
                  <w:tcW w:w="1326" w:type="pct"/>
                  <w:gridSpan w:val="3"/>
                  <w:tcMar>
                    <w:left w:w="28" w:type="dxa"/>
                    <w:right w:w="28" w:type="dxa"/>
                  </w:tcMar>
                  <w:vAlign w:val="center"/>
                </w:tcPr>
                <w:p w14:paraId="5E9EA7EF">
                  <w:pPr>
                    <w:spacing w:line="320" w:lineRule="exact"/>
                    <w:jc w:val="center"/>
                    <w:rPr>
                      <w:b/>
                      <w:bCs/>
                      <w:szCs w:val="21"/>
                    </w:rPr>
                  </w:pPr>
                  <w:r>
                    <w:rPr>
                      <w:rFonts w:hint="eastAsia"/>
                      <w:b/>
                      <w:bCs/>
                      <w:szCs w:val="21"/>
                    </w:rPr>
                    <w:t>本项目</w:t>
                  </w:r>
                </w:p>
              </w:tc>
              <w:tc>
                <w:tcPr>
                  <w:tcW w:w="538" w:type="pct"/>
                  <w:vMerge w:val="restart"/>
                  <w:tcMar>
                    <w:left w:w="28" w:type="dxa"/>
                    <w:right w:w="28" w:type="dxa"/>
                  </w:tcMar>
                  <w:vAlign w:val="center"/>
                </w:tcPr>
                <w:p w14:paraId="717A18C5">
                  <w:pPr>
                    <w:spacing w:line="320" w:lineRule="exact"/>
                    <w:jc w:val="center"/>
                    <w:rPr>
                      <w:b/>
                      <w:bCs/>
                      <w:szCs w:val="21"/>
                    </w:rPr>
                  </w:pPr>
                  <w:r>
                    <w:rPr>
                      <w:rFonts w:hint="eastAsia"/>
                      <w:b/>
                      <w:bCs/>
                      <w:szCs w:val="21"/>
                    </w:rPr>
                    <w:t>“以新带老”</w:t>
                  </w:r>
                </w:p>
                <w:p w14:paraId="768C7BFF">
                  <w:pPr>
                    <w:spacing w:line="320" w:lineRule="exact"/>
                    <w:jc w:val="center"/>
                    <w:rPr>
                      <w:b/>
                      <w:bCs/>
                      <w:szCs w:val="21"/>
                    </w:rPr>
                  </w:pPr>
                  <w:r>
                    <w:rPr>
                      <w:rFonts w:hint="eastAsia"/>
                      <w:b/>
                      <w:bCs/>
                      <w:szCs w:val="21"/>
                    </w:rPr>
                    <w:t>削减量</w:t>
                  </w:r>
                </w:p>
              </w:tc>
              <w:tc>
                <w:tcPr>
                  <w:tcW w:w="442" w:type="pct"/>
                  <w:vMerge w:val="restart"/>
                  <w:vAlign w:val="center"/>
                </w:tcPr>
                <w:p w14:paraId="46B7E0E1">
                  <w:pPr>
                    <w:spacing w:line="320" w:lineRule="exact"/>
                    <w:jc w:val="center"/>
                    <w:rPr>
                      <w:b/>
                      <w:bCs/>
                      <w:szCs w:val="21"/>
                    </w:rPr>
                  </w:pPr>
                  <w:r>
                    <w:rPr>
                      <w:rFonts w:hint="eastAsia"/>
                      <w:b/>
                      <w:bCs/>
                      <w:szCs w:val="21"/>
                    </w:rPr>
                    <w:t>扩建后全厂排放量</w:t>
                  </w:r>
                </w:p>
              </w:tc>
              <w:tc>
                <w:tcPr>
                  <w:tcW w:w="512" w:type="pct"/>
                  <w:vMerge w:val="restart"/>
                  <w:vAlign w:val="center"/>
                </w:tcPr>
                <w:p w14:paraId="41A12183">
                  <w:pPr>
                    <w:spacing w:line="320" w:lineRule="exact"/>
                    <w:jc w:val="center"/>
                    <w:rPr>
                      <w:b/>
                      <w:bCs/>
                      <w:szCs w:val="21"/>
                    </w:rPr>
                  </w:pPr>
                  <w:r>
                    <w:rPr>
                      <w:rFonts w:hint="eastAsia"/>
                      <w:b/>
                      <w:bCs/>
                      <w:szCs w:val="21"/>
                    </w:rPr>
                    <w:t>排放增减量</w:t>
                  </w:r>
                </w:p>
              </w:tc>
              <w:tc>
                <w:tcPr>
                  <w:tcW w:w="397" w:type="pct"/>
                  <w:vMerge w:val="restart"/>
                  <w:vAlign w:val="center"/>
                </w:tcPr>
                <w:p w14:paraId="10E7C034">
                  <w:pPr>
                    <w:spacing w:line="320" w:lineRule="exact"/>
                    <w:jc w:val="center"/>
                    <w:rPr>
                      <w:b/>
                      <w:bCs/>
                      <w:szCs w:val="21"/>
                    </w:rPr>
                  </w:pPr>
                  <w:r>
                    <w:rPr>
                      <w:b/>
                      <w:szCs w:val="21"/>
                    </w:rPr>
                    <w:t>本项目申请总量t/a</w:t>
                  </w:r>
                </w:p>
              </w:tc>
            </w:tr>
            <w:tr w14:paraId="4C64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698" w:type="pct"/>
                  <w:gridSpan w:val="2"/>
                  <w:vMerge w:val="continue"/>
                  <w:tcMar>
                    <w:left w:w="28" w:type="dxa"/>
                    <w:right w:w="28" w:type="dxa"/>
                  </w:tcMar>
                  <w:vAlign w:val="center"/>
                </w:tcPr>
                <w:p w14:paraId="74D37515">
                  <w:pPr>
                    <w:spacing w:line="320" w:lineRule="exact"/>
                    <w:jc w:val="center"/>
                    <w:rPr>
                      <w:szCs w:val="21"/>
                    </w:rPr>
                  </w:pPr>
                </w:p>
              </w:tc>
              <w:tc>
                <w:tcPr>
                  <w:tcW w:w="644" w:type="pct"/>
                  <w:vMerge w:val="continue"/>
                  <w:tcMar>
                    <w:left w:w="28" w:type="dxa"/>
                    <w:right w:w="28" w:type="dxa"/>
                  </w:tcMar>
                  <w:vAlign w:val="center"/>
                </w:tcPr>
                <w:p w14:paraId="0312D75E">
                  <w:pPr>
                    <w:spacing w:line="320" w:lineRule="exact"/>
                    <w:jc w:val="center"/>
                    <w:rPr>
                      <w:szCs w:val="21"/>
                    </w:rPr>
                  </w:pPr>
                </w:p>
              </w:tc>
              <w:tc>
                <w:tcPr>
                  <w:tcW w:w="442" w:type="pct"/>
                  <w:vMerge w:val="continue"/>
                  <w:tcMar>
                    <w:left w:w="28" w:type="dxa"/>
                    <w:right w:w="28" w:type="dxa"/>
                  </w:tcMar>
                  <w:vAlign w:val="center"/>
                </w:tcPr>
                <w:p w14:paraId="2306EAB6">
                  <w:pPr>
                    <w:spacing w:line="320" w:lineRule="exact"/>
                    <w:jc w:val="center"/>
                    <w:rPr>
                      <w:szCs w:val="21"/>
                    </w:rPr>
                  </w:pPr>
                </w:p>
              </w:tc>
              <w:tc>
                <w:tcPr>
                  <w:tcW w:w="442" w:type="pct"/>
                  <w:tcMar>
                    <w:left w:w="28" w:type="dxa"/>
                    <w:right w:w="28" w:type="dxa"/>
                  </w:tcMar>
                  <w:vAlign w:val="center"/>
                </w:tcPr>
                <w:p w14:paraId="39B2E06E">
                  <w:pPr>
                    <w:spacing w:line="320" w:lineRule="exact"/>
                    <w:jc w:val="center"/>
                    <w:rPr>
                      <w:b/>
                      <w:bCs/>
                      <w:szCs w:val="21"/>
                    </w:rPr>
                  </w:pPr>
                  <w:r>
                    <w:rPr>
                      <w:rFonts w:hint="eastAsia"/>
                      <w:b/>
                      <w:bCs/>
                      <w:szCs w:val="21"/>
                    </w:rPr>
                    <w:t>产生量</w:t>
                  </w:r>
                </w:p>
              </w:tc>
              <w:tc>
                <w:tcPr>
                  <w:tcW w:w="442" w:type="pct"/>
                  <w:vAlign w:val="center"/>
                </w:tcPr>
                <w:p w14:paraId="028C450D">
                  <w:pPr>
                    <w:spacing w:line="320" w:lineRule="exact"/>
                    <w:jc w:val="center"/>
                    <w:rPr>
                      <w:b/>
                      <w:bCs/>
                      <w:szCs w:val="21"/>
                    </w:rPr>
                  </w:pPr>
                  <w:r>
                    <w:rPr>
                      <w:rFonts w:hint="eastAsia"/>
                      <w:b/>
                      <w:bCs/>
                      <w:szCs w:val="21"/>
                    </w:rPr>
                    <w:t>削减量</w:t>
                  </w:r>
                </w:p>
              </w:tc>
              <w:tc>
                <w:tcPr>
                  <w:tcW w:w="442" w:type="pct"/>
                  <w:vAlign w:val="center"/>
                </w:tcPr>
                <w:p w14:paraId="1CEC2571">
                  <w:pPr>
                    <w:spacing w:line="320" w:lineRule="exact"/>
                    <w:jc w:val="center"/>
                    <w:rPr>
                      <w:b/>
                      <w:bCs/>
                      <w:szCs w:val="21"/>
                    </w:rPr>
                  </w:pPr>
                  <w:r>
                    <w:rPr>
                      <w:rFonts w:hint="eastAsia"/>
                      <w:b/>
                      <w:bCs/>
                      <w:szCs w:val="21"/>
                    </w:rPr>
                    <w:t>排放量</w:t>
                  </w:r>
                </w:p>
              </w:tc>
              <w:tc>
                <w:tcPr>
                  <w:tcW w:w="538" w:type="pct"/>
                  <w:vMerge w:val="continue"/>
                  <w:tcMar>
                    <w:left w:w="28" w:type="dxa"/>
                    <w:right w:w="28" w:type="dxa"/>
                  </w:tcMar>
                  <w:vAlign w:val="center"/>
                </w:tcPr>
                <w:p w14:paraId="5B24ED7E">
                  <w:pPr>
                    <w:spacing w:line="320" w:lineRule="exact"/>
                    <w:jc w:val="center"/>
                    <w:rPr>
                      <w:szCs w:val="21"/>
                    </w:rPr>
                  </w:pPr>
                </w:p>
              </w:tc>
              <w:tc>
                <w:tcPr>
                  <w:tcW w:w="442" w:type="pct"/>
                  <w:vMerge w:val="continue"/>
                  <w:vAlign w:val="center"/>
                </w:tcPr>
                <w:p w14:paraId="15F67BBA">
                  <w:pPr>
                    <w:spacing w:line="320" w:lineRule="exact"/>
                    <w:jc w:val="center"/>
                    <w:rPr>
                      <w:szCs w:val="21"/>
                    </w:rPr>
                  </w:pPr>
                </w:p>
              </w:tc>
              <w:tc>
                <w:tcPr>
                  <w:tcW w:w="512" w:type="pct"/>
                  <w:vMerge w:val="continue"/>
                  <w:vAlign w:val="center"/>
                </w:tcPr>
                <w:p w14:paraId="59A501BE">
                  <w:pPr>
                    <w:spacing w:line="320" w:lineRule="exact"/>
                    <w:jc w:val="center"/>
                    <w:rPr>
                      <w:szCs w:val="21"/>
                    </w:rPr>
                  </w:pPr>
                </w:p>
              </w:tc>
              <w:tc>
                <w:tcPr>
                  <w:tcW w:w="397" w:type="pct"/>
                  <w:vMerge w:val="continue"/>
                  <w:vAlign w:val="center"/>
                </w:tcPr>
                <w:p w14:paraId="20270A63">
                  <w:pPr>
                    <w:spacing w:line="320" w:lineRule="exact"/>
                    <w:jc w:val="center"/>
                    <w:rPr>
                      <w:szCs w:val="21"/>
                    </w:rPr>
                  </w:pPr>
                </w:p>
              </w:tc>
            </w:tr>
            <w:tr w14:paraId="477B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restart"/>
                  <w:tcMar>
                    <w:left w:w="28" w:type="dxa"/>
                    <w:right w:w="28" w:type="dxa"/>
                  </w:tcMar>
                  <w:vAlign w:val="center"/>
                </w:tcPr>
                <w:p w14:paraId="313406B0">
                  <w:pPr>
                    <w:spacing w:line="320" w:lineRule="exact"/>
                    <w:jc w:val="center"/>
                    <w:rPr>
                      <w:szCs w:val="21"/>
                    </w:rPr>
                  </w:pPr>
                  <w:r>
                    <w:rPr>
                      <w:szCs w:val="21"/>
                    </w:rPr>
                    <w:t>废水</w:t>
                  </w:r>
                </w:p>
              </w:tc>
              <w:tc>
                <w:tcPr>
                  <w:tcW w:w="380" w:type="pct"/>
                  <w:vMerge w:val="restart"/>
                  <w:tcMar>
                    <w:left w:w="28" w:type="dxa"/>
                    <w:right w:w="28" w:type="dxa"/>
                  </w:tcMar>
                  <w:vAlign w:val="center"/>
                </w:tcPr>
                <w:p w14:paraId="33C02ABB">
                  <w:pPr>
                    <w:spacing w:line="320" w:lineRule="exact"/>
                    <w:jc w:val="center"/>
                    <w:rPr>
                      <w:szCs w:val="21"/>
                    </w:rPr>
                  </w:pPr>
                  <w:r>
                    <w:rPr>
                      <w:rFonts w:hint="eastAsia"/>
                      <w:szCs w:val="21"/>
                    </w:rPr>
                    <w:t>生活</w:t>
                  </w:r>
                </w:p>
                <w:p w14:paraId="25AC058D">
                  <w:pPr>
                    <w:spacing w:line="320" w:lineRule="exact"/>
                    <w:jc w:val="center"/>
                    <w:rPr>
                      <w:szCs w:val="21"/>
                    </w:rPr>
                  </w:pPr>
                  <w:r>
                    <w:rPr>
                      <w:rFonts w:hint="eastAsia"/>
                      <w:szCs w:val="21"/>
                    </w:rPr>
                    <w:t>污水</w:t>
                  </w:r>
                </w:p>
              </w:tc>
              <w:tc>
                <w:tcPr>
                  <w:tcW w:w="644" w:type="pct"/>
                  <w:tcMar>
                    <w:left w:w="28" w:type="dxa"/>
                    <w:right w:w="28" w:type="dxa"/>
                  </w:tcMar>
                  <w:vAlign w:val="center"/>
                </w:tcPr>
                <w:p w14:paraId="058DC50B">
                  <w:pPr>
                    <w:spacing w:line="320" w:lineRule="exact"/>
                    <w:jc w:val="center"/>
                    <w:rPr>
                      <w:szCs w:val="21"/>
                    </w:rPr>
                  </w:pPr>
                  <w:r>
                    <w:rPr>
                      <w:szCs w:val="21"/>
                    </w:rPr>
                    <w:t>排水量</w:t>
                  </w:r>
                </w:p>
              </w:tc>
              <w:tc>
                <w:tcPr>
                  <w:tcW w:w="442" w:type="pct"/>
                  <w:tcMar>
                    <w:left w:w="28" w:type="dxa"/>
                    <w:right w:w="28" w:type="dxa"/>
                  </w:tcMar>
                  <w:vAlign w:val="center"/>
                </w:tcPr>
                <w:p w14:paraId="3AC22C54">
                  <w:pPr>
                    <w:jc w:val="center"/>
                    <w:rPr>
                      <w:rFonts w:ascii="宋体" w:hAnsi="宋体" w:cs="宋体"/>
                      <w:sz w:val="24"/>
                    </w:rPr>
                  </w:pPr>
                  <w:r>
                    <w:rPr>
                      <w:rFonts w:hint="eastAsia"/>
                    </w:rPr>
                    <w:t>9264</w:t>
                  </w:r>
                </w:p>
              </w:tc>
              <w:tc>
                <w:tcPr>
                  <w:tcW w:w="442" w:type="pct"/>
                  <w:tcMar>
                    <w:left w:w="28" w:type="dxa"/>
                    <w:right w:w="28" w:type="dxa"/>
                  </w:tcMar>
                  <w:vAlign w:val="center"/>
                </w:tcPr>
                <w:p w14:paraId="31871272">
                  <w:pPr>
                    <w:jc w:val="center"/>
                    <w:rPr>
                      <w:szCs w:val="21"/>
                    </w:rPr>
                  </w:pPr>
                  <w:r>
                    <w:rPr>
                      <w:rFonts w:hint="eastAsia"/>
                      <w:szCs w:val="21"/>
                    </w:rPr>
                    <w:t>2400</w:t>
                  </w:r>
                </w:p>
              </w:tc>
              <w:tc>
                <w:tcPr>
                  <w:tcW w:w="442" w:type="pct"/>
                  <w:vAlign w:val="center"/>
                </w:tcPr>
                <w:p w14:paraId="4C6DF356">
                  <w:pPr>
                    <w:jc w:val="center"/>
                    <w:rPr>
                      <w:szCs w:val="21"/>
                    </w:rPr>
                  </w:pPr>
                  <w:r>
                    <w:rPr>
                      <w:szCs w:val="21"/>
                    </w:rPr>
                    <w:t>0</w:t>
                  </w:r>
                </w:p>
              </w:tc>
              <w:tc>
                <w:tcPr>
                  <w:tcW w:w="442" w:type="pct"/>
                  <w:vAlign w:val="center"/>
                </w:tcPr>
                <w:p w14:paraId="0E69EEFE">
                  <w:pPr>
                    <w:jc w:val="center"/>
                    <w:rPr>
                      <w:szCs w:val="21"/>
                    </w:rPr>
                  </w:pPr>
                  <w:r>
                    <w:rPr>
                      <w:rFonts w:hint="eastAsia"/>
                      <w:szCs w:val="21"/>
                    </w:rPr>
                    <w:t>2400</w:t>
                  </w:r>
                </w:p>
              </w:tc>
              <w:tc>
                <w:tcPr>
                  <w:tcW w:w="538" w:type="pct"/>
                  <w:tcMar>
                    <w:left w:w="28" w:type="dxa"/>
                    <w:right w:w="28" w:type="dxa"/>
                  </w:tcMar>
                  <w:vAlign w:val="center"/>
                </w:tcPr>
                <w:p w14:paraId="7ED6AA0D">
                  <w:pPr>
                    <w:jc w:val="center"/>
                    <w:rPr>
                      <w:szCs w:val="21"/>
                    </w:rPr>
                  </w:pPr>
                  <w:r>
                    <w:rPr>
                      <w:szCs w:val="21"/>
                    </w:rPr>
                    <w:t>0</w:t>
                  </w:r>
                </w:p>
              </w:tc>
              <w:tc>
                <w:tcPr>
                  <w:tcW w:w="442" w:type="pct"/>
                  <w:vAlign w:val="center"/>
                </w:tcPr>
                <w:p w14:paraId="3646DBE9">
                  <w:pPr>
                    <w:jc w:val="center"/>
                    <w:rPr>
                      <w:rFonts w:ascii="宋体" w:hAnsi="宋体" w:cs="宋体"/>
                      <w:sz w:val="24"/>
                    </w:rPr>
                  </w:pPr>
                  <w:r>
                    <w:rPr>
                      <w:rFonts w:hint="eastAsia"/>
                    </w:rPr>
                    <w:t>11664</w:t>
                  </w:r>
                </w:p>
              </w:tc>
              <w:tc>
                <w:tcPr>
                  <w:tcW w:w="512" w:type="pct"/>
                  <w:vAlign w:val="center"/>
                </w:tcPr>
                <w:p w14:paraId="2E35A8A0">
                  <w:pPr>
                    <w:jc w:val="center"/>
                    <w:rPr>
                      <w:szCs w:val="21"/>
                    </w:rPr>
                  </w:pPr>
                  <w:r>
                    <w:rPr>
                      <w:rFonts w:hint="eastAsia"/>
                      <w:szCs w:val="21"/>
                    </w:rPr>
                    <w:t>+2400</w:t>
                  </w:r>
                </w:p>
              </w:tc>
              <w:tc>
                <w:tcPr>
                  <w:tcW w:w="397" w:type="pct"/>
                  <w:vAlign w:val="center"/>
                </w:tcPr>
                <w:p w14:paraId="739FDD4B">
                  <w:pPr>
                    <w:jc w:val="center"/>
                    <w:rPr>
                      <w:szCs w:val="21"/>
                    </w:rPr>
                  </w:pPr>
                  <w:r>
                    <w:rPr>
                      <w:rFonts w:hint="eastAsia"/>
                      <w:szCs w:val="21"/>
                    </w:rPr>
                    <w:t>2400</w:t>
                  </w:r>
                </w:p>
              </w:tc>
            </w:tr>
            <w:tr w14:paraId="2058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3FAD588F">
                  <w:pPr>
                    <w:spacing w:line="320" w:lineRule="exact"/>
                    <w:jc w:val="center"/>
                    <w:rPr>
                      <w:szCs w:val="21"/>
                    </w:rPr>
                  </w:pPr>
                </w:p>
              </w:tc>
              <w:tc>
                <w:tcPr>
                  <w:tcW w:w="380" w:type="pct"/>
                  <w:vMerge w:val="continue"/>
                  <w:tcMar>
                    <w:left w:w="28" w:type="dxa"/>
                    <w:right w:w="28" w:type="dxa"/>
                  </w:tcMar>
                  <w:vAlign w:val="center"/>
                </w:tcPr>
                <w:p w14:paraId="05C3C65C">
                  <w:pPr>
                    <w:spacing w:line="320" w:lineRule="exact"/>
                    <w:jc w:val="center"/>
                    <w:rPr>
                      <w:szCs w:val="21"/>
                    </w:rPr>
                  </w:pPr>
                </w:p>
              </w:tc>
              <w:tc>
                <w:tcPr>
                  <w:tcW w:w="644" w:type="pct"/>
                  <w:tcMar>
                    <w:left w:w="28" w:type="dxa"/>
                    <w:right w:w="28" w:type="dxa"/>
                  </w:tcMar>
                  <w:vAlign w:val="center"/>
                </w:tcPr>
                <w:p w14:paraId="06EB6B11">
                  <w:pPr>
                    <w:jc w:val="center"/>
                    <w:rPr>
                      <w:szCs w:val="21"/>
                    </w:rPr>
                  </w:pPr>
                  <w:r>
                    <w:rPr>
                      <w:rFonts w:hint="eastAsia"/>
                      <w:szCs w:val="21"/>
                    </w:rPr>
                    <w:t>COD</w:t>
                  </w:r>
                </w:p>
              </w:tc>
              <w:tc>
                <w:tcPr>
                  <w:tcW w:w="442" w:type="pct"/>
                  <w:tcMar>
                    <w:left w:w="28" w:type="dxa"/>
                    <w:right w:w="28" w:type="dxa"/>
                  </w:tcMar>
                  <w:vAlign w:val="center"/>
                </w:tcPr>
                <w:p w14:paraId="490842A1">
                  <w:pPr>
                    <w:jc w:val="center"/>
                    <w:rPr>
                      <w:rFonts w:ascii="宋体" w:hAnsi="宋体" w:cs="宋体"/>
                      <w:sz w:val="24"/>
                    </w:rPr>
                  </w:pPr>
                  <w:r>
                    <w:rPr>
                      <w:rFonts w:hint="eastAsia"/>
                    </w:rPr>
                    <w:t>2.779</w:t>
                  </w:r>
                </w:p>
              </w:tc>
              <w:tc>
                <w:tcPr>
                  <w:tcW w:w="442" w:type="pct"/>
                  <w:tcMar>
                    <w:left w:w="28" w:type="dxa"/>
                    <w:right w:w="28" w:type="dxa"/>
                  </w:tcMar>
                  <w:vAlign w:val="center"/>
                </w:tcPr>
                <w:p w14:paraId="73CBA830">
                  <w:pPr>
                    <w:jc w:val="center"/>
                    <w:rPr>
                      <w:szCs w:val="21"/>
                    </w:rPr>
                  </w:pPr>
                  <w:r>
                    <w:rPr>
                      <w:szCs w:val="21"/>
                    </w:rPr>
                    <w:t>0.72</w:t>
                  </w:r>
                </w:p>
              </w:tc>
              <w:tc>
                <w:tcPr>
                  <w:tcW w:w="442" w:type="pct"/>
                  <w:vAlign w:val="center"/>
                </w:tcPr>
                <w:p w14:paraId="0D8A4B8B">
                  <w:pPr>
                    <w:jc w:val="center"/>
                    <w:rPr>
                      <w:szCs w:val="21"/>
                    </w:rPr>
                  </w:pPr>
                  <w:r>
                    <w:rPr>
                      <w:szCs w:val="21"/>
                    </w:rPr>
                    <w:t>0</w:t>
                  </w:r>
                </w:p>
              </w:tc>
              <w:tc>
                <w:tcPr>
                  <w:tcW w:w="442" w:type="pct"/>
                  <w:vAlign w:val="center"/>
                </w:tcPr>
                <w:p w14:paraId="61D1FE33">
                  <w:pPr>
                    <w:jc w:val="center"/>
                    <w:rPr>
                      <w:szCs w:val="21"/>
                    </w:rPr>
                  </w:pPr>
                  <w:r>
                    <w:rPr>
                      <w:szCs w:val="21"/>
                    </w:rPr>
                    <w:t>0.72</w:t>
                  </w:r>
                </w:p>
              </w:tc>
              <w:tc>
                <w:tcPr>
                  <w:tcW w:w="538" w:type="pct"/>
                  <w:tcMar>
                    <w:left w:w="28" w:type="dxa"/>
                    <w:right w:w="28" w:type="dxa"/>
                  </w:tcMar>
                  <w:vAlign w:val="center"/>
                </w:tcPr>
                <w:p w14:paraId="4F7ED255">
                  <w:pPr>
                    <w:jc w:val="center"/>
                    <w:rPr>
                      <w:szCs w:val="21"/>
                    </w:rPr>
                  </w:pPr>
                  <w:r>
                    <w:rPr>
                      <w:szCs w:val="21"/>
                    </w:rPr>
                    <w:t>0</w:t>
                  </w:r>
                </w:p>
              </w:tc>
              <w:tc>
                <w:tcPr>
                  <w:tcW w:w="442" w:type="pct"/>
                  <w:vAlign w:val="center"/>
                </w:tcPr>
                <w:p w14:paraId="68B465CA">
                  <w:pPr>
                    <w:jc w:val="center"/>
                    <w:rPr>
                      <w:rFonts w:ascii="宋体" w:hAnsi="宋体" w:cs="宋体"/>
                      <w:sz w:val="24"/>
                    </w:rPr>
                  </w:pPr>
                  <w:r>
                    <w:rPr>
                      <w:rFonts w:hint="eastAsia"/>
                    </w:rPr>
                    <w:t>3.499</w:t>
                  </w:r>
                </w:p>
              </w:tc>
              <w:tc>
                <w:tcPr>
                  <w:tcW w:w="512" w:type="pct"/>
                  <w:vAlign w:val="center"/>
                </w:tcPr>
                <w:p w14:paraId="5AB87F54">
                  <w:pPr>
                    <w:jc w:val="center"/>
                    <w:rPr>
                      <w:szCs w:val="21"/>
                    </w:rPr>
                  </w:pPr>
                  <w:r>
                    <w:rPr>
                      <w:szCs w:val="21"/>
                    </w:rPr>
                    <w:t>+0.72</w:t>
                  </w:r>
                </w:p>
              </w:tc>
              <w:tc>
                <w:tcPr>
                  <w:tcW w:w="397" w:type="pct"/>
                  <w:vAlign w:val="center"/>
                </w:tcPr>
                <w:p w14:paraId="0F2A6CA1">
                  <w:pPr>
                    <w:jc w:val="center"/>
                    <w:rPr>
                      <w:szCs w:val="21"/>
                    </w:rPr>
                  </w:pPr>
                  <w:r>
                    <w:rPr>
                      <w:szCs w:val="21"/>
                    </w:rPr>
                    <w:t>0.72</w:t>
                  </w:r>
                </w:p>
              </w:tc>
            </w:tr>
            <w:tr w14:paraId="3661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5F076CD3">
                  <w:pPr>
                    <w:spacing w:line="320" w:lineRule="exact"/>
                    <w:jc w:val="center"/>
                    <w:rPr>
                      <w:szCs w:val="21"/>
                    </w:rPr>
                  </w:pPr>
                </w:p>
              </w:tc>
              <w:tc>
                <w:tcPr>
                  <w:tcW w:w="380" w:type="pct"/>
                  <w:vMerge w:val="continue"/>
                  <w:tcMar>
                    <w:left w:w="28" w:type="dxa"/>
                    <w:right w:w="28" w:type="dxa"/>
                  </w:tcMar>
                  <w:vAlign w:val="center"/>
                </w:tcPr>
                <w:p w14:paraId="29417CD6">
                  <w:pPr>
                    <w:spacing w:line="320" w:lineRule="exact"/>
                    <w:jc w:val="center"/>
                    <w:rPr>
                      <w:szCs w:val="21"/>
                    </w:rPr>
                  </w:pPr>
                </w:p>
              </w:tc>
              <w:tc>
                <w:tcPr>
                  <w:tcW w:w="644" w:type="pct"/>
                  <w:tcMar>
                    <w:left w:w="28" w:type="dxa"/>
                    <w:right w:w="28" w:type="dxa"/>
                  </w:tcMar>
                  <w:vAlign w:val="center"/>
                </w:tcPr>
                <w:p w14:paraId="77F9CC61">
                  <w:pPr>
                    <w:jc w:val="center"/>
                    <w:rPr>
                      <w:szCs w:val="21"/>
                    </w:rPr>
                  </w:pPr>
                  <w:r>
                    <w:rPr>
                      <w:rFonts w:hint="eastAsia"/>
                      <w:szCs w:val="21"/>
                    </w:rPr>
                    <w:t>SS</w:t>
                  </w:r>
                </w:p>
              </w:tc>
              <w:tc>
                <w:tcPr>
                  <w:tcW w:w="442" w:type="pct"/>
                  <w:tcMar>
                    <w:left w:w="28" w:type="dxa"/>
                    <w:right w:w="28" w:type="dxa"/>
                  </w:tcMar>
                  <w:vAlign w:val="center"/>
                </w:tcPr>
                <w:p w14:paraId="1B1BFA53">
                  <w:pPr>
                    <w:jc w:val="center"/>
                    <w:rPr>
                      <w:rFonts w:ascii="宋体" w:hAnsi="宋体" w:cs="宋体"/>
                      <w:sz w:val="24"/>
                    </w:rPr>
                  </w:pPr>
                  <w:r>
                    <w:rPr>
                      <w:rFonts w:hint="eastAsia"/>
                    </w:rPr>
                    <w:t>1.39</w:t>
                  </w:r>
                </w:p>
              </w:tc>
              <w:tc>
                <w:tcPr>
                  <w:tcW w:w="442" w:type="pct"/>
                  <w:tcMar>
                    <w:left w:w="28" w:type="dxa"/>
                    <w:right w:w="28" w:type="dxa"/>
                  </w:tcMar>
                  <w:vAlign w:val="center"/>
                </w:tcPr>
                <w:p w14:paraId="46B53DB5">
                  <w:pPr>
                    <w:jc w:val="center"/>
                    <w:rPr>
                      <w:szCs w:val="21"/>
                    </w:rPr>
                  </w:pPr>
                  <w:r>
                    <w:rPr>
                      <w:szCs w:val="21"/>
                    </w:rPr>
                    <w:t>0.36</w:t>
                  </w:r>
                </w:p>
              </w:tc>
              <w:tc>
                <w:tcPr>
                  <w:tcW w:w="442" w:type="pct"/>
                  <w:vAlign w:val="center"/>
                </w:tcPr>
                <w:p w14:paraId="24C5A2F8">
                  <w:pPr>
                    <w:jc w:val="center"/>
                    <w:rPr>
                      <w:szCs w:val="21"/>
                    </w:rPr>
                  </w:pPr>
                  <w:r>
                    <w:rPr>
                      <w:szCs w:val="21"/>
                    </w:rPr>
                    <w:t>0</w:t>
                  </w:r>
                </w:p>
              </w:tc>
              <w:tc>
                <w:tcPr>
                  <w:tcW w:w="442" w:type="pct"/>
                  <w:vAlign w:val="center"/>
                </w:tcPr>
                <w:p w14:paraId="675EA72C">
                  <w:pPr>
                    <w:jc w:val="center"/>
                    <w:rPr>
                      <w:szCs w:val="21"/>
                    </w:rPr>
                  </w:pPr>
                  <w:r>
                    <w:rPr>
                      <w:szCs w:val="21"/>
                    </w:rPr>
                    <w:t>0.36</w:t>
                  </w:r>
                </w:p>
              </w:tc>
              <w:tc>
                <w:tcPr>
                  <w:tcW w:w="538" w:type="pct"/>
                  <w:tcMar>
                    <w:left w:w="28" w:type="dxa"/>
                    <w:right w:w="28" w:type="dxa"/>
                  </w:tcMar>
                  <w:vAlign w:val="center"/>
                </w:tcPr>
                <w:p w14:paraId="3ED6C174">
                  <w:pPr>
                    <w:jc w:val="center"/>
                    <w:rPr>
                      <w:szCs w:val="21"/>
                    </w:rPr>
                  </w:pPr>
                  <w:r>
                    <w:rPr>
                      <w:szCs w:val="21"/>
                    </w:rPr>
                    <w:t>0</w:t>
                  </w:r>
                </w:p>
              </w:tc>
              <w:tc>
                <w:tcPr>
                  <w:tcW w:w="442" w:type="pct"/>
                  <w:vAlign w:val="center"/>
                </w:tcPr>
                <w:p w14:paraId="4D3CAB3C">
                  <w:pPr>
                    <w:jc w:val="center"/>
                    <w:rPr>
                      <w:rFonts w:ascii="宋体" w:hAnsi="宋体" w:cs="宋体"/>
                      <w:sz w:val="24"/>
                    </w:rPr>
                  </w:pPr>
                  <w:r>
                    <w:rPr>
                      <w:rFonts w:hint="eastAsia"/>
                    </w:rPr>
                    <w:t>1.75</w:t>
                  </w:r>
                </w:p>
              </w:tc>
              <w:tc>
                <w:tcPr>
                  <w:tcW w:w="512" w:type="pct"/>
                  <w:vAlign w:val="center"/>
                </w:tcPr>
                <w:p w14:paraId="38CD8CDA">
                  <w:pPr>
                    <w:jc w:val="center"/>
                    <w:rPr>
                      <w:szCs w:val="21"/>
                    </w:rPr>
                  </w:pPr>
                  <w:r>
                    <w:rPr>
                      <w:szCs w:val="21"/>
                    </w:rPr>
                    <w:t>+0.36</w:t>
                  </w:r>
                </w:p>
              </w:tc>
              <w:tc>
                <w:tcPr>
                  <w:tcW w:w="397" w:type="pct"/>
                  <w:vAlign w:val="center"/>
                </w:tcPr>
                <w:p w14:paraId="2E3F3CCD">
                  <w:pPr>
                    <w:jc w:val="center"/>
                    <w:rPr>
                      <w:szCs w:val="21"/>
                    </w:rPr>
                  </w:pPr>
                  <w:r>
                    <w:rPr>
                      <w:szCs w:val="21"/>
                    </w:rPr>
                    <w:t>0.36</w:t>
                  </w:r>
                </w:p>
              </w:tc>
            </w:tr>
            <w:tr w14:paraId="0EA0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7D8E5BBB">
                  <w:pPr>
                    <w:spacing w:line="320" w:lineRule="exact"/>
                    <w:jc w:val="center"/>
                    <w:rPr>
                      <w:szCs w:val="21"/>
                    </w:rPr>
                  </w:pPr>
                </w:p>
              </w:tc>
              <w:tc>
                <w:tcPr>
                  <w:tcW w:w="380" w:type="pct"/>
                  <w:vMerge w:val="continue"/>
                  <w:tcMar>
                    <w:left w:w="28" w:type="dxa"/>
                    <w:right w:w="28" w:type="dxa"/>
                  </w:tcMar>
                  <w:vAlign w:val="center"/>
                </w:tcPr>
                <w:p w14:paraId="52C2E9C8">
                  <w:pPr>
                    <w:spacing w:line="320" w:lineRule="exact"/>
                    <w:jc w:val="center"/>
                    <w:rPr>
                      <w:szCs w:val="21"/>
                    </w:rPr>
                  </w:pPr>
                </w:p>
              </w:tc>
              <w:tc>
                <w:tcPr>
                  <w:tcW w:w="644" w:type="pct"/>
                  <w:tcMar>
                    <w:left w:w="28" w:type="dxa"/>
                    <w:right w:w="28" w:type="dxa"/>
                  </w:tcMar>
                  <w:vAlign w:val="center"/>
                </w:tcPr>
                <w:p w14:paraId="2EDEC38B">
                  <w:pPr>
                    <w:jc w:val="center"/>
                    <w:rPr>
                      <w:szCs w:val="21"/>
                    </w:rPr>
                  </w:pPr>
                  <w:r>
                    <w:rPr>
                      <w:rFonts w:hint="eastAsia"/>
                      <w:szCs w:val="21"/>
                    </w:rPr>
                    <w:t>氨氮</w:t>
                  </w:r>
                </w:p>
              </w:tc>
              <w:tc>
                <w:tcPr>
                  <w:tcW w:w="442" w:type="pct"/>
                  <w:tcMar>
                    <w:left w:w="28" w:type="dxa"/>
                    <w:right w:w="28" w:type="dxa"/>
                  </w:tcMar>
                  <w:vAlign w:val="center"/>
                </w:tcPr>
                <w:p w14:paraId="0CD5356D">
                  <w:pPr>
                    <w:jc w:val="center"/>
                    <w:rPr>
                      <w:rFonts w:ascii="宋体" w:hAnsi="宋体" w:cs="宋体"/>
                      <w:sz w:val="24"/>
                    </w:rPr>
                  </w:pPr>
                  <w:r>
                    <w:rPr>
                      <w:rFonts w:hint="eastAsia"/>
                    </w:rPr>
                    <w:t>0.278</w:t>
                  </w:r>
                </w:p>
              </w:tc>
              <w:tc>
                <w:tcPr>
                  <w:tcW w:w="442" w:type="pct"/>
                  <w:tcMar>
                    <w:left w:w="28" w:type="dxa"/>
                    <w:right w:w="28" w:type="dxa"/>
                  </w:tcMar>
                  <w:vAlign w:val="center"/>
                </w:tcPr>
                <w:p w14:paraId="0A17A68D">
                  <w:pPr>
                    <w:jc w:val="center"/>
                    <w:rPr>
                      <w:szCs w:val="21"/>
                    </w:rPr>
                  </w:pPr>
                  <w:r>
                    <w:rPr>
                      <w:szCs w:val="21"/>
                    </w:rPr>
                    <w:t>0.072</w:t>
                  </w:r>
                </w:p>
              </w:tc>
              <w:tc>
                <w:tcPr>
                  <w:tcW w:w="442" w:type="pct"/>
                  <w:vAlign w:val="center"/>
                </w:tcPr>
                <w:p w14:paraId="329C45C8">
                  <w:pPr>
                    <w:jc w:val="center"/>
                    <w:rPr>
                      <w:szCs w:val="21"/>
                    </w:rPr>
                  </w:pPr>
                  <w:r>
                    <w:rPr>
                      <w:szCs w:val="21"/>
                    </w:rPr>
                    <w:t>0</w:t>
                  </w:r>
                </w:p>
              </w:tc>
              <w:tc>
                <w:tcPr>
                  <w:tcW w:w="442" w:type="pct"/>
                  <w:vAlign w:val="center"/>
                </w:tcPr>
                <w:p w14:paraId="7C3A86B4">
                  <w:pPr>
                    <w:jc w:val="center"/>
                    <w:rPr>
                      <w:szCs w:val="21"/>
                    </w:rPr>
                  </w:pPr>
                  <w:r>
                    <w:rPr>
                      <w:szCs w:val="21"/>
                    </w:rPr>
                    <w:t>0.072</w:t>
                  </w:r>
                </w:p>
              </w:tc>
              <w:tc>
                <w:tcPr>
                  <w:tcW w:w="538" w:type="pct"/>
                  <w:tcMar>
                    <w:left w:w="28" w:type="dxa"/>
                    <w:right w:w="28" w:type="dxa"/>
                  </w:tcMar>
                  <w:vAlign w:val="center"/>
                </w:tcPr>
                <w:p w14:paraId="61660ED7">
                  <w:pPr>
                    <w:jc w:val="center"/>
                    <w:rPr>
                      <w:szCs w:val="21"/>
                    </w:rPr>
                  </w:pPr>
                  <w:r>
                    <w:rPr>
                      <w:szCs w:val="21"/>
                    </w:rPr>
                    <w:t>0</w:t>
                  </w:r>
                </w:p>
              </w:tc>
              <w:tc>
                <w:tcPr>
                  <w:tcW w:w="442" w:type="pct"/>
                  <w:vAlign w:val="center"/>
                </w:tcPr>
                <w:p w14:paraId="07355B43">
                  <w:pPr>
                    <w:jc w:val="center"/>
                    <w:rPr>
                      <w:rFonts w:ascii="宋体" w:hAnsi="宋体" w:cs="宋体"/>
                      <w:sz w:val="24"/>
                    </w:rPr>
                  </w:pPr>
                  <w:r>
                    <w:rPr>
                      <w:rFonts w:hint="eastAsia"/>
                    </w:rPr>
                    <w:t>0.35</w:t>
                  </w:r>
                </w:p>
              </w:tc>
              <w:tc>
                <w:tcPr>
                  <w:tcW w:w="512" w:type="pct"/>
                  <w:vAlign w:val="center"/>
                </w:tcPr>
                <w:p w14:paraId="6BBB19ED">
                  <w:pPr>
                    <w:jc w:val="center"/>
                    <w:rPr>
                      <w:szCs w:val="21"/>
                    </w:rPr>
                  </w:pPr>
                  <w:r>
                    <w:rPr>
                      <w:szCs w:val="21"/>
                    </w:rPr>
                    <w:t>+0.072</w:t>
                  </w:r>
                </w:p>
              </w:tc>
              <w:tc>
                <w:tcPr>
                  <w:tcW w:w="397" w:type="pct"/>
                  <w:vAlign w:val="center"/>
                </w:tcPr>
                <w:p w14:paraId="6589E19F">
                  <w:pPr>
                    <w:jc w:val="center"/>
                    <w:rPr>
                      <w:szCs w:val="21"/>
                    </w:rPr>
                  </w:pPr>
                  <w:r>
                    <w:rPr>
                      <w:szCs w:val="21"/>
                    </w:rPr>
                    <w:t>0.072</w:t>
                  </w:r>
                </w:p>
              </w:tc>
            </w:tr>
            <w:tr w14:paraId="4764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7665B7ED">
                  <w:pPr>
                    <w:spacing w:line="320" w:lineRule="exact"/>
                    <w:jc w:val="center"/>
                    <w:rPr>
                      <w:szCs w:val="21"/>
                    </w:rPr>
                  </w:pPr>
                </w:p>
              </w:tc>
              <w:tc>
                <w:tcPr>
                  <w:tcW w:w="380" w:type="pct"/>
                  <w:vMerge w:val="continue"/>
                  <w:tcMar>
                    <w:left w:w="28" w:type="dxa"/>
                    <w:right w:w="28" w:type="dxa"/>
                  </w:tcMar>
                  <w:vAlign w:val="center"/>
                </w:tcPr>
                <w:p w14:paraId="589CBE8D">
                  <w:pPr>
                    <w:spacing w:line="320" w:lineRule="exact"/>
                    <w:jc w:val="center"/>
                    <w:rPr>
                      <w:szCs w:val="21"/>
                    </w:rPr>
                  </w:pPr>
                </w:p>
              </w:tc>
              <w:tc>
                <w:tcPr>
                  <w:tcW w:w="644" w:type="pct"/>
                  <w:tcMar>
                    <w:left w:w="28" w:type="dxa"/>
                    <w:right w:w="28" w:type="dxa"/>
                  </w:tcMar>
                  <w:vAlign w:val="center"/>
                </w:tcPr>
                <w:p w14:paraId="4EFB6E91">
                  <w:pPr>
                    <w:jc w:val="center"/>
                    <w:rPr>
                      <w:szCs w:val="21"/>
                    </w:rPr>
                  </w:pPr>
                  <w:r>
                    <w:rPr>
                      <w:rFonts w:hint="eastAsia"/>
                      <w:szCs w:val="21"/>
                    </w:rPr>
                    <w:t>TN</w:t>
                  </w:r>
                </w:p>
              </w:tc>
              <w:tc>
                <w:tcPr>
                  <w:tcW w:w="442" w:type="pct"/>
                  <w:tcMar>
                    <w:left w:w="28" w:type="dxa"/>
                    <w:right w:w="28" w:type="dxa"/>
                  </w:tcMar>
                  <w:vAlign w:val="center"/>
                </w:tcPr>
                <w:p w14:paraId="4B081384">
                  <w:pPr>
                    <w:jc w:val="center"/>
                    <w:rPr>
                      <w:rFonts w:ascii="宋体" w:hAnsi="宋体" w:cs="宋体"/>
                      <w:sz w:val="24"/>
                    </w:rPr>
                  </w:pPr>
                  <w:r>
                    <w:rPr>
                      <w:rFonts w:hint="eastAsia"/>
                    </w:rPr>
                    <w:t>0.37</w:t>
                  </w:r>
                </w:p>
              </w:tc>
              <w:tc>
                <w:tcPr>
                  <w:tcW w:w="442" w:type="pct"/>
                  <w:tcMar>
                    <w:left w:w="28" w:type="dxa"/>
                    <w:right w:w="28" w:type="dxa"/>
                  </w:tcMar>
                  <w:vAlign w:val="center"/>
                </w:tcPr>
                <w:p w14:paraId="5057F5AF">
                  <w:pPr>
                    <w:jc w:val="center"/>
                    <w:rPr>
                      <w:szCs w:val="21"/>
                    </w:rPr>
                  </w:pPr>
                  <w:r>
                    <w:rPr>
                      <w:szCs w:val="21"/>
                    </w:rPr>
                    <w:t>0.096</w:t>
                  </w:r>
                </w:p>
              </w:tc>
              <w:tc>
                <w:tcPr>
                  <w:tcW w:w="442" w:type="pct"/>
                  <w:vAlign w:val="center"/>
                </w:tcPr>
                <w:p w14:paraId="4746BC0A">
                  <w:pPr>
                    <w:jc w:val="center"/>
                    <w:rPr>
                      <w:szCs w:val="21"/>
                    </w:rPr>
                  </w:pPr>
                  <w:r>
                    <w:rPr>
                      <w:szCs w:val="21"/>
                    </w:rPr>
                    <w:t>0</w:t>
                  </w:r>
                </w:p>
              </w:tc>
              <w:tc>
                <w:tcPr>
                  <w:tcW w:w="442" w:type="pct"/>
                  <w:vAlign w:val="center"/>
                </w:tcPr>
                <w:p w14:paraId="53DFF1E6">
                  <w:pPr>
                    <w:jc w:val="center"/>
                    <w:rPr>
                      <w:szCs w:val="21"/>
                    </w:rPr>
                  </w:pPr>
                  <w:r>
                    <w:rPr>
                      <w:szCs w:val="21"/>
                    </w:rPr>
                    <w:t>0.096</w:t>
                  </w:r>
                </w:p>
              </w:tc>
              <w:tc>
                <w:tcPr>
                  <w:tcW w:w="538" w:type="pct"/>
                  <w:tcMar>
                    <w:left w:w="28" w:type="dxa"/>
                    <w:right w:w="28" w:type="dxa"/>
                  </w:tcMar>
                  <w:vAlign w:val="center"/>
                </w:tcPr>
                <w:p w14:paraId="60247148">
                  <w:pPr>
                    <w:jc w:val="center"/>
                    <w:rPr>
                      <w:szCs w:val="21"/>
                    </w:rPr>
                  </w:pPr>
                  <w:r>
                    <w:rPr>
                      <w:szCs w:val="21"/>
                    </w:rPr>
                    <w:t>0</w:t>
                  </w:r>
                </w:p>
              </w:tc>
              <w:tc>
                <w:tcPr>
                  <w:tcW w:w="442" w:type="pct"/>
                  <w:vAlign w:val="center"/>
                </w:tcPr>
                <w:p w14:paraId="1D2B5922">
                  <w:pPr>
                    <w:jc w:val="center"/>
                    <w:rPr>
                      <w:rFonts w:ascii="宋体" w:hAnsi="宋体" w:cs="宋体"/>
                      <w:sz w:val="24"/>
                    </w:rPr>
                  </w:pPr>
                  <w:r>
                    <w:rPr>
                      <w:rFonts w:hint="eastAsia"/>
                    </w:rPr>
                    <w:t>0.466</w:t>
                  </w:r>
                </w:p>
              </w:tc>
              <w:tc>
                <w:tcPr>
                  <w:tcW w:w="512" w:type="pct"/>
                  <w:vAlign w:val="center"/>
                </w:tcPr>
                <w:p w14:paraId="61A8AE69">
                  <w:pPr>
                    <w:jc w:val="center"/>
                    <w:rPr>
                      <w:szCs w:val="21"/>
                    </w:rPr>
                  </w:pPr>
                  <w:r>
                    <w:rPr>
                      <w:szCs w:val="21"/>
                    </w:rPr>
                    <w:t>+0.096</w:t>
                  </w:r>
                </w:p>
              </w:tc>
              <w:tc>
                <w:tcPr>
                  <w:tcW w:w="397" w:type="pct"/>
                  <w:vAlign w:val="center"/>
                </w:tcPr>
                <w:p w14:paraId="498ECBB6">
                  <w:pPr>
                    <w:jc w:val="center"/>
                    <w:rPr>
                      <w:szCs w:val="21"/>
                    </w:rPr>
                  </w:pPr>
                  <w:r>
                    <w:rPr>
                      <w:szCs w:val="21"/>
                    </w:rPr>
                    <w:t>0.096</w:t>
                  </w:r>
                </w:p>
              </w:tc>
            </w:tr>
            <w:tr w14:paraId="7E4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0B11AB71">
                  <w:pPr>
                    <w:spacing w:line="320" w:lineRule="exact"/>
                    <w:jc w:val="center"/>
                    <w:rPr>
                      <w:szCs w:val="21"/>
                    </w:rPr>
                  </w:pPr>
                </w:p>
              </w:tc>
              <w:tc>
                <w:tcPr>
                  <w:tcW w:w="380" w:type="pct"/>
                  <w:vMerge w:val="continue"/>
                  <w:tcMar>
                    <w:left w:w="28" w:type="dxa"/>
                    <w:right w:w="28" w:type="dxa"/>
                  </w:tcMar>
                  <w:vAlign w:val="center"/>
                </w:tcPr>
                <w:p w14:paraId="7F9DC251">
                  <w:pPr>
                    <w:spacing w:line="320" w:lineRule="exact"/>
                    <w:jc w:val="center"/>
                    <w:rPr>
                      <w:szCs w:val="21"/>
                    </w:rPr>
                  </w:pPr>
                </w:p>
              </w:tc>
              <w:tc>
                <w:tcPr>
                  <w:tcW w:w="644" w:type="pct"/>
                  <w:tcMar>
                    <w:left w:w="28" w:type="dxa"/>
                    <w:right w:w="28" w:type="dxa"/>
                  </w:tcMar>
                  <w:vAlign w:val="center"/>
                </w:tcPr>
                <w:p w14:paraId="72CB4AF2">
                  <w:pPr>
                    <w:jc w:val="center"/>
                    <w:rPr>
                      <w:szCs w:val="21"/>
                    </w:rPr>
                  </w:pPr>
                  <w:r>
                    <w:rPr>
                      <w:rFonts w:hint="eastAsia"/>
                      <w:szCs w:val="21"/>
                    </w:rPr>
                    <w:t>TP</w:t>
                  </w:r>
                </w:p>
              </w:tc>
              <w:tc>
                <w:tcPr>
                  <w:tcW w:w="442" w:type="pct"/>
                  <w:tcMar>
                    <w:left w:w="28" w:type="dxa"/>
                    <w:right w:w="28" w:type="dxa"/>
                  </w:tcMar>
                  <w:vAlign w:val="center"/>
                </w:tcPr>
                <w:p w14:paraId="24F9598D">
                  <w:pPr>
                    <w:jc w:val="center"/>
                    <w:rPr>
                      <w:rFonts w:ascii="宋体" w:hAnsi="宋体" w:cs="宋体"/>
                      <w:sz w:val="24"/>
                    </w:rPr>
                  </w:pPr>
                  <w:r>
                    <w:rPr>
                      <w:rFonts w:hint="eastAsia"/>
                    </w:rPr>
                    <w:t>0.0086</w:t>
                  </w:r>
                </w:p>
              </w:tc>
              <w:tc>
                <w:tcPr>
                  <w:tcW w:w="442" w:type="pct"/>
                  <w:tcMar>
                    <w:left w:w="28" w:type="dxa"/>
                    <w:right w:w="28" w:type="dxa"/>
                  </w:tcMar>
                  <w:vAlign w:val="center"/>
                </w:tcPr>
                <w:p w14:paraId="70C8FF72">
                  <w:pPr>
                    <w:jc w:val="center"/>
                    <w:rPr>
                      <w:szCs w:val="21"/>
                    </w:rPr>
                  </w:pPr>
                  <w:r>
                    <w:rPr>
                      <w:szCs w:val="21"/>
                    </w:rPr>
                    <w:t xml:space="preserve">0.002 </w:t>
                  </w:r>
                </w:p>
              </w:tc>
              <w:tc>
                <w:tcPr>
                  <w:tcW w:w="442" w:type="pct"/>
                  <w:vAlign w:val="center"/>
                </w:tcPr>
                <w:p w14:paraId="11B26A50">
                  <w:pPr>
                    <w:jc w:val="center"/>
                    <w:rPr>
                      <w:szCs w:val="21"/>
                    </w:rPr>
                  </w:pPr>
                  <w:r>
                    <w:rPr>
                      <w:szCs w:val="21"/>
                    </w:rPr>
                    <w:t>0</w:t>
                  </w:r>
                </w:p>
              </w:tc>
              <w:tc>
                <w:tcPr>
                  <w:tcW w:w="442" w:type="pct"/>
                  <w:vAlign w:val="center"/>
                </w:tcPr>
                <w:p w14:paraId="5AA4D316">
                  <w:pPr>
                    <w:jc w:val="center"/>
                    <w:rPr>
                      <w:szCs w:val="21"/>
                    </w:rPr>
                  </w:pPr>
                  <w:r>
                    <w:rPr>
                      <w:szCs w:val="21"/>
                    </w:rPr>
                    <w:t xml:space="preserve">0.002 </w:t>
                  </w:r>
                </w:p>
              </w:tc>
              <w:tc>
                <w:tcPr>
                  <w:tcW w:w="538" w:type="pct"/>
                  <w:tcMar>
                    <w:left w:w="28" w:type="dxa"/>
                    <w:right w:w="28" w:type="dxa"/>
                  </w:tcMar>
                  <w:vAlign w:val="center"/>
                </w:tcPr>
                <w:p w14:paraId="54F5AAD0">
                  <w:pPr>
                    <w:jc w:val="center"/>
                    <w:rPr>
                      <w:szCs w:val="21"/>
                    </w:rPr>
                  </w:pPr>
                  <w:r>
                    <w:rPr>
                      <w:szCs w:val="21"/>
                    </w:rPr>
                    <w:t>0</w:t>
                  </w:r>
                </w:p>
              </w:tc>
              <w:tc>
                <w:tcPr>
                  <w:tcW w:w="442" w:type="pct"/>
                  <w:vAlign w:val="center"/>
                </w:tcPr>
                <w:p w14:paraId="1CC15C2D">
                  <w:pPr>
                    <w:jc w:val="center"/>
                    <w:rPr>
                      <w:rFonts w:ascii="宋体" w:hAnsi="宋体" w:cs="宋体"/>
                      <w:sz w:val="24"/>
                    </w:rPr>
                  </w:pPr>
                  <w:r>
                    <w:rPr>
                      <w:rFonts w:hint="eastAsia"/>
                    </w:rPr>
                    <w:t>0.0106</w:t>
                  </w:r>
                </w:p>
              </w:tc>
              <w:tc>
                <w:tcPr>
                  <w:tcW w:w="512" w:type="pct"/>
                  <w:vAlign w:val="center"/>
                </w:tcPr>
                <w:p w14:paraId="5683DDDA">
                  <w:pPr>
                    <w:jc w:val="center"/>
                    <w:rPr>
                      <w:szCs w:val="21"/>
                    </w:rPr>
                  </w:pPr>
                  <w:r>
                    <w:rPr>
                      <w:szCs w:val="21"/>
                    </w:rPr>
                    <w:t xml:space="preserve">+0.002 </w:t>
                  </w:r>
                </w:p>
              </w:tc>
              <w:tc>
                <w:tcPr>
                  <w:tcW w:w="397" w:type="pct"/>
                  <w:vAlign w:val="center"/>
                </w:tcPr>
                <w:p w14:paraId="38DC351E">
                  <w:pPr>
                    <w:jc w:val="center"/>
                    <w:rPr>
                      <w:szCs w:val="21"/>
                    </w:rPr>
                  </w:pPr>
                  <w:r>
                    <w:rPr>
                      <w:szCs w:val="21"/>
                    </w:rPr>
                    <w:t xml:space="preserve">0.002 </w:t>
                  </w:r>
                </w:p>
              </w:tc>
            </w:tr>
            <w:tr w14:paraId="54FA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39E31F71">
                  <w:pPr>
                    <w:spacing w:line="320" w:lineRule="exact"/>
                    <w:jc w:val="center"/>
                    <w:rPr>
                      <w:szCs w:val="21"/>
                    </w:rPr>
                  </w:pPr>
                </w:p>
              </w:tc>
              <w:tc>
                <w:tcPr>
                  <w:tcW w:w="380" w:type="pct"/>
                  <w:vMerge w:val="continue"/>
                  <w:tcMar>
                    <w:left w:w="28" w:type="dxa"/>
                    <w:right w:w="28" w:type="dxa"/>
                  </w:tcMar>
                  <w:vAlign w:val="center"/>
                </w:tcPr>
                <w:p w14:paraId="1FE3CFDF">
                  <w:pPr>
                    <w:spacing w:line="320" w:lineRule="exact"/>
                    <w:jc w:val="center"/>
                    <w:rPr>
                      <w:szCs w:val="21"/>
                    </w:rPr>
                  </w:pPr>
                </w:p>
              </w:tc>
              <w:tc>
                <w:tcPr>
                  <w:tcW w:w="644" w:type="pct"/>
                  <w:tcMar>
                    <w:left w:w="28" w:type="dxa"/>
                    <w:right w:w="28" w:type="dxa"/>
                  </w:tcMar>
                  <w:vAlign w:val="center"/>
                </w:tcPr>
                <w:p w14:paraId="697FD1B4">
                  <w:pPr>
                    <w:jc w:val="center"/>
                    <w:rPr>
                      <w:szCs w:val="21"/>
                    </w:rPr>
                  </w:pPr>
                  <w:r>
                    <w:rPr>
                      <w:rFonts w:hint="eastAsia"/>
                      <w:szCs w:val="21"/>
                    </w:rPr>
                    <w:t>石油类</w:t>
                  </w:r>
                </w:p>
              </w:tc>
              <w:tc>
                <w:tcPr>
                  <w:tcW w:w="442" w:type="pct"/>
                  <w:tcMar>
                    <w:left w:w="28" w:type="dxa"/>
                    <w:right w:w="28" w:type="dxa"/>
                  </w:tcMar>
                  <w:vAlign w:val="center"/>
                </w:tcPr>
                <w:p w14:paraId="5EAA2D5B">
                  <w:pPr>
                    <w:jc w:val="center"/>
                    <w:rPr>
                      <w:rFonts w:ascii="宋体" w:hAnsi="宋体" w:cs="宋体"/>
                      <w:sz w:val="24"/>
                    </w:rPr>
                  </w:pPr>
                  <w:r>
                    <w:rPr>
                      <w:rFonts w:hint="eastAsia"/>
                    </w:rPr>
                    <w:t>0.093</w:t>
                  </w:r>
                </w:p>
              </w:tc>
              <w:tc>
                <w:tcPr>
                  <w:tcW w:w="442" w:type="pct"/>
                  <w:tcMar>
                    <w:left w:w="28" w:type="dxa"/>
                    <w:right w:w="28" w:type="dxa"/>
                  </w:tcMar>
                  <w:vAlign w:val="center"/>
                </w:tcPr>
                <w:p w14:paraId="073C267A">
                  <w:pPr>
                    <w:jc w:val="center"/>
                    <w:rPr>
                      <w:szCs w:val="21"/>
                    </w:rPr>
                  </w:pPr>
                  <w:r>
                    <w:rPr>
                      <w:szCs w:val="21"/>
                    </w:rPr>
                    <w:t>0.024</w:t>
                  </w:r>
                </w:p>
              </w:tc>
              <w:tc>
                <w:tcPr>
                  <w:tcW w:w="442" w:type="pct"/>
                  <w:vAlign w:val="center"/>
                </w:tcPr>
                <w:p w14:paraId="29233C90">
                  <w:pPr>
                    <w:jc w:val="center"/>
                    <w:rPr>
                      <w:szCs w:val="21"/>
                    </w:rPr>
                  </w:pPr>
                  <w:r>
                    <w:rPr>
                      <w:szCs w:val="21"/>
                    </w:rPr>
                    <w:t>0</w:t>
                  </w:r>
                </w:p>
              </w:tc>
              <w:tc>
                <w:tcPr>
                  <w:tcW w:w="442" w:type="pct"/>
                  <w:vAlign w:val="center"/>
                </w:tcPr>
                <w:p w14:paraId="09F6934F">
                  <w:pPr>
                    <w:jc w:val="center"/>
                    <w:rPr>
                      <w:szCs w:val="21"/>
                    </w:rPr>
                  </w:pPr>
                  <w:r>
                    <w:rPr>
                      <w:szCs w:val="21"/>
                    </w:rPr>
                    <w:t>0.024</w:t>
                  </w:r>
                </w:p>
              </w:tc>
              <w:tc>
                <w:tcPr>
                  <w:tcW w:w="538" w:type="pct"/>
                  <w:tcMar>
                    <w:left w:w="28" w:type="dxa"/>
                    <w:right w:w="28" w:type="dxa"/>
                  </w:tcMar>
                  <w:vAlign w:val="center"/>
                </w:tcPr>
                <w:p w14:paraId="44250D71">
                  <w:pPr>
                    <w:jc w:val="center"/>
                    <w:rPr>
                      <w:szCs w:val="21"/>
                    </w:rPr>
                  </w:pPr>
                  <w:r>
                    <w:rPr>
                      <w:szCs w:val="21"/>
                    </w:rPr>
                    <w:t>0</w:t>
                  </w:r>
                </w:p>
              </w:tc>
              <w:tc>
                <w:tcPr>
                  <w:tcW w:w="442" w:type="pct"/>
                  <w:vAlign w:val="center"/>
                </w:tcPr>
                <w:p w14:paraId="37E9C559">
                  <w:pPr>
                    <w:jc w:val="center"/>
                    <w:rPr>
                      <w:rFonts w:ascii="宋体" w:hAnsi="宋体" w:cs="宋体"/>
                      <w:sz w:val="24"/>
                    </w:rPr>
                  </w:pPr>
                  <w:r>
                    <w:rPr>
                      <w:rFonts w:hint="eastAsia"/>
                    </w:rPr>
                    <w:t>0.117</w:t>
                  </w:r>
                </w:p>
              </w:tc>
              <w:tc>
                <w:tcPr>
                  <w:tcW w:w="512" w:type="pct"/>
                  <w:vAlign w:val="center"/>
                </w:tcPr>
                <w:p w14:paraId="41084135">
                  <w:pPr>
                    <w:jc w:val="center"/>
                    <w:rPr>
                      <w:szCs w:val="21"/>
                    </w:rPr>
                  </w:pPr>
                  <w:r>
                    <w:rPr>
                      <w:szCs w:val="21"/>
                    </w:rPr>
                    <w:t>+0.024</w:t>
                  </w:r>
                </w:p>
              </w:tc>
              <w:tc>
                <w:tcPr>
                  <w:tcW w:w="397" w:type="pct"/>
                  <w:vAlign w:val="center"/>
                </w:tcPr>
                <w:p w14:paraId="52210CD3">
                  <w:pPr>
                    <w:jc w:val="center"/>
                    <w:rPr>
                      <w:szCs w:val="21"/>
                    </w:rPr>
                  </w:pPr>
                  <w:r>
                    <w:rPr>
                      <w:szCs w:val="21"/>
                    </w:rPr>
                    <w:t>0.024</w:t>
                  </w:r>
                </w:p>
              </w:tc>
            </w:tr>
            <w:tr w14:paraId="75B6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058F2CAC">
                  <w:pPr>
                    <w:spacing w:line="320" w:lineRule="exact"/>
                    <w:jc w:val="center"/>
                    <w:rPr>
                      <w:szCs w:val="21"/>
                    </w:rPr>
                  </w:pPr>
                </w:p>
              </w:tc>
              <w:tc>
                <w:tcPr>
                  <w:tcW w:w="380" w:type="pct"/>
                  <w:vMerge w:val="continue"/>
                  <w:tcMar>
                    <w:left w:w="28" w:type="dxa"/>
                    <w:right w:w="28" w:type="dxa"/>
                  </w:tcMar>
                  <w:vAlign w:val="center"/>
                </w:tcPr>
                <w:p w14:paraId="4E4D3FCF">
                  <w:pPr>
                    <w:spacing w:line="320" w:lineRule="exact"/>
                    <w:jc w:val="center"/>
                    <w:rPr>
                      <w:szCs w:val="21"/>
                    </w:rPr>
                  </w:pPr>
                </w:p>
              </w:tc>
              <w:tc>
                <w:tcPr>
                  <w:tcW w:w="644" w:type="pct"/>
                  <w:tcMar>
                    <w:left w:w="28" w:type="dxa"/>
                    <w:right w:w="28" w:type="dxa"/>
                  </w:tcMar>
                  <w:vAlign w:val="center"/>
                </w:tcPr>
                <w:p w14:paraId="68258CE7">
                  <w:pPr>
                    <w:jc w:val="center"/>
                    <w:rPr>
                      <w:szCs w:val="21"/>
                    </w:rPr>
                  </w:pPr>
                  <w:r>
                    <w:rPr>
                      <w:rFonts w:hint="eastAsia"/>
                      <w:szCs w:val="21"/>
                    </w:rPr>
                    <w:t>动植物油</w:t>
                  </w:r>
                </w:p>
              </w:tc>
              <w:tc>
                <w:tcPr>
                  <w:tcW w:w="442" w:type="pct"/>
                  <w:tcMar>
                    <w:left w:w="28" w:type="dxa"/>
                    <w:right w:w="28" w:type="dxa"/>
                  </w:tcMar>
                  <w:vAlign w:val="center"/>
                </w:tcPr>
                <w:p w14:paraId="29FCCB39">
                  <w:pPr>
                    <w:jc w:val="center"/>
                    <w:rPr>
                      <w:rFonts w:ascii="宋体" w:hAnsi="宋体" w:cs="宋体"/>
                      <w:sz w:val="24"/>
                    </w:rPr>
                  </w:pPr>
                  <w:r>
                    <w:rPr>
                      <w:rFonts w:hint="eastAsia"/>
                    </w:rPr>
                    <w:t>0.926</w:t>
                  </w:r>
                </w:p>
              </w:tc>
              <w:tc>
                <w:tcPr>
                  <w:tcW w:w="442" w:type="pct"/>
                  <w:tcMar>
                    <w:left w:w="28" w:type="dxa"/>
                    <w:right w:w="28" w:type="dxa"/>
                  </w:tcMar>
                  <w:vAlign w:val="center"/>
                </w:tcPr>
                <w:p w14:paraId="1AC73301">
                  <w:pPr>
                    <w:jc w:val="center"/>
                    <w:rPr>
                      <w:szCs w:val="21"/>
                    </w:rPr>
                  </w:pPr>
                  <w:r>
                    <w:rPr>
                      <w:szCs w:val="21"/>
                    </w:rPr>
                    <w:t>0.24</w:t>
                  </w:r>
                </w:p>
              </w:tc>
              <w:tc>
                <w:tcPr>
                  <w:tcW w:w="442" w:type="pct"/>
                  <w:vAlign w:val="center"/>
                </w:tcPr>
                <w:p w14:paraId="21CA205B">
                  <w:pPr>
                    <w:jc w:val="center"/>
                    <w:rPr>
                      <w:szCs w:val="21"/>
                    </w:rPr>
                  </w:pPr>
                  <w:r>
                    <w:rPr>
                      <w:rFonts w:hint="eastAsia"/>
                      <w:szCs w:val="21"/>
                    </w:rPr>
                    <w:t>0.12</w:t>
                  </w:r>
                </w:p>
              </w:tc>
              <w:tc>
                <w:tcPr>
                  <w:tcW w:w="442" w:type="pct"/>
                  <w:vAlign w:val="center"/>
                </w:tcPr>
                <w:p w14:paraId="46B8624B">
                  <w:pPr>
                    <w:jc w:val="center"/>
                    <w:rPr>
                      <w:szCs w:val="21"/>
                    </w:rPr>
                  </w:pPr>
                  <w:r>
                    <w:rPr>
                      <w:szCs w:val="21"/>
                    </w:rPr>
                    <w:t>0.12</w:t>
                  </w:r>
                </w:p>
              </w:tc>
              <w:tc>
                <w:tcPr>
                  <w:tcW w:w="538" w:type="pct"/>
                  <w:tcMar>
                    <w:left w:w="28" w:type="dxa"/>
                    <w:right w:w="28" w:type="dxa"/>
                  </w:tcMar>
                  <w:vAlign w:val="center"/>
                </w:tcPr>
                <w:p w14:paraId="309645E7">
                  <w:pPr>
                    <w:jc w:val="center"/>
                    <w:rPr>
                      <w:szCs w:val="21"/>
                    </w:rPr>
                  </w:pPr>
                  <w:r>
                    <w:rPr>
                      <w:szCs w:val="21"/>
                    </w:rPr>
                    <w:t>0</w:t>
                  </w:r>
                </w:p>
              </w:tc>
              <w:tc>
                <w:tcPr>
                  <w:tcW w:w="442" w:type="pct"/>
                  <w:vAlign w:val="center"/>
                </w:tcPr>
                <w:p w14:paraId="12A2766F">
                  <w:pPr>
                    <w:jc w:val="center"/>
                    <w:rPr>
                      <w:rFonts w:ascii="宋体" w:hAnsi="宋体" w:cs="宋体"/>
                      <w:sz w:val="24"/>
                    </w:rPr>
                  </w:pPr>
                  <w:r>
                    <w:rPr>
                      <w:rFonts w:hint="eastAsia"/>
                    </w:rPr>
                    <w:t>1.046</w:t>
                  </w:r>
                </w:p>
              </w:tc>
              <w:tc>
                <w:tcPr>
                  <w:tcW w:w="512" w:type="pct"/>
                  <w:vAlign w:val="center"/>
                </w:tcPr>
                <w:p w14:paraId="67229D0C">
                  <w:pPr>
                    <w:jc w:val="center"/>
                    <w:rPr>
                      <w:szCs w:val="21"/>
                    </w:rPr>
                  </w:pPr>
                  <w:r>
                    <w:rPr>
                      <w:szCs w:val="21"/>
                    </w:rPr>
                    <w:t>+0.12</w:t>
                  </w:r>
                </w:p>
              </w:tc>
              <w:tc>
                <w:tcPr>
                  <w:tcW w:w="397" w:type="pct"/>
                  <w:vAlign w:val="center"/>
                </w:tcPr>
                <w:p w14:paraId="59C274AF">
                  <w:pPr>
                    <w:jc w:val="center"/>
                    <w:rPr>
                      <w:szCs w:val="21"/>
                    </w:rPr>
                  </w:pPr>
                  <w:r>
                    <w:rPr>
                      <w:szCs w:val="21"/>
                    </w:rPr>
                    <w:t>0.12</w:t>
                  </w:r>
                </w:p>
              </w:tc>
            </w:tr>
            <w:tr w14:paraId="1F38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27D4EDD1">
                  <w:pPr>
                    <w:spacing w:line="320" w:lineRule="exact"/>
                    <w:jc w:val="center"/>
                    <w:rPr>
                      <w:szCs w:val="21"/>
                    </w:rPr>
                  </w:pPr>
                </w:p>
              </w:tc>
              <w:tc>
                <w:tcPr>
                  <w:tcW w:w="380" w:type="pct"/>
                  <w:vMerge w:val="restart"/>
                  <w:tcMar>
                    <w:left w:w="28" w:type="dxa"/>
                    <w:right w:w="28" w:type="dxa"/>
                  </w:tcMar>
                  <w:vAlign w:val="center"/>
                </w:tcPr>
                <w:p w14:paraId="535986B2">
                  <w:pPr>
                    <w:spacing w:line="320" w:lineRule="exact"/>
                    <w:jc w:val="center"/>
                    <w:rPr>
                      <w:szCs w:val="21"/>
                    </w:rPr>
                  </w:pPr>
                  <w:r>
                    <w:rPr>
                      <w:rFonts w:hint="eastAsia"/>
                      <w:szCs w:val="21"/>
                    </w:rPr>
                    <w:t>生产废水</w:t>
                  </w:r>
                </w:p>
              </w:tc>
              <w:tc>
                <w:tcPr>
                  <w:tcW w:w="644" w:type="pct"/>
                  <w:tcMar>
                    <w:left w:w="28" w:type="dxa"/>
                    <w:right w:w="28" w:type="dxa"/>
                  </w:tcMar>
                  <w:vAlign w:val="center"/>
                </w:tcPr>
                <w:p w14:paraId="5A8B7D50">
                  <w:pPr>
                    <w:jc w:val="center"/>
                    <w:rPr>
                      <w:szCs w:val="21"/>
                    </w:rPr>
                  </w:pPr>
                  <w:r>
                    <w:rPr>
                      <w:szCs w:val="21"/>
                    </w:rPr>
                    <w:t>排水量</w:t>
                  </w:r>
                </w:p>
              </w:tc>
              <w:tc>
                <w:tcPr>
                  <w:tcW w:w="442" w:type="pct"/>
                  <w:tcMar>
                    <w:left w:w="28" w:type="dxa"/>
                    <w:right w:w="28" w:type="dxa"/>
                  </w:tcMar>
                  <w:vAlign w:val="center"/>
                </w:tcPr>
                <w:p w14:paraId="19049EA8">
                  <w:pPr>
                    <w:widowControl/>
                    <w:jc w:val="center"/>
                    <w:textAlignment w:val="center"/>
                    <w:rPr>
                      <w:rFonts w:ascii="宋体" w:hAnsi="宋体" w:cs="宋体"/>
                      <w:sz w:val="24"/>
                    </w:rPr>
                  </w:pPr>
                  <w:r>
                    <w:rPr>
                      <w:kern w:val="0"/>
                      <w:szCs w:val="21"/>
                    </w:rPr>
                    <w:t>5920</w:t>
                  </w:r>
                </w:p>
              </w:tc>
              <w:tc>
                <w:tcPr>
                  <w:tcW w:w="442" w:type="pct"/>
                  <w:tcMar>
                    <w:left w:w="28" w:type="dxa"/>
                    <w:right w:w="28" w:type="dxa"/>
                  </w:tcMar>
                  <w:vAlign w:val="center"/>
                </w:tcPr>
                <w:p w14:paraId="4A83CFB6">
                  <w:pPr>
                    <w:widowControl/>
                    <w:jc w:val="center"/>
                    <w:textAlignment w:val="center"/>
                    <w:rPr>
                      <w:szCs w:val="21"/>
                    </w:rPr>
                  </w:pPr>
                  <w:r>
                    <w:rPr>
                      <w:rFonts w:hint="eastAsia"/>
                      <w:kern w:val="0"/>
                      <w:szCs w:val="21"/>
                    </w:rPr>
                    <w:t>0</w:t>
                  </w:r>
                </w:p>
              </w:tc>
              <w:tc>
                <w:tcPr>
                  <w:tcW w:w="442" w:type="pct"/>
                  <w:vAlign w:val="center"/>
                </w:tcPr>
                <w:p w14:paraId="222142FB">
                  <w:pPr>
                    <w:widowControl/>
                    <w:jc w:val="center"/>
                    <w:textAlignment w:val="center"/>
                    <w:rPr>
                      <w:szCs w:val="21"/>
                    </w:rPr>
                  </w:pPr>
                  <w:r>
                    <w:rPr>
                      <w:kern w:val="0"/>
                      <w:szCs w:val="21"/>
                    </w:rPr>
                    <w:t>0</w:t>
                  </w:r>
                </w:p>
              </w:tc>
              <w:tc>
                <w:tcPr>
                  <w:tcW w:w="442" w:type="pct"/>
                  <w:vAlign w:val="center"/>
                </w:tcPr>
                <w:p w14:paraId="1B3709D4">
                  <w:pPr>
                    <w:widowControl/>
                    <w:jc w:val="center"/>
                    <w:textAlignment w:val="center"/>
                    <w:rPr>
                      <w:szCs w:val="21"/>
                    </w:rPr>
                  </w:pPr>
                  <w:r>
                    <w:rPr>
                      <w:rFonts w:hint="eastAsia"/>
                      <w:kern w:val="0"/>
                      <w:szCs w:val="21"/>
                    </w:rPr>
                    <w:t>0</w:t>
                  </w:r>
                </w:p>
              </w:tc>
              <w:tc>
                <w:tcPr>
                  <w:tcW w:w="538" w:type="pct"/>
                  <w:tcMar>
                    <w:left w:w="28" w:type="dxa"/>
                    <w:right w:w="28" w:type="dxa"/>
                  </w:tcMar>
                  <w:vAlign w:val="center"/>
                </w:tcPr>
                <w:p w14:paraId="3151696B">
                  <w:pPr>
                    <w:widowControl/>
                    <w:jc w:val="center"/>
                    <w:textAlignment w:val="center"/>
                    <w:rPr>
                      <w:rFonts w:ascii="宋体" w:hAnsi="宋体" w:cs="宋体"/>
                      <w:sz w:val="24"/>
                    </w:rPr>
                  </w:pPr>
                  <w:r>
                    <w:rPr>
                      <w:kern w:val="0"/>
                      <w:szCs w:val="21"/>
                    </w:rPr>
                    <w:t>5920</w:t>
                  </w:r>
                </w:p>
              </w:tc>
              <w:tc>
                <w:tcPr>
                  <w:tcW w:w="442" w:type="pct"/>
                  <w:vAlign w:val="center"/>
                </w:tcPr>
                <w:p w14:paraId="7BADC0B4">
                  <w:pPr>
                    <w:widowControl/>
                    <w:jc w:val="center"/>
                    <w:textAlignment w:val="center"/>
                    <w:rPr>
                      <w:szCs w:val="21"/>
                    </w:rPr>
                  </w:pPr>
                  <w:r>
                    <w:rPr>
                      <w:rFonts w:hint="eastAsia"/>
                      <w:kern w:val="0"/>
                      <w:szCs w:val="21"/>
                    </w:rPr>
                    <w:t>0</w:t>
                  </w:r>
                </w:p>
              </w:tc>
              <w:tc>
                <w:tcPr>
                  <w:tcW w:w="512" w:type="pct"/>
                  <w:vAlign w:val="center"/>
                </w:tcPr>
                <w:p w14:paraId="17406D53">
                  <w:pPr>
                    <w:widowControl/>
                    <w:jc w:val="center"/>
                    <w:textAlignment w:val="center"/>
                    <w:rPr>
                      <w:szCs w:val="21"/>
                    </w:rPr>
                  </w:pPr>
                  <w:r>
                    <w:rPr>
                      <w:rFonts w:hint="eastAsia"/>
                      <w:kern w:val="0"/>
                      <w:szCs w:val="21"/>
                    </w:rPr>
                    <w:t>-</w:t>
                  </w:r>
                  <w:r>
                    <w:rPr>
                      <w:kern w:val="0"/>
                      <w:szCs w:val="21"/>
                    </w:rPr>
                    <w:t>5920</w:t>
                  </w:r>
                </w:p>
              </w:tc>
              <w:tc>
                <w:tcPr>
                  <w:tcW w:w="397" w:type="pct"/>
                  <w:vAlign w:val="center"/>
                </w:tcPr>
                <w:p w14:paraId="146E837C">
                  <w:pPr>
                    <w:widowControl/>
                    <w:jc w:val="center"/>
                    <w:textAlignment w:val="center"/>
                    <w:rPr>
                      <w:szCs w:val="21"/>
                    </w:rPr>
                  </w:pPr>
                  <w:r>
                    <w:rPr>
                      <w:kern w:val="0"/>
                      <w:szCs w:val="21"/>
                    </w:rPr>
                    <w:t>0</w:t>
                  </w:r>
                </w:p>
              </w:tc>
            </w:tr>
            <w:tr w14:paraId="00E8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56365BE1">
                  <w:pPr>
                    <w:spacing w:line="320" w:lineRule="exact"/>
                    <w:jc w:val="center"/>
                    <w:rPr>
                      <w:szCs w:val="21"/>
                    </w:rPr>
                  </w:pPr>
                </w:p>
              </w:tc>
              <w:tc>
                <w:tcPr>
                  <w:tcW w:w="380" w:type="pct"/>
                  <w:vMerge w:val="continue"/>
                  <w:tcMar>
                    <w:left w:w="28" w:type="dxa"/>
                    <w:right w:w="28" w:type="dxa"/>
                  </w:tcMar>
                  <w:vAlign w:val="center"/>
                </w:tcPr>
                <w:p w14:paraId="05519F8F">
                  <w:pPr>
                    <w:spacing w:line="320" w:lineRule="exact"/>
                    <w:jc w:val="center"/>
                    <w:rPr>
                      <w:szCs w:val="21"/>
                    </w:rPr>
                  </w:pPr>
                </w:p>
              </w:tc>
              <w:tc>
                <w:tcPr>
                  <w:tcW w:w="644" w:type="pct"/>
                  <w:tcMar>
                    <w:left w:w="28" w:type="dxa"/>
                    <w:right w:w="28" w:type="dxa"/>
                  </w:tcMar>
                  <w:vAlign w:val="center"/>
                </w:tcPr>
                <w:p w14:paraId="56491EDC">
                  <w:pPr>
                    <w:jc w:val="center"/>
                    <w:rPr>
                      <w:szCs w:val="21"/>
                    </w:rPr>
                  </w:pPr>
                  <w:r>
                    <w:rPr>
                      <w:szCs w:val="21"/>
                    </w:rPr>
                    <w:t>COD</w:t>
                  </w:r>
                </w:p>
              </w:tc>
              <w:tc>
                <w:tcPr>
                  <w:tcW w:w="442" w:type="pct"/>
                  <w:tcMar>
                    <w:left w:w="28" w:type="dxa"/>
                    <w:right w:w="28" w:type="dxa"/>
                  </w:tcMar>
                  <w:vAlign w:val="center"/>
                </w:tcPr>
                <w:p w14:paraId="4835E113">
                  <w:pPr>
                    <w:widowControl/>
                    <w:jc w:val="center"/>
                    <w:textAlignment w:val="center"/>
                    <w:rPr>
                      <w:rFonts w:ascii="宋体" w:hAnsi="宋体" w:cs="宋体"/>
                      <w:sz w:val="24"/>
                    </w:rPr>
                  </w:pPr>
                  <w:r>
                    <w:rPr>
                      <w:kern w:val="0"/>
                      <w:szCs w:val="21"/>
                    </w:rPr>
                    <w:t>1.706</w:t>
                  </w:r>
                </w:p>
              </w:tc>
              <w:tc>
                <w:tcPr>
                  <w:tcW w:w="442" w:type="pct"/>
                  <w:tcMar>
                    <w:left w:w="28" w:type="dxa"/>
                    <w:right w:w="28" w:type="dxa"/>
                  </w:tcMar>
                  <w:vAlign w:val="center"/>
                </w:tcPr>
                <w:p w14:paraId="7F409E78">
                  <w:pPr>
                    <w:widowControl/>
                    <w:jc w:val="center"/>
                    <w:textAlignment w:val="center"/>
                    <w:rPr>
                      <w:szCs w:val="21"/>
                    </w:rPr>
                  </w:pPr>
                  <w:r>
                    <w:rPr>
                      <w:rFonts w:hint="eastAsia"/>
                      <w:kern w:val="0"/>
                      <w:szCs w:val="21"/>
                    </w:rPr>
                    <w:t>0</w:t>
                  </w:r>
                </w:p>
              </w:tc>
              <w:tc>
                <w:tcPr>
                  <w:tcW w:w="442" w:type="pct"/>
                  <w:vAlign w:val="center"/>
                </w:tcPr>
                <w:p w14:paraId="79742337">
                  <w:pPr>
                    <w:widowControl/>
                    <w:jc w:val="center"/>
                    <w:textAlignment w:val="center"/>
                    <w:rPr>
                      <w:szCs w:val="21"/>
                    </w:rPr>
                  </w:pPr>
                  <w:r>
                    <w:rPr>
                      <w:kern w:val="0"/>
                      <w:szCs w:val="21"/>
                    </w:rPr>
                    <w:t>0</w:t>
                  </w:r>
                </w:p>
              </w:tc>
              <w:tc>
                <w:tcPr>
                  <w:tcW w:w="442" w:type="pct"/>
                  <w:vAlign w:val="center"/>
                </w:tcPr>
                <w:p w14:paraId="098E2647">
                  <w:pPr>
                    <w:widowControl/>
                    <w:jc w:val="center"/>
                    <w:textAlignment w:val="center"/>
                    <w:rPr>
                      <w:szCs w:val="21"/>
                    </w:rPr>
                  </w:pPr>
                  <w:r>
                    <w:rPr>
                      <w:rFonts w:hint="eastAsia"/>
                      <w:kern w:val="0"/>
                      <w:szCs w:val="21"/>
                    </w:rPr>
                    <w:t>0</w:t>
                  </w:r>
                </w:p>
              </w:tc>
              <w:tc>
                <w:tcPr>
                  <w:tcW w:w="538" w:type="pct"/>
                  <w:tcMar>
                    <w:left w:w="28" w:type="dxa"/>
                    <w:right w:w="28" w:type="dxa"/>
                  </w:tcMar>
                  <w:vAlign w:val="center"/>
                </w:tcPr>
                <w:p w14:paraId="28840404">
                  <w:pPr>
                    <w:widowControl/>
                    <w:jc w:val="center"/>
                    <w:textAlignment w:val="center"/>
                    <w:rPr>
                      <w:rFonts w:ascii="宋体" w:hAnsi="宋体" w:cs="宋体"/>
                      <w:sz w:val="24"/>
                    </w:rPr>
                  </w:pPr>
                  <w:r>
                    <w:rPr>
                      <w:kern w:val="0"/>
                      <w:szCs w:val="21"/>
                    </w:rPr>
                    <w:t>1.706</w:t>
                  </w:r>
                </w:p>
              </w:tc>
              <w:tc>
                <w:tcPr>
                  <w:tcW w:w="442" w:type="pct"/>
                  <w:vAlign w:val="center"/>
                </w:tcPr>
                <w:p w14:paraId="3F4AC94D">
                  <w:pPr>
                    <w:widowControl/>
                    <w:jc w:val="center"/>
                    <w:textAlignment w:val="center"/>
                    <w:rPr>
                      <w:szCs w:val="21"/>
                    </w:rPr>
                  </w:pPr>
                  <w:r>
                    <w:rPr>
                      <w:rFonts w:hint="eastAsia"/>
                      <w:kern w:val="0"/>
                      <w:szCs w:val="21"/>
                    </w:rPr>
                    <w:t>0</w:t>
                  </w:r>
                </w:p>
              </w:tc>
              <w:tc>
                <w:tcPr>
                  <w:tcW w:w="512" w:type="pct"/>
                  <w:vAlign w:val="center"/>
                </w:tcPr>
                <w:p w14:paraId="21591342">
                  <w:pPr>
                    <w:widowControl/>
                    <w:jc w:val="center"/>
                    <w:textAlignment w:val="center"/>
                    <w:rPr>
                      <w:szCs w:val="21"/>
                    </w:rPr>
                  </w:pPr>
                  <w:r>
                    <w:rPr>
                      <w:rFonts w:hint="eastAsia"/>
                      <w:kern w:val="0"/>
                      <w:szCs w:val="21"/>
                    </w:rPr>
                    <w:t>-</w:t>
                  </w:r>
                  <w:r>
                    <w:rPr>
                      <w:kern w:val="0"/>
                      <w:szCs w:val="21"/>
                    </w:rPr>
                    <w:t>1.706</w:t>
                  </w:r>
                </w:p>
              </w:tc>
              <w:tc>
                <w:tcPr>
                  <w:tcW w:w="397" w:type="pct"/>
                  <w:vAlign w:val="center"/>
                </w:tcPr>
                <w:p w14:paraId="063705A3">
                  <w:pPr>
                    <w:widowControl/>
                    <w:jc w:val="center"/>
                    <w:textAlignment w:val="center"/>
                    <w:rPr>
                      <w:szCs w:val="21"/>
                    </w:rPr>
                  </w:pPr>
                  <w:r>
                    <w:rPr>
                      <w:kern w:val="0"/>
                      <w:szCs w:val="21"/>
                    </w:rPr>
                    <w:t>0</w:t>
                  </w:r>
                </w:p>
              </w:tc>
            </w:tr>
            <w:tr w14:paraId="75DA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280B8387">
                  <w:pPr>
                    <w:spacing w:line="320" w:lineRule="exact"/>
                    <w:jc w:val="center"/>
                    <w:rPr>
                      <w:szCs w:val="21"/>
                    </w:rPr>
                  </w:pPr>
                </w:p>
              </w:tc>
              <w:tc>
                <w:tcPr>
                  <w:tcW w:w="380" w:type="pct"/>
                  <w:vMerge w:val="continue"/>
                  <w:tcMar>
                    <w:left w:w="28" w:type="dxa"/>
                    <w:right w:w="28" w:type="dxa"/>
                  </w:tcMar>
                  <w:vAlign w:val="center"/>
                </w:tcPr>
                <w:p w14:paraId="6B08B77F">
                  <w:pPr>
                    <w:spacing w:line="320" w:lineRule="exact"/>
                    <w:jc w:val="center"/>
                    <w:rPr>
                      <w:szCs w:val="21"/>
                    </w:rPr>
                  </w:pPr>
                </w:p>
              </w:tc>
              <w:tc>
                <w:tcPr>
                  <w:tcW w:w="644" w:type="pct"/>
                  <w:tcMar>
                    <w:left w:w="28" w:type="dxa"/>
                    <w:right w:w="28" w:type="dxa"/>
                  </w:tcMar>
                  <w:vAlign w:val="center"/>
                </w:tcPr>
                <w:p w14:paraId="035081F7">
                  <w:pPr>
                    <w:jc w:val="center"/>
                    <w:rPr>
                      <w:szCs w:val="21"/>
                    </w:rPr>
                  </w:pPr>
                  <w:r>
                    <w:rPr>
                      <w:szCs w:val="21"/>
                    </w:rPr>
                    <w:t>SS</w:t>
                  </w:r>
                </w:p>
              </w:tc>
              <w:tc>
                <w:tcPr>
                  <w:tcW w:w="442" w:type="pct"/>
                  <w:tcMar>
                    <w:left w:w="28" w:type="dxa"/>
                    <w:right w:w="28" w:type="dxa"/>
                  </w:tcMar>
                  <w:vAlign w:val="center"/>
                </w:tcPr>
                <w:p w14:paraId="39AD7572">
                  <w:pPr>
                    <w:widowControl/>
                    <w:jc w:val="center"/>
                    <w:textAlignment w:val="center"/>
                    <w:rPr>
                      <w:rFonts w:ascii="宋体" w:hAnsi="宋体" w:cs="宋体"/>
                      <w:sz w:val="24"/>
                    </w:rPr>
                  </w:pPr>
                  <w:r>
                    <w:rPr>
                      <w:kern w:val="0"/>
                      <w:szCs w:val="21"/>
                    </w:rPr>
                    <w:t>0.856</w:t>
                  </w:r>
                </w:p>
              </w:tc>
              <w:tc>
                <w:tcPr>
                  <w:tcW w:w="442" w:type="pct"/>
                  <w:tcMar>
                    <w:left w:w="28" w:type="dxa"/>
                    <w:right w:w="28" w:type="dxa"/>
                  </w:tcMar>
                  <w:vAlign w:val="center"/>
                </w:tcPr>
                <w:p w14:paraId="114A4236">
                  <w:pPr>
                    <w:widowControl/>
                    <w:jc w:val="center"/>
                    <w:textAlignment w:val="center"/>
                    <w:rPr>
                      <w:szCs w:val="21"/>
                    </w:rPr>
                  </w:pPr>
                  <w:r>
                    <w:rPr>
                      <w:rFonts w:hint="eastAsia"/>
                      <w:kern w:val="0"/>
                      <w:szCs w:val="21"/>
                    </w:rPr>
                    <w:t>0</w:t>
                  </w:r>
                </w:p>
              </w:tc>
              <w:tc>
                <w:tcPr>
                  <w:tcW w:w="442" w:type="pct"/>
                  <w:vAlign w:val="center"/>
                </w:tcPr>
                <w:p w14:paraId="7F7A2730">
                  <w:pPr>
                    <w:widowControl/>
                    <w:jc w:val="center"/>
                    <w:textAlignment w:val="center"/>
                    <w:rPr>
                      <w:szCs w:val="21"/>
                    </w:rPr>
                  </w:pPr>
                  <w:r>
                    <w:rPr>
                      <w:kern w:val="0"/>
                      <w:szCs w:val="21"/>
                    </w:rPr>
                    <w:t>0</w:t>
                  </w:r>
                </w:p>
              </w:tc>
              <w:tc>
                <w:tcPr>
                  <w:tcW w:w="442" w:type="pct"/>
                  <w:vAlign w:val="center"/>
                </w:tcPr>
                <w:p w14:paraId="57514750">
                  <w:pPr>
                    <w:widowControl/>
                    <w:jc w:val="center"/>
                    <w:textAlignment w:val="center"/>
                    <w:rPr>
                      <w:szCs w:val="21"/>
                    </w:rPr>
                  </w:pPr>
                  <w:r>
                    <w:rPr>
                      <w:rFonts w:hint="eastAsia"/>
                      <w:kern w:val="0"/>
                      <w:szCs w:val="21"/>
                    </w:rPr>
                    <w:t>0</w:t>
                  </w:r>
                </w:p>
              </w:tc>
              <w:tc>
                <w:tcPr>
                  <w:tcW w:w="538" w:type="pct"/>
                  <w:tcMar>
                    <w:left w:w="28" w:type="dxa"/>
                    <w:right w:w="28" w:type="dxa"/>
                  </w:tcMar>
                  <w:vAlign w:val="center"/>
                </w:tcPr>
                <w:p w14:paraId="6A349E71">
                  <w:pPr>
                    <w:widowControl/>
                    <w:jc w:val="center"/>
                    <w:textAlignment w:val="center"/>
                    <w:rPr>
                      <w:rFonts w:ascii="宋体" w:hAnsi="宋体" w:cs="宋体"/>
                      <w:sz w:val="24"/>
                    </w:rPr>
                  </w:pPr>
                  <w:r>
                    <w:rPr>
                      <w:kern w:val="0"/>
                      <w:szCs w:val="21"/>
                    </w:rPr>
                    <w:t>0.856</w:t>
                  </w:r>
                </w:p>
              </w:tc>
              <w:tc>
                <w:tcPr>
                  <w:tcW w:w="442" w:type="pct"/>
                  <w:vAlign w:val="center"/>
                </w:tcPr>
                <w:p w14:paraId="4D62C926">
                  <w:pPr>
                    <w:widowControl/>
                    <w:jc w:val="center"/>
                    <w:textAlignment w:val="center"/>
                    <w:rPr>
                      <w:szCs w:val="21"/>
                    </w:rPr>
                  </w:pPr>
                  <w:r>
                    <w:rPr>
                      <w:rFonts w:hint="eastAsia"/>
                      <w:kern w:val="0"/>
                      <w:szCs w:val="21"/>
                    </w:rPr>
                    <w:t>0</w:t>
                  </w:r>
                </w:p>
              </w:tc>
              <w:tc>
                <w:tcPr>
                  <w:tcW w:w="512" w:type="pct"/>
                  <w:vAlign w:val="center"/>
                </w:tcPr>
                <w:p w14:paraId="2A3B2CE7">
                  <w:pPr>
                    <w:widowControl/>
                    <w:jc w:val="center"/>
                    <w:textAlignment w:val="center"/>
                    <w:rPr>
                      <w:szCs w:val="21"/>
                    </w:rPr>
                  </w:pPr>
                  <w:r>
                    <w:rPr>
                      <w:rFonts w:hint="eastAsia"/>
                      <w:kern w:val="0"/>
                      <w:szCs w:val="21"/>
                    </w:rPr>
                    <w:t>-</w:t>
                  </w:r>
                  <w:r>
                    <w:rPr>
                      <w:kern w:val="0"/>
                      <w:szCs w:val="21"/>
                    </w:rPr>
                    <w:t>0.856</w:t>
                  </w:r>
                </w:p>
              </w:tc>
              <w:tc>
                <w:tcPr>
                  <w:tcW w:w="397" w:type="pct"/>
                  <w:vAlign w:val="center"/>
                </w:tcPr>
                <w:p w14:paraId="47050F8C">
                  <w:pPr>
                    <w:widowControl/>
                    <w:jc w:val="center"/>
                    <w:textAlignment w:val="center"/>
                    <w:rPr>
                      <w:szCs w:val="21"/>
                    </w:rPr>
                  </w:pPr>
                  <w:r>
                    <w:rPr>
                      <w:kern w:val="0"/>
                      <w:szCs w:val="21"/>
                    </w:rPr>
                    <w:t>0</w:t>
                  </w:r>
                </w:p>
              </w:tc>
            </w:tr>
            <w:tr w14:paraId="76CC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51922CFB">
                  <w:pPr>
                    <w:spacing w:line="320" w:lineRule="exact"/>
                    <w:jc w:val="center"/>
                    <w:rPr>
                      <w:szCs w:val="21"/>
                    </w:rPr>
                  </w:pPr>
                </w:p>
              </w:tc>
              <w:tc>
                <w:tcPr>
                  <w:tcW w:w="380" w:type="pct"/>
                  <w:vMerge w:val="restart"/>
                  <w:tcMar>
                    <w:left w:w="28" w:type="dxa"/>
                    <w:right w:w="28" w:type="dxa"/>
                  </w:tcMar>
                  <w:vAlign w:val="center"/>
                </w:tcPr>
                <w:p w14:paraId="10D29044">
                  <w:pPr>
                    <w:spacing w:line="320" w:lineRule="exact"/>
                    <w:jc w:val="center"/>
                    <w:rPr>
                      <w:szCs w:val="21"/>
                    </w:rPr>
                  </w:pPr>
                  <w:r>
                    <w:rPr>
                      <w:rFonts w:hint="eastAsia"/>
                      <w:szCs w:val="21"/>
                    </w:rPr>
                    <w:t>综合废水</w:t>
                  </w:r>
                </w:p>
              </w:tc>
              <w:tc>
                <w:tcPr>
                  <w:tcW w:w="644" w:type="pct"/>
                  <w:tcMar>
                    <w:left w:w="28" w:type="dxa"/>
                    <w:right w:w="28" w:type="dxa"/>
                  </w:tcMar>
                  <w:vAlign w:val="center"/>
                </w:tcPr>
                <w:p w14:paraId="2C3803AF">
                  <w:pPr>
                    <w:spacing w:line="320" w:lineRule="exact"/>
                    <w:jc w:val="center"/>
                    <w:rPr>
                      <w:szCs w:val="21"/>
                    </w:rPr>
                  </w:pPr>
                  <w:r>
                    <w:rPr>
                      <w:szCs w:val="21"/>
                    </w:rPr>
                    <w:t>排水量</w:t>
                  </w:r>
                </w:p>
              </w:tc>
              <w:tc>
                <w:tcPr>
                  <w:tcW w:w="442" w:type="pct"/>
                  <w:tcMar>
                    <w:left w:w="28" w:type="dxa"/>
                    <w:right w:w="28" w:type="dxa"/>
                  </w:tcMar>
                  <w:vAlign w:val="center"/>
                </w:tcPr>
                <w:p w14:paraId="5421D903">
                  <w:pPr>
                    <w:widowControl/>
                    <w:jc w:val="center"/>
                    <w:textAlignment w:val="center"/>
                    <w:rPr>
                      <w:szCs w:val="21"/>
                    </w:rPr>
                  </w:pPr>
                  <w:r>
                    <w:rPr>
                      <w:kern w:val="0"/>
                      <w:szCs w:val="21"/>
                    </w:rPr>
                    <w:t>15184</w:t>
                  </w:r>
                </w:p>
              </w:tc>
              <w:tc>
                <w:tcPr>
                  <w:tcW w:w="442" w:type="pct"/>
                  <w:tcMar>
                    <w:left w:w="28" w:type="dxa"/>
                    <w:right w:w="28" w:type="dxa"/>
                  </w:tcMar>
                  <w:vAlign w:val="center"/>
                </w:tcPr>
                <w:p w14:paraId="010916FA">
                  <w:pPr>
                    <w:jc w:val="center"/>
                    <w:rPr>
                      <w:szCs w:val="21"/>
                    </w:rPr>
                  </w:pPr>
                  <w:r>
                    <w:rPr>
                      <w:rFonts w:hint="eastAsia"/>
                      <w:szCs w:val="21"/>
                    </w:rPr>
                    <w:t>2400</w:t>
                  </w:r>
                </w:p>
              </w:tc>
              <w:tc>
                <w:tcPr>
                  <w:tcW w:w="442" w:type="pct"/>
                  <w:vAlign w:val="center"/>
                </w:tcPr>
                <w:p w14:paraId="757B1328">
                  <w:pPr>
                    <w:jc w:val="center"/>
                    <w:rPr>
                      <w:szCs w:val="21"/>
                    </w:rPr>
                  </w:pPr>
                  <w:r>
                    <w:rPr>
                      <w:szCs w:val="21"/>
                    </w:rPr>
                    <w:t>0</w:t>
                  </w:r>
                </w:p>
              </w:tc>
              <w:tc>
                <w:tcPr>
                  <w:tcW w:w="442" w:type="pct"/>
                  <w:vAlign w:val="center"/>
                </w:tcPr>
                <w:p w14:paraId="7381D507">
                  <w:pPr>
                    <w:jc w:val="center"/>
                    <w:rPr>
                      <w:szCs w:val="21"/>
                    </w:rPr>
                  </w:pPr>
                  <w:r>
                    <w:rPr>
                      <w:rFonts w:hint="eastAsia"/>
                      <w:szCs w:val="21"/>
                    </w:rPr>
                    <w:t>2400</w:t>
                  </w:r>
                </w:p>
              </w:tc>
              <w:tc>
                <w:tcPr>
                  <w:tcW w:w="538" w:type="pct"/>
                  <w:tcMar>
                    <w:left w:w="28" w:type="dxa"/>
                    <w:right w:w="28" w:type="dxa"/>
                  </w:tcMar>
                  <w:vAlign w:val="center"/>
                </w:tcPr>
                <w:p w14:paraId="0F33B0DC">
                  <w:pPr>
                    <w:widowControl/>
                    <w:jc w:val="center"/>
                    <w:textAlignment w:val="center"/>
                    <w:rPr>
                      <w:szCs w:val="21"/>
                    </w:rPr>
                  </w:pPr>
                  <w:r>
                    <w:rPr>
                      <w:kern w:val="0"/>
                      <w:szCs w:val="21"/>
                    </w:rPr>
                    <w:t>5920</w:t>
                  </w:r>
                </w:p>
              </w:tc>
              <w:tc>
                <w:tcPr>
                  <w:tcW w:w="442" w:type="pct"/>
                  <w:vAlign w:val="center"/>
                </w:tcPr>
                <w:p w14:paraId="48FDB917">
                  <w:pPr>
                    <w:widowControl/>
                    <w:jc w:val="center"/>
                    <w:textAlignment w:val="center"/>
                    <w:rPr>
                      <w:szCs w:val="21"/>
                    </w:rPr>
                  </w:pPr>
                  <w:r>
                    <w:rPr>
                      <w:rFonts w:hint="eastAsia"/>
                      <w:kern w:val="0"/>
                      <w:szCs w:val="21"/>
                    </w:rPr>
                    <w:t>11664</w:t>
                  </w:r>
                </w:p>
              </w:tc>
              <w:tc>
                <w:tcPr>
                  <w:tcW w:w="512" w:type="pct"/>
                  <w:vAlign w:val="center"/>
                </w:tcPr>
                <w:p w14:paraId="3B699B32">
                  <w:pPr>
                    <w:widowControl/>
                    <w:jc w:val="center"/>
                    <w:textAlignment w:val="center"/>
                    <w:rPr>
                      <w:szCs w:val="21"/>
                    </w:rPr>
                  </w:pPr>
                  <w:r>
                    <w:rPr>
                      <w:rFonts w:hint="eastAsia"/>
                      <w:szCs w:val="21"/>
                    </w:rPr>
                    <w:t>-3520</w:t>
                  </w:r>
                </w:p>
              </w:tc>
              <w:tc>
                <w:tcPr>
                  <w:tcW w:w="397" w:type="pct"/>
                  <w:vAlign w:val="center"/>
                </w:tcPr>
                <w:p w14:paraId="4C05F132">
                  <w:pPr>
                    <w:widowControl/>
                    <w:jc w:val="center"/>
                    <w:textAlignment w:val="center"/>
                    <w:rPr>
                      <w:szCs w:val="21"/>
                    </w:rPr>
                  </w:pPr>
                  <w:r>
                    <w:rPr>
                      <w:kern w:val="0"/>
                      <w:szCs w:val="21"/>
                    </w:rPr>
                    <w:t>0</w:t>
                  </w:r>
                </w:p>
              </w:tc>
            </w:tr>
            <w:tr w14:paraId="4642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3B6FBA4E">
                  <w:pPr>
                    <w:spacing w:line="320" w:lineRule="exact"/>
                    <w:jc w:val="center"/>
                    <w:rPr>
                      <w:szCs w:val="21"/>
                    </w:rPr>
                  </w:pPr>
                </w:p>
              </w:tc>
              <w:tc>
                <w:tcPr>
                  <w:tcW w:w="380" w:type="pct"/>
                  <w:vMerge w:val="continue"/>
                  <w:tcMar>
                    <w:left w:w="28" w:type="dxa"/>
                    <w:right w:w="28" w:type="dxa"/>
                  </w:tcMar>
                  <w:vAlign w:val="center"/>
                </w:tcPr>
                <w:p w14:paraId="5F96E1DC">
                  <w:pPr>
                    <w:spacing w:line="320" w:lineRule="exact"/>
                    <w:jc w:val="center"/>
                    <w:rPr>
                      <w:szCs w:val="21"/>
                    </w:rPr>
                  </w:pPr>
                </w:p>
              </w:tc>
              <w:tc>
                <w:tcPr>
                  <w:tcW w:w="644" w:type="pct"/>
                  <w:tcMar>
                    <w:left w:w="28" w:type="dxa"/>
                    <w:right w:w="28" w:type="dxa"/>
                  </w:tcMar>
                  <w:vAlign w:val="center"/>
                </w:tcPr>
                <w:p w14:paraId="021B29F2">
                  <w:pPr>
                    <w:jc w:val="center"/>
                    <w:rPr>
                      <w:szCs w:val="21"/>
                    </w:rPr>
                  </w:pPr>
                  <w:r>
                    <w:rPr>
                      <w:rFonts w:hint="eastAsia"/>
                      <w:szCs w:val="21"/>
                    </w:rPr>
                    <w:t>COD</w:t>
                  </w:r>
                </w:p>
              </w:tc>
              <w:tc>
                <w:tcPr>
                  <w:tcW w:w="442" w:type="pct"/>
                  <w:tcMar>
                    <w:left w:w="28" w:type="dxa"/>
                    <w:right w:w="28" w:type="dxa"/>
                  </w:tcMar>
                  <w:vAlign w:val="center"/>
                </w:tcPr>
                <w:p w14:paraId="23A9C6A8">
                  <w:pPr>
                    <w:widowControl/>
                    <w:jc w:val="center"/>
                    <w:textAlignment w:val="center"/>
                    <w:rPr>
                      <w:szCs w:val="21"/>
                    </w:rPr>
                  </w:pPr>
                  <w:r>
                    <w:rPr>
                      <w:kern w:val="0"/>
                      <w:szCs w:val="21"/>
                    </w:rPr>
                    <w:t>4.485</w:t>
                  </w:r>
                </w:p>
              </w:tc>
              <w:tc>
                <w:tcPr>
                  <w:tcW w:w="442" w:type="pct"/>
                  <w:tcMar>
                    <w:left w:w="28" w:type="dxa"/>
                    <w:right w:w="28" w:type="dxa"/>
                  </w:tcMar>
                  <w:vAlign w:val="center"/>
                </w:tcPr>
                <w:p w14:paraId="5E2E0336">
                  <w:pPr>
                    <w:jc w:val="center"/>
                    <w:rPr>
                      <w:szCs w:val="21"/>
                    </w:rPr>
                  </w:pPr>
                  <w:r>
                    <w:rPr>
                      <w:szCs w:val="21"/>
                    </w:rPr>
                    <w:t>0.72</w:t>
                  </w:r>
                </w:p>
              </w:tc>
              <w:tc>
                <w:tcPr>
                  <w:tcW w:w="442" w:type="pct"/>
                  <w:vAlign w:val="center"/>
                </w:tcPr>
                <w:p w14:paraId="3221F0E9">
                  <w:pPr>
                    <w:jc w:val="center"/>
                    <w:rPr>
                      <w:szCs w:val="21"/>
                    </w:rPr>
                  </w:pPr>
                  <w:r>
                    <w:rPr>
                      <w:szCs w:val="21"/>
                    </w:rPr>
                    <w:t>0</w:t>
                  </w:r>
                </w:p>
              </w:tc>
              <w:tc>
                <w:tcPr>
                  <w:tcW w:w="442" w:type="pct"/>
                  <w:vAlign w:val="center"/>
                </w:tcPr>
                <w:p w14:paraId="4B1D4F5D">
                  <w:pPr>
                    <w:jc w:val="center"/>
                    <w:rPr>
                      <w:szCs w:val="21"/>
                    </w:rPr>
                  </w:pPr>
                  <w:r>
                    <w:rPr>
                      <w:szCs w:val="21"/>
                    </w:rPr>
                    <w:t>0.72</w:t>
                  </w:r>
                </w:p>
              </w:tc>
              <w:tc>
                <w:tcPr>
                  <w:tcW w:w="538" w:type="pct"/>
                  <w:tcMar>
                    <w:left w:w="28" w:type="dxa"/>
                    <w:right w:w="28" w:type="dxa"/>
                  </w:tcMar>
                  <w:vAlign w:val="center"/>
                </w:tcPr>
                <w:p w14:paraId="1786F7EC">
                  <w:pPr>
                    <w:widowControl/>
                    <w:jc w:val="center"/>
                    <w:textAlignment w:val="center"/>
                    <w:rPr>
                      <w:szCs w:val="21"/>
                    </w:rPr>
                  </w:pPr>
                  <w:r>
                    <w:rPr>
                      <w:kern w:val="0"/>
                      <w:szCs w:val="21"/>
                    </w:rPr>
                    <w:t>1.706</w:t>
                  </w:r>
                </w:p>
              </w:tc>
              <w:tc>
                <w:tcPr>
                  <w:tcW w:w="442" w:type="pct"/>
                  <w:vAlign w:val="center"/>
                </w:tcPr>
                <w:p w14:paraId="57AB988E">
                  <w:pPr>
                    <w:widowControl/>
                    <w:jc w:val="center"/>
                    <w:textAlignment w:val="center"/>
                    <w:rPr>
                      <w:szCs w:val="21"/>
                    </w:rPr>
                  </w:pPr>
                  <w:r>
                    <w:rPr>
                      <w:rFonts w:hint="eastAsia"/>
                      <w:kern w:val="0"/>
                      <w:szCs w:val="21"/>
                    </w:rPr>
                    <w:t>3.499</w:t>
                  </w:r>
                </w:p>
              </w:tc>
              <w:tc>
                <w:tcPr>
                  <w:tcW w:w="512" w:type="pct"/>
                  <w:vAlign w:val="center"/>
                </w:tcPr>
                <w:p w14:paraId="761EFC8D">
                  <w:pPr>
                    <w:widowControl/>
                    <w:jc w:val="center"/>
                    <w:textAlignment w:val="center"/>
                    <w:rPr>
                      <w:szCs w:val="21"/>
                    </w:rPr>
                  </w:pPr>
                  <w:r>
                    <w:rPr>
                      <w:rFonts w:hint="eastAsia"/>
                      <w:szCs w:val="21"/>
                    </w:rPr>
                    <w:t>-0.986</w:t>
                  </w:r>
                </w:p>
              </w:tc>
              <w:tc>
                <w:tcPr>
                  <w:tcW w:w="397" w:type="pct"/>
                  <w:vAlign w:val="center"/>
                </w:tcPr>
                <w:p w14:paraId="14DE06D5">
                  <w:pPr>
                    <w:widowControl/>
                    <w:jc w:val="center"/>
                    <w:textAlignment w:val="center"/>
                    <w:rPr>
                      <w:szCs w:val="21"/>
                    </w:rPr>
                  </w:pPr>
                  <w:r>
                    <w:rPr>
                      <w:kern w:val="0"/>
                      <w:szCs w:val="21"/>
                    </w:rPr>
                    <w:t>0</w:t>
                  </w:r>
                </w:p>
              </w:tc>
            </w:tr>
            <w:tr w14:paraId="62E4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4F2BCB53">
                  <w:pPr>
                    <w:spacing w:line="320" w:lineRule="exact"/>
                    <w:jc w:val="center"/>
                    <w:rPr>
                      <w:szCs w:val="21"/>
                    </w:rPr>
                  </w:pPr>
                </w:p>
              </w:tc>
              <w:tc>
                <w:tcPr>
                  <w:tcW w:w="380" w:type="pct"/>
                  <w:vMerge w:val="continue"/>
                  <w:tcMar>
                    <w:left w:w="28" w:type="dxa"/>
                    <w:right w:w="28" w:type="dxa"/>
                  </w:tcMar>
                  <w:vAlign w:val="center"/>
                </w:tcPr>
                <w:p w14:paraId="46212861">
                  <w:pPr>
                    <w:spacing w:line="320" w:lineRule="exact"/>
                    <w:jc w:val="center"/>
                    <w:rPr>
                      <w:szCs w:val="21"/>
                    </w:rPr>
                  </w:pPr>
                </w:p>
              </w:tc>
              <w:tc>
                <w:tcPr>
                  <w:tcW w:w="644" w:type="pct"/>
                  <w:tcMar>
                    <w:left w:w="28" w:type="dxa"/>
                    <w:right w:w="28" w:type="dxa"/>
                  </w:tcMar>
                  <w:vAlign w:val="center"/>
                </w:tcPr>
                <w:p w14:paraId="71D977D4">
                  <w:pPr>
                    <w:jc w:val="center"/>
                    <w:rPr>
                      <w:szCs w:val="21"/>
                    </w:rPr>
                  </w:pPr>
                  <w:r>
                    <w:rPr>
                      <w:rFonts w:hint="eastAsia"/>
                      <w:szCs w:val="21"/>
                    </w:rPr>
                    <w:t>SS</w:t>
                  </w:r>
                </w:p>
              </w:tc>
              <w:tc>
                <w:tcPr>
                  <w:tcW w:w="442" w:type="pct"/>
                  <w:tcMar>
                    <w:left w:w="28" w:type="dxa"/>
                    <w:right w:w="28" w:type="dxa"/>
                  </w:tcMar>
                  <w:vAlign w:val="center"/>
                </w:tcPr>
                <w:p w14:paraId="3C52CB0D">
                  <w:pPr>
                    <w:widowControl/>
                    <w:jc w:val="center"/>
                    <w:textAlignment w:val="center"/>
                    <w:rPr>
                      <w:szCs w:val="21"/>
                    </w:rPr>
                  </w:pPr>
                  <w:r>
                    <w:rPr>
                      <w:kern w:val="0"/>
                      <w:szCs w:val="21"/>
                    </w:rPr>
                    <w:t>2.246</w:t>
                  </w:r>
                </w:p>
              </w:tc>
              <w:tc>
                <w:tcPr>
                  <w:tcW w:w="442" w:type="pct"/>
                  <w:tcMar>
                    <w:left w:w="28" w:type="dxa"/>
                    <w:right w:w="28" w:type="dxa"/>
                  </w:tcMar>
                  <w:vAlign w:val="center"/>
                </w:tcPr>
                <w:p w14:paraId="1EC4B6DB">
                  <w:pPr>
                    <w:jc w:val="center"/>
                    <w:rPr>
                      <w:szCs w:val="21"/>
                    </w:rPr>
                  </w:pPr>
                  <w:r>
                    <w:rPr>
                      <w:szCs w:val="21"/>
                    </w:rPr>
                    <w:t>0.36</w:t>
                  </w:r>
                </w:p>
              </w:tc>
              <w:tc>
                <w:tcPr>
                  <w:tcW w:w="442" w:type="pct"/>
                  <w:vAlign w:val="center"/>
                </w:tcPr>
                <w:p w14:paraId="543AE1B8">
                  <w:pPr>
                    <w:jc w:val="center"/>
                    <w:rPr>
                      <w:szCs w:val="21"/>
                    </w:rPr>
                  </w:pPr>
                  <w:r>
                    <w:rPr>
                      <w:szCs w:val="21"/>
                    </w:rPr>
                    <w:t>0</w:t>
                  </w:r>
                </w:p>
              </w:tc>
              <w:tc>
                <w:tcPr>
                  <w:tcW w:w="442" w:type="pct"/>
                  <w:vAlign w:val="center"/>
                </w:tcPr>
                <w:p w14:paraId="3E6355BC">
                  <w:pPr>
                    <w:jc w:val="center"/>
                    <w:rPr>
                      <w:szCs w:val="21"/>
                    </w:rPr>
                  </w:pPr>
                  <w:r>
                    <w:rPr>
                      <w:szCs w:val="21"/>
                    </w:rPr>
                    <w:t>0.36</w:t>
                  </w:r>
                </w:p>
              </w:tc>
              <w:tc>
                <w:tcPr>
                  <w:tcW w:w="538" w:type="pct"/>
                  <w:tcMar>
                    <w:left w:w="28" w:type="dxa"/>
                    <w:right w:w="28" w:type="dxa"/>
                  </w:tcMar>
                  <w:vAlign w:val="center"/>
                </w:tcPr>
                <w:p w14:paraId="469C773E">
                  <w:pPr>
                    <w:widowControl/>
                    <w:jc w:val="center"/>
                    <w:textAlignment w:val="center"/>
                    <w:rPr>
                      <w:szCs w:val="21"/>
                    </w:rPr>
                  </w:pPr>
                  <w:r>
                    <w:rPr>
                      <w:kern w:val="0"/>
                      <w:szCs w:val="21"/>
                    </w:rPr>
                    <w:t>0.856</w:t>
                  </w:r>
                </w:p>
              </w:tc>
              <w:tc>
                <w:tcPr>
                  <w:tcW w:w="442" w:type="pct"/>
                  <w:vAlign w:val="center"/>
                </w:tcPr>
                <w:p w14:paraId="46385AD5">
                  <w:pPr>
                    <w:widowControl/>
                    <w:jc w:val="center"/>
                    <w:textAlignment w:val="center"/>
                    <w:rPr>
                      <w:szCs w:val="21"/>
                    </w:rPr>
                  </w:pPr>
                  <w:r>
                    <w:rPr>
                      <w:kern w:val="0"/>
                      <w:szCs w:val="21"/>
                    </w:rPr>
                    <w:t>1.7</w:t>
                  </w:r>
                  <w:r>
                    <w:rPr>
                      <w:rFonts w:hint="eastAsia"/>
                      <w:kern w:val="0"/>
                      <w:szCs w:val="21"/>
                    </w:rPr>
                    <w:t>5</w:t>
                  </w:r>
                </w:p>
              </w:tc>
              <w:tc>
                <w:tcPr>
                  <w:tcW w:w="512" w:type="pct"/>
                  <w:vAlign w:val="center"/>
                </w:tcPr>
                <w:p w14:paraId="109A2EBA">
                  <w:pPr>
                    <w:widowControl/>
                    <w:jc w:val="center"/>
                    <w:textAlignment w:val="center"/>
                    <w:rPr>
                      <w:szCs w:val="21"/>
                    </w:rPr>
                  </w:pPr>
                  <w:r>
                    <w:rPr>
                      <w:rFonts w:hint="eastAsia"/>
                      <w:szCs w:val="21"/>
                    </w:rPr>
                    <w:t>-0.496</w:t>
                  </w:r>
                </w:p>
              </w:tc>
              <w:tc>
                <w:tcPr>
                  <w:tcW w:w="397" w:type="pct"/>
                  <w:vAlign w:val="center"/>
                </w:tcPr>
                <w:p w14:paraId="2BFEDC0F">
                  <w:pPr>
                    <w:widowControl/>
                    <w:jc w:val="center"/>
                    <w:textAlignment w:val="center"/>
                    <w:rPr>
                      <w:szCs w:val="21"/>
                    </w:rPr>
                  </w:pPr>
                  <w:r>
                    <w:rPr>
                      <w:kern w:val="0"/>
                      <w:szCs w:val="21"/>
                    </w:rPr>
                    <w:t>0</w:t>
                  </w:r>
                </w:p>
              </w:tc>
            </w:tr>
            <w:tr w14:paraId="08FB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1500689D">
                  <w:pPr>
                    <w:spacing w:line="320" w:lineRule="exact"/>
                    <w:jc w:val="center"/>
                    <w:rPr>
                      <w:szCs w:val="21"/>
                    </w:rPr>
                  </w:pPr>
                </w:p>
              </w:tc>
              <w:tc>
                <w:tcPr>
                  <w:tcW w:w="380" w:type="pct"/>
                  <w:vMerge w:val="continue"/>
                  <w:tcMar>
                    <w:left w:w="28" w:type="dxa"/>
                    <w:right w:w="28" w:type="dxa"/>
                  </w:tcMar>
                  <w:vAlign w:val="center"/>
                </w:tcPr>
                <w:p w14:paraId="4D828DB4">
                  <w:pPr>
                    <w:spacing w:line="320" w:lineRule="exact"/>
                    <w:jc w:val="center"/>
                    <w:rPr>
                      <w:szCs w:val="21"/>
                    </w:rPr>
                  </w:pPr>
                </w:p>
              </w:tc>
              <w:tc>
                <w:tcPr>
                  <w:tcW w:w="644" w:type="pct"/>
                  <w:tcMar>
                    <w:left w:w="28" w:type="dxa"/>
                    <w:right w:w="28" w:type="dxa"/>
                  </w:tcMar>
                  <w:vAlign w:val="center"/>
                </w:tcPr>
                <w:p w14:paraId="137B6DC2">
                  <w:pPr>
                    <w:jc w:val="center"/>
                    <w:rPr>
                      <w:szCs w:val="21"/>
                    </w:rPr>
                  </w:pPr>
                  <w:r>
                    <w:rPr>
                      <w:rFonts w:hint="eastAsia"/>
                      <w:szCs w:val="21"/>
                    </w:rPr>
                    <w:t>氨氮</w:t>
                  </w:r>
                </w:p>
              </w:tc>
              <w:tc>
                <w:tcPr>
                  <w:tcW w:w="442" w:type="pct"/>
                  <w:tcMar>
                    <w:left w:w="28" w:type="dxa"/>
                    <w:right w:w="28" w:type="dxa"/>
                  </w:tcMar>
                  <w:vAlign w:val="center"/>
                </w:tcPr>
                <w:p w14:paraId="3E9DD2BD">
                  <w:pPr>
                    <w:widowControl/>
                    <w:jc w:val="center"/>
                    <w:textAlignment w:val="center"/>
                    <w:rPr>
                      <w:szCs w:val="21"/>
                    </w:rPr>
                  </w:pPr>
                  <w:r>
                    <w:rPr>
                      <w:kern w:val="0"/>
                      <w:szCs w:val="21"/>
                    </w:rPr>
                    <w:t>0.278</w:t>
                  </w:r>
                </w:p>
              </w:tc>
              <w:tc>
                <w:tcPr>
                  <w:tcW w:w="442" w:type="pct"/>
                  <w:tcMar>
                    <w:left w:w="28" w:type="dxa"/>
                    <w:right w:w="28" w:type="dxa"/>
                  </w:tcMar>
                  <w:vAlign w:val="center"/>
                </w:tcPr>
                <w:p w14:paraId="20DB2D49">
                  <w:pPr>
                    <w:jc w:val="center"/>
                    <w:rPr>
                      <w:szCs w:val="21"/>
                    </w:rPr>
                  </w:pPr>
                  <w:r>
                    <w:rPr>
                      <w:szCs w:val="21"/>
                    </w:rPr>
                    <w:t>0.072</w:t>
                  </w:r>
                </w:p>
              </w:tc>
              <w:tc>
                <w:tcPr>
                  <w:tcW w:w="442" w:type="pct"/>
                  <w:vAlign w:val="center"/>
                </w:tcPr>
                <w:p w14:paraId="5EAA307D">
                  <w:pPr>
                    <w:jc w:val="center"/>
                    <w:rPr>
                      <w:szCs w:val="21"/>
                    </w:rPr>
                  </w:pPr>
                  <w:r>
                    <w:rPr>
                      <w:szCs w:val="21"/>
                    </w:rPr>
                    <w:t>0</w:t>
                  </w:r>
                </w:p>
              </w:tc>
              <w:tc>
                <w:tcPr>
                  <w:tcW w:w="442" w:type="pct"/>
                  <w:vAlign w:val="center"/>
                </w:tcPr>
                <w:p w14:paraId="704EF7DA">
                  <w:pPr>
                    <w:jc w:val="center"/>
                    <w:rPr>
                      <w:szCs w:val="21"/>
                    </w:rPr>
                  </w:pPr>
                  <w:r>
                    <w:rPr>
                      <w:szCs w:val="21"/>
                    </w:rPr>
                    <w:t>0.072</w:t>
                  </w:r>
                </w:p>
              </w:tc>
              <w:tc>
                <w:tcPr>
                  <w:tcW w:w="538" w:type="pct"/>
                  <w:tcMar>
                    <w:left w:w="28" w:type="dxa"/>
                    <w:right w:w="28" w:type="dxa"/>
                  </w:tcMar>
                  <w:vAlign w:val="center"/>
                </w:tcPr>
                <w:p w14:paraId="3AD3B536">
                  <w:pPr>
                    <w:widowControl/>
                    <w:jc w:val="center"/>
                    <w:textAlignment w:val="center"/>
                    <w:rPr>
                      <w:szCs w:val="21"/>
                    </w:rPr>
                  </w:pPr>
                  <w:r>
                    <w:rPr>
                      <w:kern w:val="0"/>
                      <w:szCs w:val="21"/>
                    </w:rPr>
                    <w:t>0</w:t>
                  </w:r>
                </w:p>
              </w:tc>
              <w:tc>
                <w:tcPr>
                  <w:tcW w:w="442" w:type="pct"/>
                  <w:vAlign w:val="center"/>
                </w:tcPr>
                <w:p w14:paraId="03B2288F">
                  <w:pPr>
                    <w:widowControl/>
                    <w:jc w:val="center"/>
                    <w:textAlignment w:val="center"/>
                    <w:rPr>
                      <w:szCs w:val="21"/>
                    </w:rPr>
                  </w:pPr>
                  <w:r>
                    <w:rPr>
                      <w:kern w:val="0"/>
                      <w:szCs w:val="21"/>
                    </w:rPr>
                    <w:t>0.35</w:t>
                  </w:r>
                </w:p>
              </w:tc>
              <w:tc>
                <w:tcPr>
                  <w:tcW w:w="512" w:type="pct"/>
                  <w:vAlign w:val="center"/>
                </w:tcPr>
                <w:p w14:paraId="3E89409A">
                  <w:pPr>
                    <w:widowControl/>
                    <w:jc w:val="center"/>
                    <w:textAlignment w:val="center"/>
                    <w:rPr>
                      <w:szCs w:val="21"/>
                    </w:rPr>
                  </w:pPr>
                  <w:r>
                    <w:rPr>
                      <w:kern w:val="0"/>
                      <w:szCs w:val="21"/>
                    </w:rPr>
                    <w:t>0.072</w:t>
                  </w:r>
                </w:p>
              </w:tc>
              <w:tc>
                <w:tcPr>
                  <w:tcW w:w="397" w:type="pct"/>
                  <w:vAlign w:val="center"/>
                </w:tcPr>
                <w:p w14:paraId="7533B646">
                  <w:pPr>
                    <w:widowControl/>
                    <w:jc w:val="center"/>
                    <w:textAlignment w:val="center"/>
                    <w:rPr>
                      <w:szCs w:val="21"/>
                    </w:rPr>
                  </w:pPr>
                  <w:r>
                    <w:rPr>
                      <w:kern w:val="0"/>
                      <w:szCs w:val="21"/>
                    </w:rPr>
                    <w:t>0.072</w:t>
                  </w:r>
                </w:p>
              </w:tc>
            </w:tr>
            <w:tr w14:paraId="70CF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074D135D">
                  <w:pPr>
                    <w:spacing w:line="320" w:lineRule="exact"/>
                    <w:jc w:val="center"/>
                    <w:rPr>
                      <w:szCs w:val="21"/>
                    </w:rPr>
                  </w:pPr>
                </w:p>
              </w:tc>
              <w:tc>
                <w:tcPr>
                  <w:tcW w:w="380" w:type="pct"/>
                  <w:vMerge w:val="continue"/>
                  <w:tcMar>
                    <w:left w:w="28" w:type="dxa"/>
                    <w:right w:w="28" w:type="dxa"/>
                  </w:tcMar>
                  <w:vAlign w:val="center"/>
                </w:tcPr>
                <w:p w14:paraId="4075E360">
                  <w:pPr>
                    <w:spacing w:line="320" w:lineRule="exact"/>
                    <w:jc w:val="center"/>
                    <w:rPr>
                      <w:szCs w:val="21"/>
                    </w:rPr>
                  </w:pPr>
                </w:p>
              </w:tc>
              <w:tc>
                <w:tcPr>
                  <w:tcW w:w="644" w:type="pct"/>
                  <w:tcMar>
                    <w:left w:w="28" w:type="dxa"/>
                    <w:right w:w="28" w:type="dxa"/>
                  </w:tcMar>
                  <w:vAlign w:val="center"/>
                </w:tcPr>
                <w:p w14:paraId="403FD2D9">
                  <w:pPr>
                    <w:jc w:val="center"/>
                    <w:rPr>
                      <w:szCs w:val="21"/>
                    </w:rPr>
                  </w:pPr>
                  <w:r>
                    <w:rPr>
                      <w:rFonts w:hint="eastAsia"/>
                      <w:szCs w:val="21"/>
                    </w:rPr>
                    <w:t>TN</w:t>
                  </w:r>
                </w:p>
              </w:tc>
              <w:tc>
                <w:tcPr>
                  <w:tcW w:w="442" w:type="pct"/>
                  <w:tcMar>
                    <w:left w:w="28" w:type="dxa"/>
                    <w:right w:w="28" w:type="dxa"/>
                  </w:tcMar>
                  <w:vAlign w:val="center"/>
                </w:tcPr>
                <w:p w14:paraId="594C3418">
                  <w:pPr>
                    <w:widowControl/>
                    <w:jc w:val="center"/>
                    <w:textAlignment w:val="center"/>
                    <w:rPr>
                      <w:szCs w:val="21"/>
                    </w:rPr>
                  </w:pPr>
                  <w:r>
                    <w:rPr>
                      <w:kern w:val="0"/>
                      <w:szCs w:val="21"/>
                    </w:rPr>
                    <w:t>0.37</w:t>
                  </w:r>
                </w:p>
              </w:tc>
              <w:tc>
                <w:tcPr>
                  <w:tcW w:w="442" w:type="pct"/>
                  <w:tcMar>
                    <w:left w:w="28" w:type="dxa"/>
                    <w:right w:w="28" w:type="dxa"/>
                  </w:tcMar>
                  <w:vAlign w:val="center"/>
                </w:tcPr>
                <w:p w14:paraId="07DDEE5B">
                  <w:pPr>
                    <w:jc w:val="center"/>
                    <w:rPr>
                      <w:szCs w:val="21"/>
                    </w:rPr>
                  </w:pPr>
                  <w:r>
                    <w:rPr>
                      <w:szCs w:val="21"/>
                    </w:rPr>
                    <w:t>0.096</w:t>
                  </w:r>
                </w:p>
              </w:tc>
              <w:tc>
                <w:tcPr>
                  <w:tcW w:w="442" w:type="pct"/>
                  <w:vAlign w:val="center"/>
                </w:tcPr>
                <w:p w14:paraId="72823466">
                  <w:pPr>
                    <w:jc w:val="center"/>
                    <w:rPr>
                      <w:szCs w:val="21"/>
                    </w:rPr>
                  </w:pPr>
                  <w:r>
                    <w:rPr>
                      <w:szCs w:val="21"/>
                    </w:rPr>
                    <w:t>0</w:t>
                  </w:r>
                </w:p>
              </w:tc>
              <w:tc>
                <w:tcPr>
                  <w:tcW w:w="442" w:type="pct"/>
                  <w:vAlign w:val="center"/>
                </w:tcPr>
                <w:p w14:paraId="5AE50912">
                  <w:pPr>
                    <w:jc w:val="center"/>
                    <w:rPr>
                      <w:szCs w:val="21"/>
                    </w:rPr>
                  </w:pPr>
                  <w:r>
                    <w:rPr>
                      <w:szCs w:val="21"/>
                    </w:rPr>
                    <w:t>0.096</w:t>
                  </w:r>
                </w:p>
              </w:tc>
              <w:tc>
                <w:tcPr>
                  <w:tcW w:w="538" w:type="pct"/>
                  <w:tcMar>
                    <w:left w:w="28" w:type="dxa"/>
                    <w:right w:w="28" w:type="dxa"/>
                  </w:tcMar>
                  <w:vAlign w:val="center"/>
                </w:tcPr>
                <w:p w14:paraId="5371D8D7">
                  <w:pPr>
                    <w:widowControl/>
                    <w:jc w:val="center"/>
                    <w:textAlignment w:val="center"/>
                    <w:rPr>
                      <w:szCs w:val="21"/>
                    </w:rPr>
                  </w:pPr>
                  <w:r>
                    <w:rPr>
                      <w:kern w:val="0"/>
                      <w:szCs w:val="21"/>
                    </w:rPr>
                    <w:t>0</w:t>
                  </w:r>
                </w:p>
              </w:tc>
              <w:tc>
                <w:tcPr>
                  <w:tcW w:w="442" w:type="pct"/>
                  <w:vAlign w:val="center"/>
                </w:tcPr>
                <w:p w14:paraId="321ACFEB">
                  <w:pPr>
                    <w:widowControl/>
                    <w:jc w:val="center"/>
                    <w:textAlignment w:val="center"/>
                    <w:rPr>
                      <w:szCs w:val="21"/>
                    </w:rPr>
                  </w:pPr>
                  <w:r>
                    <w:rPr>
                      <w:kern w:val="0"/>
                      <w:szCs w:val="21"/>
                    </w:rPr>
                    <w:t>0.466</w:t>
                  </w:r>
                </w:p>
              </w:tc>
              <w:tc>
                <w:tcPr>
                  <w:tcW w:w="512" w:type="pct"/>
                  <w:vAlign w:val="center"/>
                </w:tcPr>
                <w:p w14:paraId="33D0F474">
                  <w:pPr>
                    <w:widowControl/>
                    <w:jc w:val="center"/>
                    <w:textAlignment w:val="center"/>
                    <w:rPr>
                      <w:szCs w:val="21"/>
                    </w:rPr>
                  </w:pPr>
                  <w:r>
                    <w:rPr>
                      <w:kern w:val="0"/>
                      <w:szCs w:val="21"/>
                    </w:rPr>
                    <w:t>0.096</w:t>
                  </w:r>
                </w:p>
              </w:tc>
              <w:tc>
                <w:tcPr>
                  <w:tcW w:w="397" w:type="pct"/>
                  <w:vAlign w:val="center"/>
                </w:tcPr>
                <w:p w14:paraId="78E3DBD6">
                  <w:pPr>
                    <w:widowControl/>
                    <w:jc w:val="center"/>
                    <w:textAlignment w:val="center"/>
                    <w:rPr>
                      <w:szCs w:val="21"/>
                    </w:rPr>
                  </w:pPr>
                  <w:r>
                    <w:rPr>
                      <w:kern w:val="0"/>
                      <w:szCs w:val="21"/>
                    </w:rPr>
                    <w:t>0.096</w:t>
                  </w:r>
                </w:p>
              </w:tc>
            </w:tr>
            <w:tr w14:paraId="5E87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72BBDA18">
                  <w:pPr>
                    <w:spacing w:line="320" w:lineRule="exact"/>
                    <w:jc w:val="center"/>
                    <w:rPr>
                      <w:szCs w:val="21"/>
                    </w:rPr>
                  </w:pPr>
                </w:p>
              </w:tc>
              <w:tc>
                <w:tcPr>
                  <w:tcW w:w="380" w:type="pct"/>
                  <w:vMerge w:val="continue"/>
                  <w:tcMar>
                    <w:left w:w="28" w:type="dxa"/>
                    <w:right w:w="28" w:type="dxa"/>
                  </w:tcMar>
                  <w:vAlign w:val="center"/>
                </w:tcPr>
                <w:p w14:paraId="633FC318">
                  <w:pPr>
                    <w:spacing w:line="320" w:lineRule="exact"/>
                    <w:jc w:val="center"/>
                    <w:rPr>
                      <w:szCs w:val="21"/>
                    </w:rPr>
                  </w:pPr>
                </w:p>
              </w:tc>
              <w:tc>
                <w:tcPr>
                  <w:tcW w:w="644" w:type="pct"/>
                  <w:tcMar>
                    <w:left w:w="28" w:type="dxa"/>
                    <w:right w:w="28" w:type="dxa"/>
                  </w:tcMar>
                  <w:vAlign w:val="center"/>
                </w:tcPr>
                <w:p w14:paraId="26B68AC0">
                  <w:pPr>
                    <w:jc w:val="center"/>
                    <w:rPr>
                      <w:szCs w:val="21"/>
                    </w:rPr>
                  </w:pPr>
                  <w:r>
                    <w:rPr>
                      <w:rFonts w:hint="eastAsia"/>
                      <w:szCs w:val="21"/>
                    </w:rPr>
                    <w:t>TP</w:t>
                  </w:r>
                </w:p>
              </w:tc>
              <w:tc>
                <w:tcPr>
                  <w:tcW w:w="442" w:type="pct"/>
                  <w:tcMar>
                    <w:left w:w="28" w:type="dxa"/>
                    <w:right w:w="28" w:type="dxa"/>
                  </w:tcMar>
                  <w:vAlign w:val="center"/>
                </w:tcPr>
                <w:p w14:paraId="238CD99B">
                  <w:pPr>
                    <w:widowControl/>
                    <w:jc w:val="center"/>
                    <w:textAlignment w:val="center"/>
                    <w:rPr>
                      <w:szCs w:val="21"/>
                    </w:rPr>
                  </w:pPr>
                  <w:r>
                    <w:rPr>
                      <w:kern w:val="0"/>
                      <w:szCs w:val="21"/>
                    </w:rPr>
                    <w:t>0.0086</w:t>
                  </w:r>
                </w:p>
              </w:tc>
              <w:tc>
                <w:tcPr>
                  <w:tcW w:w="442" w:type="pct"/>
                  <w:tcMar>
                    <w:left w:w="28" w:type="dxa"/>
                    <w:right w:w="28" w:type="dxa"/>
                  </w:tcMar>
                  <w:vAlign w:val="center"/>
                </w:tcPr>
                <w:p w14:paraId="6171BA4B">
                  <w:pPr>
                    <w:jc w:val="center"/>
                    <w:rPr>
                      <w:szCs w:val="21"/>
                    </w:rPr>
                  </w:pPr>
                  <w:r>
                    <w:rPr>
                      <w:szCs w:val="21"/>
                    </w:rPr>
                    <w:t xml:space="preserve">0.002 </w:t>
                  </w:r>
                </w:p>
              </w:tc>
              <w:tc>
                <w:tcPr>
                  <w:tcW w:w="442" w:type="pct"/>
                  <w:vAlign w:val="center"/>
                </w:tcPr>
                <w:p w14:paraId="092415BC">
                  <w:pPr>
                    <w:jc w:val="center"/>
                    <w:rPr>
                      <w:szCs w:val="21"/>
                    </w:rPr>
                  </w:pPr>
                  <w:r>
                    <w:rPr>
                      <w:szCs w:val="21"/>
                    </w:rPr>
                    <w:t>0</w:t>
                  </w:r>
                </w:p>
              </w:tc>
              <w:tc>
                <w:tcPr>
                  <w:tcW w:w="442" w:type="pct"/>
                  <w:vAlign w:val="center"/>
                </w:tcPr>
                <w:p w14:paraId="00993D9C">
                  <w:pPr>
                    <w:jc w:val="center"/>
                    <w:rPr>
                      <w:szCs w:val="21"/>
                    </w:rPr>
                  </w:pPr>
                  <w:r>
                    <w:rPr>
                      <w:szCs w:val="21"/>
                    </w:rPr>
                    <w:t xml:space="preserve">0.002 </w:t>
                  </w:r>
                </w:p>
              </w:tc>
              <w:tc>
                <w:tcPr>
                  <w:tcW w:w="538" w:type="pct"/>
                  <w:tcMar>
                    <w:left w:w="28" w:type="dxa"/>
                    <w:right w:w="28" w:type="dxa"/>
                  </w:tcMar>
                  <w:vAlign w:val="center"/>
                </w:tcPr>
                <w:p w14:paraId="592C7B70">
                  <w:pPr>
                    <w:widowControl/>
                    <w:jc w:val="center"/>
                    <w:textAlignment w:val="center"/>
                    <w:rPr>
                      <w:szCs w:val="21"/>
                    </w:rPr>
                  </w:pPr>
                  <w:r>
                    <w:rPr>
                      <w:kern w:val="0"/>
                      <w:szCs w:val="21"/>
                    </w:rPr>
                    <w:t>0</w:t>
                  </w:r>
                </w:p>
              </w:tc>
              <w:tc>
                <w:tcPr>
                  <w:tcW w:w="442" w:type="pct"/>
                  <w:vAlign w:val="center"/>
                </w:tcPr>
                <w:p w14:paraId="1E02AD98">
                  <w:pPr>
                    <w:widowControl/>
                    <w:jc w:val="center"/>
                    <w:textAlignment w:val="center"/>
                    <w:rPr>
                      <w:szCs w:val="21"/>
                    </w:rPr>
                  </w:pPr>
                  <w:r>
                    <w:rPr>
                      <w:kern w:val="0"/>
                      <w:szCs w:val="21"/>
                    </w:rPr>
                    <w:t>0.0106</w:t>
                  </w:r>
                </w:p>
              </w:tc>
              <w:tc>
                <w:tcPr>
                  <w:tcW w:w="512" w:type="pct"/>
                  <w:vAlign w:val="center"/>
                </w:tcPr>
                <w:p w14:paraId="0A16A719">
                  <w:pPr>
                    <w:widowControl/>
                    <w:jc w:val="center"/>
                    <w:textAlignment w:val="center"/>
                    <w:rPr>
                      <w:szCs w:val="21"/>
                    </w:rPr>
                  </w:pPr>
                  <w:r>
                    <w:rPr>
                      <w:kern w:val="0"/>
                      <w:szCs w:val="21"/>
                    </w:rPr>
                    <w:t>0.002</w:t>
                  </w:r>
                </w:p>
              </w:tc>
              <w:tc>
                <w:tcPr>
                  <w:tcW w:w="397" w:type="pct"/>
                  <w:vAlign w:val="center"/>
                </w:tcPr>
                <w:p w14:paraId="1D9621BD">
                  <w:pPr>
                    <w:widowControl/>
                    <w:jc w:val="center"/>
                    <w:textAlignment w:val="center"/>
                    <w:rPr>
                      <w:szCs w:val="21"/>
                    </w:rPr>
                  </w:pPr>
                  <w:r>
                    <w:rPr>
                      <w:kern w:val="0"/>
                      <w:szCs w:val="21"/>
                    </w:rPr>
                    <w:t>0.002</w:t>
                  </w:r>
                </w:p>
              </w:tc>
            </w:tr>
            <w:tr w14:paraId="2119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3EE57B3A">
                  <w:pPr>
                    <w:spacing w:line="320" w:lineRule="exact"/>
                    <w:jc w:val="center"/>
                    <w:rPr>
                      <w:szCs w:val="21"/>
                    </w:rPr>
                  </w:pPr>
                </w:p>
              </w:tc>
              <w:tc>
                <w:tcPr>
                  <w:tcW w:w="380" w:type="pct"/>
                  <w:vMerge w:val="continue"/>
                  <w:tcMar>
                    <w:left w:w="28" w:type="dxa"/>
                    <w:right w:w="28" w:type="dxa"/>
                  </w:tcMar>
                  <w:vAlign w:val="center"/>
                </w:tcPr>
                <w:p w14:paraId="3CFECD20">
                  <w:pPr>
                    <w:spacing w:line="320" w:lineRule="exact"/>
                    <w:jc w:val="center"/>
                    <w:rPr>
                      <w:szCs w:val="21"/>
                    </w:rPr>
                  </w:pPr>
                </w:p>
              </w:tc>
              <w:tc>
                <w:tcPr>
                  <w:tcW w:w="644" w:type="pct"/>
                  <w:tcMar>
                    <w:left w:w="28" w:type="dxa"/>
                    <w:right w:w="28" w:type="dxa"/>
                  </w:tcMar>
                  <w:vAlign w:val="center"/>
                </w:tcPr>
                <w:p w14:paraId="1C7FEA5B">
                  <w:pPr>
                    <w:jc w:val="center"/>
                    <w:rPr>
                      <w:szCs w:val="21"/>
                    </w:rPr>
                  </w:pPr>
                  <w:r>
                    <w:rPr>
                      <w:rFonts w:hint="eastAsia"/>
                      <w:szCs w:val="21"/>
                    </w:rPr>
                    <w:t>石油类</w:t>
                  </w:r>
                </w:p>
              </w:tc>
              <w:tc>
                <w:tcPr>
                  <w:tcW w:w="442" w:type="pct"/>
                  <w:tcMar>
                    <w:left w:w="28" w:type="dxa"/>
                    <w:right w:w="28" w:type="dxa"/>
                  </w:tcMar>
                  <w:vAlign w:val="center"/>
                </w:tcPr>
                <w:p w14:paraId="13AFC2D1">
                  <w:pPr>
                    <w:widowControl/>
                    <w:jc w:val="center"/>
                    <w:textAlignment w:val="center"/>
                    <w:rPr>
                      <w:szCs w:val="21"/>
                    </w:rPr>
                  </w:pPr>
                  <w:r>
                    <w:rPr>
                      <w:kern w:val="0"/>
                      <w:szCs w:val="21"/>
                    </w:rPr>
                    <w:t>0.093</w:t>
                  </w:r>
                </w:p>
              </w:tc>
              <w:tc>
                <w:tcPr>
                  <w:tcW w:w="442" w:type="pct"/>
                  <w:tcMar>
                    <w:left w:w="28" w:type="dxa"/>
                    <w:right w:w="28" w:type="dxa"/>
                  </w:tcMar>
                  <w:vAlign w:val="center"/>
                </w:tcPr>
                <w:p w14:paraId="7E52702A">
                  <w:pPr>
                    <w:jc w:val="center"/>
                    <w:rPr>
                      <w:szCs w:val="21"/>
                    </w:rPr>
                  </w:pPr>
                  <w:r>
                    <w:rPr>
                      <w:szCs w:val="21"/>
                    </w:rPr>
                    <w:t>0.024</w:t>
                  </w:r>
                </w:p>
              </w:tc>
              <w:tc>
                <w:tcPr>
                  <w:tcW w:w="442" w:type="pct"/>
                  <w:vAlign w:val="center"/>
                </w:tcPr>
                <w:p w14:paraId="6C256D5A">
                  <w:pPr>
                    <w:jc w:val="center"/>
                    <w:rPr>
                      <w:szCs w:val="21"/>
                    </w:rPr>
                  </w:pPr>
                  <w:r>
                    <w:rPr>
                      <w:szCs w:val="21"/>
                    </w:rPr>
                    <w:t>0</w:t>
                  </w:r>
                </w:p>
              </w:tc>
              <w:tc>
                <w:tcPr>
                  <w:tcW w:w="442" w:type="pct"/>
                  <w:vAlign w:val="center"/>
                </w:tcPr>
                <w:p w14:paraId="4E4AF3B0">
                  <w:pPr>
                    <w:jc w:val="center"/>
                    <w:rPr>
                      <w:szCs w:val="21"/>
                    </w:rPr>
                  </w:pPr>
                  <w:r>
                    <w:rPr>
                      <w:szCs w:val="21"/>
                    </w:rPr>
                    <w:t>0.024</w:t>
                  </w:r>
                </w:p>
              </w:tc>
              <w:tc>
                <w:tcPr>
                  <w:tcW w:w="538" w:type="pct"/>
                  <w:tcMar>
                    <w:left w:w="28" w:type="dxa"/>
                    <w:right w:w="28" w:type="dxa"/>
                  </w:tcMar>
                  <w:vAlign w:val="center"/>
                </w:tcPr>
                <w:p w14:paraId="2AE79CC0">
                  <w:pPr>
                    <w:widowControl/>
                    <w:jc w:val="center"/>
                    <w:textAlignment w:val="center"/>
                    <w:rPr>
                      <w:szCs w:val="21"/>
                    </w:rPr>
                  </w:pPr>
                  <w:r>
                    <w:rPr>
                      <w:kern w:val="0"/>
                      <w:szCs w:val="21"/>
                    </w:rPr>
                    <w:t>0</w:t>
                  </w:r>
                </w:p>
              </w:tc>
              <w:tc>
                <w:tcPr>
                  <w:tcW w:w="442" w:type="pct"/>
                  <w:vAlign w:val="center"/>
                </w:tcPr>
                <w:p w14:paraId="36D9A9E6">
                  <w:pPr>
                    <w:widowControl/>
                    <w:jc w:val="center"/>
                    <w:textAlignment w:val="center"/>
                    <w:rPr>
                      <w:szCs w:val="21"/>
                    </w:rPr>
                  </w:pPr>
                  <w:r>
                    <w:rPr>
                      <w:kern w:val="0"/>
                      <w:szCs w:val="21"/>
                    </w:rPr>
                    <w:t>0.117</w:t>
                  </w:r>
                </w:p>
              </w:tc>
              <w:tc>
                <w:tcPr>
                  <w:tcW w:w="512" w:type="pct"/>
                  <w:vAlign w:val="center"/>
                </w:tcPr>
                <w:p w14:paraId="544E6425">
                  <w:pPr>
                    <w:widowControl/>
                    <w:jc w:val="center"/>
                    <w:textAlignment w:val="center"/>
                    <w:rPr>
                      <w:szCs w:val="21"/>
                    </w:rPr>
                  </w:pPr>
                  <w:r>
                    <w:rPr>
                      <w:kern w:val="0"/>
                      <w:szCs w:val="21"/>
                    </w:rPr>
                    <w:t>0.024</w:t>
                  </w:r>
                </w:p>
              </w:tc>
              <w:tc>
                <w:tcPr>
                  <w:tcW w:w="397" w:type="pct"/>
                  <w:vAlign w:val="center"/>
                </w:tcPr>
                <w:p w14:paraId="58ECE31C">
                  <w:pPr>
                    <w:widowControl/>
                    <w:jc w:val="center"/>
                    <w:textAlignment w:val="center"/>
                    <w:rPr>
                      <w:szCs w:val="21"/>
                    </w:rPr>
                  </w:pPr>
                  <w:r>
                    <w:rPr>
                      <w:kern w:val="0"/>
                      <w:szCs w:val="21"/>
                    </w:rPr>
                    <w:t>0.024</w:t>
                  </w:r>
                </w:p>
              </w:tc>
            </w:tr>
            <w:tr w14:paraId="1531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4DD5DDC0">
                  <w:pPr>
                    <w:spacing w:line="320" w:lineRule="exact"/>
                    <w:jc w:val="center"/>
                    <w:rPr>
                      <w:szCs w:val="21"/>
                    </w:rPr>
                  </w:pPr>
                </w:p>
              </w:tc>
              <w:tc>
                <w:tcPr>
                  <w:tcW w:w="380" w:type="pct"/>
                  <w:vMerge w:val="continue"/>
                  <w:tcMar>
                    <w:left w:w="28" w:type="dxa"/>
                    <w:right w:w="28" w:type="dxa"/>
                  </w:tcMar>
                  <w:vAlign w:val="center"/>
                </w:tcPr>
                <w:p w14:paraId="0B032B33">
                  <w:pPr>
                    <w:spacing w:line="320" w:lineRule="exact"/>
                    <w:jc w:val="center"/>
                    <w:rPr>
                      <w:szCs w:val="21"/>
                    </w:rPr>
                  </w:pPr>
                </w:p>
              </w:tc>
              <w:tc>
                <w:tcPr>
                  <w:tcW w:w="644" w:type="pct"/>
                  <w:tcMar>
                    <w:left w:w="28" w:type="dxa"/>
                    <w:right w:w="28" w:type="dxa"/>
                  </w:tcMar>
                  <w:vAlign w:val="center"/>
                </w:tcPr>
                <w:p w14:paraId="3F0CF1E7">
                  <w:pPr>
                    <w:jc w:val="center"/>
                    <w:rPr>
                      <w:szCs w:val="21"/>
                    </w:rPr>
                  </w:pPr>
                  <w:r>
                    <w:rPr>
                      <w:rFonts w:hint="eastAsia"/>
                      <w:szCs w:val="21"/>
                    </w:rPr>
                    <w:t>动植物油</w:t>
                  </w:r>
                </w:p>
              </w:tc>
              <w:tc>
                <w:tcPr>
                  <w:tcW w:w="442" w:type="pct"/>
                  <w:tcMar>
                    <w:left w:w="28" w:type="dxa"/>
                    <w:right w:w="28" w:type="dxa"/>
                  </w:tcMar>
                  <w:vAlign w:val="center"/>
                </w:tcPr>
                <w:p w14:paraId="074C41C3">
                  <w:pPr>
                    <w:widowControl/>
                    <w:jc w:val="center"/>
                    <w:textAlignment w:val="center"/>
                    <w:rPr>
                      <w:szCs w:val="21"/>
                    </w:rPr>
                  </w:pPr>
                  <w:r>
                    <w:rPr>
                      <w:kern w:val="0"/>
                      <w:szCs w:val="21"/>
                    </w:rPr>
                    <w:t>0.926</w:t>
                  </w:r>
                </w:p>
              </w:tc>
              <w:tc>
                <w:tcPr>
                  <w:tcW w:w="442" w:type="pct"/>
                  <w:tcMar>
                    <w:left w:w="28" w:type="dxa"/>
                    <w:right w:w="28" w:type="dxa"/>
                  </w:tcMar>
                  <w:vAlign w:val="center"/>
                </w:tcPr>
                <w:p w14:paraId="049CADC6">
                  <w:pPr>
                    <w:jc w:val="center"/>
                    <w:rPr>
                      <w:szCs w:val="21"/>
                    </w:rPr>
                  </w:pPr>
                  <w:r>
                    <w:rPr>
                      <w:szCs w:val="21"/>
                    </w:rPr>
                    <w:t>0.24</w:t>
                  </w:r>
                </w:p>
              </w:tc>
              <w:tc>
                <w:tcPr>
                  <w:tcW w:w="442" w:type="pct"/>
                  <w:vAlign w:val="center"/>
                </w:tcPr>
                <w:p w14:paraId="294622B8">
                  <w:pPr>
                    <w:jc w:val="center"/>
                    <w:rPr>
                      <w:szCs w:val="21"/>
                    </w:rPr>
                  </w:pPr>
                  <w:r>
                    <w:rPr>
                      <w:rFonts w:hint="eastAsia"/>
                      <w:szCs w:val="21"/>
                    </w:rPr>
                    <w:t>0.12</w:t>
                  </w:r>
                </w:p>
              </w:tc>
              <w:tc>
                <w:tcPr>
                  <w:tcW w:w="442" w:type="pct"/>
                  <w:vAlign w:val="center"/>
                </w:tcPr>
                <w:p w14:paraId="6466305C">
                  <w:pPr>
                    <w:jc w:val="center"/>
                    <w:rPr>
                      <w:szCs w:val="21"/>
                    </w:rPr>
                  </w:pPr>
                  <w:r>
                    <w:rPr>
                      <w:szCs w:val="21"/>
                    </w:rPr>
                    <w:t>0.12</w:t>
                  </w:r>
                </w:p>
              </w:tc>
              <w:tc>
                <w:tcPr>
                  <w:tcW w:w="538" w:type="pct"/>
                  <w:tcMar>
                    <w:left w:w="28" w:type="dxa"/>
                    <w:right w:w="28" w:type="dxa"/>
                  </w:tcMar>
                  <w:vAlign w:val="center"/>
                </w:tcPr>
                <w:p w14:paraId="5B432050">
                  <w:pPr>
                    <w:widowControl/>
                    <w:jc w:val="center"/>
                    <w:textAlignment w:val="center"/>
                    <w:rPr>
                      <w:szCs w:val="21"/>
                    </w:rPr>
                  </w:pPr>
                  <w:r>
                    <w:rPr>
                      <w:kern w:val="0"/>
                      <w:szCs w:val="21"/>
                    </w:rPr>
                    <w:t>0</w:t>
                  </w:r>
                </w:p>
              </w:tc>
              <w:tc>
                <w:tcPr>
                  <w:tcW w:w="442" w:type="pct"/>
                  <w:vAlign w:val="center"/>
                </w:tcPr>
                <w:p w14:paraId="789DD83B">
                  <w:pPr>
                    <w:widowControl/>
                    <w:jc w:val="center"/>
                    <w:textAlignment w:val="center"/>
                    <w:rPr>
                      <w:szCs w:val="21"/>
                    </w:rPr>
                  </w:pPr>
                  <w:r>
                    <w:rPr>
                      <w:kern w:val="0"/>
                      <w:szCs w:val="21"/>
                    </w:rPr>
                    <w:t>1.046</w:t>
                  </w:r>
                </w:p>
              </w:tc>
              <w:tc>
                <w:tcPr>
                  <w:tcW w:w="512" w:type="pct"/>
                  <w:vAlign w:val="center"/>
                </w:tcPr>
                <w:p w14:paraId="306B9F75">
                  <w:pPr>
                    <w:widowControl/>
                    <w:jc w:val="center"/>
                    <w:textAlignment w:val="center"/>
                    <w:rPr>
                      <w:szCs w:val="21"/>
                    </w:rPr>
                  </w:pPr>
                  <w:r>
                    <w:rPr>
                      <w:kern w:val="0"/>
                      <w:szCs w:val="21"/>
                    </w:rPr>
                    <w:t>0.12</w:t>
                  </w:r>
                </w:p>
              </w:tc>
              <w:tc>
                <w:tcPr>
                  <w:tcW w:w="397" w:type="pct"/>
                  <w:vAlign w:val="center"/>
                </w:tcPr>
                <w:p w14:paraId="0DE66F56">
                  <w:pPr>
                    <w:widowControl/>
                    <w:jc w:val="center"/>
                    <w:textAlignment w:val="center"/>
                    <w:rPr>
                      <w:szCs w:val="21"/>
                    </w:rPr>
                  </w:pPr>
                  <w:r>
                    <w:rPr>
                      <w:kern w:val="0"/>
                      <w:szCs w:val="21"/>
                    </w:rPr>
                    <w:t>0.12</w:t>
                  </w:r>
                </w:p>
              </w:tc>
            </w:tr>
            <w:tr w14:paraId="6435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restart"/>
                  <w:tcMar>
                    <w:left w:w="28" w:type="dxa"/>
                    <w:right w:w="28" w:type="dxa"/>
                  </w:tcMar>
                  <w:vAlign w:val="center"/>
                </w:tcPr>
                <w:p w14:paraId="5A34FBDD">
                  <w:pPr>
                    <w:spacing w:line="320" w:lineRule="exact"/>
                    <w:jc w:val="center"/>
                    <w:rPr>
                      <w:szCs w:val="21"/>
                    </w:rPr>
                  </w:pPr>
                  <w:r>
                    <w:rPr>
                      <w:szCs w:val="21"/>
                    </w:rPr>
                    <w:t>废气</w:t>
                  </w:r>
                </w:p>
              </w:tc>
              <w:tc>
                <w:tcPr>
                  <w:tcW w:w="380" w:type="pct"/>
                  <w:vMerge w:val="restart"/>
                  <w:tcMar>
                    <w:left w:w="28" w:type="dxa"/>
                    <w:right w:w="28" w:type="dxa"/>
                  </w:tcMar>
                  <w:vAlign w:val="center"/>
                </w:tcPr>
                <w:p w14:paraId="4C8DB628">
                  <w:pPr>
                    <w:spacing w:line="320" w:lineRule="exact"/>
                    <w:jc w:val="center"/>
                    <w:rPr>
                      <w:szCs w:val="21"/>
                    </w:rPr>
                  </w:pPr>
                  <w:r>
                    <w:rPr>
                      <w:szCs w:val="21"/>
                    </w:rPr>
                    <w:t>有组织</w:t>
                  </w:r>
                </w:p>
                <w:p w14:paraId="1805FB2F">
                  <w:pPr>
                    <w:spacing w:line="320" w:lineRule="exact"/>
                    <w:jc w:val="center"/>
                    <w:rPr>
                      <w:szCs w:val="21"/>
                    </w:rPr>
                  </w:pPr>
                  <w:r>
                    <w:rPr>
                      <w:szCs w:val="21"/>
                    </w:rPr>
                    <w:t>废气</w:t>
                  </w:r>
                </w:p>
              </w:tc>
              <w:tc>
                <w:tcPr>
                  <w:tcW w:w="644" w:type="pct"/>
                  <w:tcMar>
                    <w:left w:w="28" w:type="dxa"/>
                    <w:right w:w="28" w:type="dxa"/>
                  </w:tcMar>
                  <w:vAlign w:val="center"/>
                </w:tcPr>
                <w:p w14:paraId="645F21D5">
                  <w:pPr>
                    <w:widowControl/>
                    <w:spacing w:line="320" w:lineRule="exact"/>
                    <w:jc w:val="center"/>
                    <w:rPr>
                      <w:kern w:val="0"/>
                      <w:szCs w:val="21"/>
                    </w:rPr>
                  </w:pPr>
                  <w:r>
                    <w:rPr>
                      <w:rFonts w:hint="eastAsia"/>
                    </w:rPr>
                    <w:t>粉尘（含炭黑</w:t>
                  </w:r>
                  <w:r>
                    <w:t>尘</w:t>
                  </w:r>
                  <w:r>
                    <w:rPr>
                      <w:rFonts w:hint="eastAsia"/>
                    </w:rPr>
                    <w:t>）</w:t>
                  </w:r>
                </w:p>
              </w:tc>
              <w:tc>
                <w:tcPr>
                  <w:tcW w:w="442" w:type="pct"/>
                  <w:tcMar>
                    <w:left w:w="28" w:type="dxa"/>
                    <w:right w:w="28" w:type="dxa"/>
                  </w:tcMar>
                  <w:vAlign w:val="center"/>
                </w:tcPr>
                <w:p w14:paraId="282CFC05">
                  <w:pPr>
                    <w:jc w:val="center"/>
                    <w:rPr>
                      <w:rFonts w:ascii="宋体" w:hAnsi="宋体" w:cs="宋体"/>
                      <w:sz w:val="24"/>
                    </w:rPr>
                  </w:pPr>
                  <w:r>
                    <w:rPr>
                      <w:rFonts w:hint="eastAsia"/>
                    </w:rPr>
                    <w:t>0.45</w:t>
                  </w:r>
                </w:p>
              </w:tc>
              <w:tc>
                <w:tcPr>
                  <w:tcW w:w="442" w:type="pct"/>
                  <w:tcMar>
                    <w:left w:w="28" w:type="dxa"/>
                    <w:right w:w="28" w:type="dxa"/>
                  </w:tcMar>
                  <w:vAlign w:val="center"/>
                </w:tcPr>
                <w:p w14:paraId="2E56356F">
                  <w:pPr>
                    <w:jc w:val="center"/>
                    <w:rPr>
                      <w:sz w:val="24"/>
                    </w:rPr>
                  </w:pPr>
                  <w:r>
                    <w:t>1.333</w:t>
                  </w:r>
                </w:p>
              </w:tc>
              <w:tc>
                <w:tcPr>
                  <w:tcW w:w="442" w:type="pct"/>
                  <w:vAlign w:val="center"/>
                </w:tcPr>
                <w:p w14:paraId="288193FC">
                  <w:pPr>
                    <w:jc w:val="center"/>
                    <w:rPr>
                      <w:szCs w:val="21"/>
                    </w:rPr>
                  </w:pPr>
                  <w:r>
                    <w:rPr>
                      <w:szCs w:val="21"/>
                    </w:rPr>
                    <w:t>1.32</w:t>
                  </w:r>
                </w:p>
              </w:tc>
              <w:tc>
                <w:tcPr>
                  <w:tcW w:w="442" w:type="pct"/>
                  <w:vAlign w:val="center"/>
                </w:tcPr>
                <w:p w14:paraId="7D00AB14">
                  <w:pPr>
                    <w:jc w:val="center"/>
                    <w:rPr>
                      <w:sz w:val="24"/>
                    </w:rPr>
                  </w:pPr>
                  <w:r>
                    <w:t xml:space="preserve">0.013 </w:t>
                  </w:r>
                </w:p>
              </w:tc>
              <w:tc>
                <w:tcPr>
                  <w:tcW w:w="538" w:type="pct"/>
                  <w:tcMar>
                    <w:left w:w="28" w:type="dxa"/>
                    <w:right w:w="28" w:type="dxa"/>
                  </w:tcMar>
                  <w:vAlign w:val="center"/>
                </w:tcPr>
                <w:p w14:paraId="362FCA3B">
                  <w:pPr>
                    <w:jc w:val="center"/>
                    <w:rPr>
                      <w:szCs w:val="21"/>
                    </w:rPr>
                  </w:pPr>
                  <w:r>
                    <w:rPr>
                      <w:szCs w:val="21"/>
                    </w:rPr>
                    <w:t>0</w:t>
                  </w:r>
                </w:p>
              </w:tc>
              <w:tc>
                <w:tcPr>
                  <w:tcW w:w="442" w:type="pct"/>
                  <w:vAlign w:val="center"/>
                </w:tcPr>
                <w:p w14:paraId="3F8694D4">
                  <w:pPr>
                    <w:jc w:val="center"/>
                    <w:rPr>
                      <w:szCs w:val="21"/>
                    </w:rPr>
                  </w:pPr>
                  <w:r>
                    <w:rPr>
                      <w:szCs w:val="21"/>
                    </w:rPr>
                    <w:t>0.463</w:t>
                  </w:r>
                </w:p>
              </w:tc>
              <w:tc>
                <w:tcPr>
                  <w:tcW w:w="512" w:type="pct"/>
                  <w:vAlign w:val="center"/>
                </w:tcPr>
                <w:p w14:paraId="7E4D46F1">
                  <w:pPr>
                    <w:jc w:val="center"/>
                    <w:rPr>
                      <w:szCs w:val="21"/>
                    </w:rPr>
                  </w:pPr>
                  <w:r>
                    <w:rPr>
                      <w:szCs w:val="21"/>
                    </w:rPr>
                    <w:t>0.013</w:t>
                  </w:r>
                </w:p>
              </w:tc>
              <w:tc>
                <w:tcPr>
                  <w:tcW w:w="397" w:type="pct"/>
                  <w:vAlign w:val="center"/>
                </w:tcPr>
                <w:p w14:paraId="17B4CE1F">
                  <w:pPr>
                    <w:jc w:val="center"/>
                    <w:rPr>
                      <w:szCs w:val="21"/>
                    </w:rPr>
                  </w:pPr>
                  <w:r>
                    <w:rPr>
                      <w:szCs w:val="21"/>
                    </w:rPr>
                    <w:t>0.013</w:t>
                  </w:r>
                </w:p>
              </w:tc>
            </w:tr>
            <w:tr w14:paraId="44F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1BFD5883">
                  <w:pPr>
                    <w:spacing w:line="320" w:lineRule="exact"/>
                    <w:jc w:val="center"/>
                    <w:rPr>
                      <w:szCs w:val="21"/>
                    </w:rPr>
                  </w:pPr>
                </w:p>
              </w:tc>
              <w:tc>
                <w:tcPr>
                  <w:tcW w:w="380" w:type="pct"/>
                  <w:vMerge w:val="continue"/>
                  <w:tcMar>
                    <w:left w:w="28" w:type="dxa"/>
                    <w:right w:w="28" w:type="dxa"/>
                  </w:tcMar>
                  <w:vAlign w:val="center"/>
                </w:tcPr>
                <w:p w14:paraId="449FFF1F">
                  <w:pPr>
                    <w:spacing w:line="320" w:lineRule="exact"/>
                    <w:jc w:val="center"/>
                    <w:rPr>
                      <w:szCs w:val="21"/>
                    </w:rPr>
                  </w:pPr>
                </w:p>
              </w:tc>
              <w:tc>
                <w:tcPr>
                  <w:tcW w:w="644" w:type="pct"/>
                  <w:tcMar>
                    <w:left w:w="28" w:type="dxa"/>
                    <w:right w:w="28" w:type="dxa"/>
                  </w:tcMar>
                  <w:vAlign w:val="center"/>
                </w:tcPr>
                <w:p w14:paraId="595A4558">
                  <w:pPr>
                    <w:widowControl/>
                    <w:spacing w:line="320" w:lineRule="exact"/>
                    <w:jc w:val="center"/>
                  </w:pPr>
                  <w:r>
                    <w:rPr>
                      <w:rFonts w:hint="eastAsia"/>
                    </w:rPr>
                    <w:t>氟化物</w:t>
                  </w:r>
                </w:p>
              </w:tc>
              <w:tc>
                <w:tcPr>
                  <w:tcW w:w="442" w:type="pct"/>
                  <w:tcMar>
                    <w:left w:w="28" w:type="dxa"/>
                    <w:right w:w="28" w:type="dxa"/>
                  </w:tcMar>
                  <w:vAlign w:val="center"/>
                </w:tcPr>
                <w:p w14:paraId="4F9B6E43">
                  <w:pPr>
                    <w:jc w:val="center"/>
                    <w:rPr>
                      <w:rFonts w:ascii="宋体" w:hAnsi="宋体" w:cs="宋体"/>
                      <w:sz w:val="24"/>
                    </w:rPr>
                  </w:pPr>
                  <w:r>
                    <w:rPr>
                      <w:rFonts w:hint="eastAsia"/>
                    </w:rPr>
                    <w:t>0.0019</w:t>
                  </w:r>
                </w:p>
              </w:tc>
              <w:tc>
                <w:tcPr>
                  <w:tcW w:w="442" w:type="pct"/>
                  <w:tcMar>
                    <w:left w:w="28" w:type="dxa"/>
                    <w:right w:w="28" w:type="dxa"/>
                  </w:tcMar>
                  <w:vAlign w:val="center"/>
                </w:tcPr>
                <w:p w14:paraId="17A3B977">
                  <w:pPr>
                    <w:jc w:val="center"/>
                    <w:rPr>
                      <w:sz w:val="24"/>
                    </w:rPr>
                  </w:pPr>
                  <w:r>
                    <w:t>0.00152</w:t>
                  </w:r>
                </w:p>
              </w:tc>
              <w:tc>
                <w:tcPr>
                  <w:tcW w:w="442" w:type="pct"/>
                  <w:vAlign w:val="center"/>
                </w:tcPr>
                <w:p w14:paraId="476965DC">
                  <w:pPr>
                    <w:jc w:val="center"/>
                    <w:rPr>
                      <w:szCs w:val="21"/>
                    </w:rPr>
                  </w:pPr>
                  <w:r>
                    <w:rPr>
                      <w:szCs w:val="21"/>
                    </w:rPr>
                    <w:t>0.001368</w:t>
                  </w:r>
                </w:p>
              </w:tc>
              <w:tc>
                <w:tcPr>
                  <w:tcW w:w="442" w:type="pct"/>
                  <w:vAlign w:val="center"/>
                </w:tcPr>
                <w:p w14:paraId="4F3FE74A">
                  <w:pPr>
                    <w:jc w:val="center"/>
                    <w:rPr>
                      <w:sz w:val="24"/>
                    </w:rPr>
                  </w:pPr>
                  <w:r>
                    <w:t>0.000152</w:t>
                  </w:r>
                </w:p>
              </w:tc>
              <w:tc>
                <w:tcPr>
                  <w:tcW w:w="538" w:type="pct"/>
                  <w:tcMar>
                    <w:left w:w="28" w:type="dxa"/>
                    <w:right w:w="28" w:type="dxa"/>
                  </w:tcMar>
                  <w:vAlign w:val="center"/>
                </w:tcPr>
                <w:p w14:paraId="3AD7A291">
                  <w:pPr>
                    <w:jc w:val="center"/>
                    <w:rPr>
                      <w:szCs w:val="21"/>
                    </w:rPr>
                  </w:pPr>
                  <w:r>
                    <w:rPr>
                      <w:szCs w:val="21"/>
                    </w:rPr>
                    <w:t>0</w:t>
                  </w:r>
                </w:p>
              </w:tc>
              <w:tc>
                <w:tcPr>
                  <w:tcW w:w="442" w:type="pct"/>
                  <w:vAlign w:val="center"/>
                </w:tcPr>
                <w:p w14:paraId="1A2670F2">
                  <w:pPr>
                    <w:jc w:val="center"/>
                    <w:rPr>
                      <w:szCs w:val="21"/>
                    </w:rPr>
                  </w:pPr>
                  <w:r>
                    <w:rPr>
                      <w:szCs w:val="21"/>
                    </w:rPr>
                    <w:t>0.002052</w:t>
                  </w:r>
                </w:p>
              </w:tc>
              <w:tc>
                <w:tcPr>
                  <w:tcW w:w="512" w:type="pct"/>
                  <w:vAlign w:val="center"/>
                </w:tcPr>
                <w:p w14:paraId="7DEDA28E">
                  <w:pPr>
                    <w:jc w:val="center"/>
                    <w:rPr>
                      <w:szCs w:val="21"/>
                    </w:rPr>
                  </w:pPr>
                  <w:r>
                    <w:rPr>
                      <w:szCs w:val="21"/>
                    </w:rPr>
                    <w:t>0.000152</w:t>
                  </w:r>
                </w:p>
              </w:tc>
              <w:tc>
                <w:tcPr>
                  <w:tcW w:w="397" w:type="pct"/>
                  <w:vAlign w:val="center"/>
                </w:tcPr>
                <w:p w14:paraId="27F4C4AF">
                  <w:pPr>
                    <w:jc w:val="center"/>
                    <w:rPr>
                      <w:szCs w:val="21"/>
                    </w:rPr>
                  </w:pPr>
                  <w:r>
                    <w:rPr>
                      <w:szCs w:val="21"/>
                    </w:rPr>
                    <w:t>0.000152</w:t>
                  </w:r>
                </w:p>
              </w:tc>
            </w:tr>
            <w:tr w14:paraId="5B3E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4E4EAB3C">
                  <w:pPr>
                    <w:spacing w:line="320" w:lineRule="exact"/>
                    <w:jc w:val="center"/>
                    <w:rPr>
                      <w:szCs w:val="21"/>
                    </w:rPr>
                  </w:pPr>
                </w:p>
              </w:tc>
              <w:tc>
                <w:tcPr>
                  <w:tcW w:w="380" w:type="pct"/>
                  <w:vMerge w:val="continue"/>
                  <w:tcMar>
                    <w:left w:w="28" w:type="dxa"/>
                    <w:right w:w="28" w:type="dxa"/>
                  </w:tcMar>
                  <w:vAlign w:val="center"/>
                </w:tcPr>
                <w:p w14:paraId="3DA50830">
                  <w:pPr>
                    <w:spacing w:line="320" w:lineRule="exact"/>
                    <w:jc w:val="center"/>
                    <w:rPr>
                      <w:szCs w:val="21"/>
                    </w:rPr>
                  </w:pPr>
                </w:p>
              </w:tc>
              <w:tc>
                <w:tcPr>
                  <w:tcW w:w="644" w:type="pct"/>
                  <w:tcMar>
                    <w:left w:w="28" w:type="dxa"/>
                    <w:right w:w="28" w:type="dxa"/>
                  </w:tcMar>
                  <w:vAlign w:val="center"/>
                </w:tcPr>
                <w:p w14:paraId="11760D84">
                  <w:pPr>
                    <w:jc w:val="center"/>
                    <w:rPr>
                      <w:rFonts w:hAnsi="宋体"/>
                      <w:szCs w:val="21"/>
                    </w:rPr>
                  </w:pPr>
                  <w:r>
                    <w:rPr>
                      <w:rFonts w:hint="eastAsia" w:hAnsi="宋体"/>
                      <w:szCs w:val="21"/>
                    </w:rPr>
                    <w:t>H</w:t>
                  </w:r>
                  <w:r>
                    <w:rPr>
                      <w:rFonts w:hint="eastAsia" w:hAnsi="宋体"/>
                      <w:szCs w:val="21"/>
                      <w:vertAlign w:val="subscript"/>
                    </w:rPr>
                    <w:t>2</w:t>
                  </w:r>
                  <w:r>
                    <w:rPr>
                      <w:rFonts w:hint="eastAsia" w:hAnsi="宋体"/>
                      <w:szCs w:val="21"/>
                    </w:rPr>
                    <w:t>S</w:t>
                  </w:r>
                </w:p>
              </w:tc>
              <w:tc>
                <w:tcPr>
                  <w:tcW w:w="442" w:type="pct"/>
                  <w:tcMar>
                    <w:left w:w="28" w:type="dxa"/>
                    <w:right w:w="28" w:type="dxa"/>
                  </w:tcMar>
                  <w:vAlign w:val="center"/>
                </w:tcPr>
                <w:p w14:paraId="555B1FE3">
                  <w:pPr>
                    <w:jc w:val="center"/>
                    <w:rPr>
                      <w:rFonts w:ascii="宋体" w:hAnsi="宋体" w:cs="宋体"/>
                      <w:sz w:val="24"/>
                    </w:rPr>
                  </w:pPr>
                  <w:r>
                    <w:rPr>
                      <w:rFonts w:hint="eastAsia"/>
                    </w:rPr>
                    <w:t>0.2026</w:t>
                  </w:r>
                </w:p>
              </w:tc>
              <w:tc>
                <w:tcPr>
                  <w:tcW w:w="442" w:type="pct"/>
                  <w:tcMar>
                    <w:left w:w="28" w:type="dxa"/>
                    <w:right w:w="28" w:type="dxa"/>
                  </w:tcMar>
                  <w:vAlign w:val="center"/>
                </w:tcPr>
                <w:p w14:paraId="0892BA5F">
                  <w:pPr>
                    <w:jc w:val="center"/>
                    <w:rPr>
                      <w:sz w:val="24"/>
                    </w:rPr>
                  </w:pPr>
                  <w:r>
                    <w:t>0.418</w:t>
                  </w:r>
                </w:p>
              </w:tc>
              <w:tc>
                <w:tcPr>
                  <w:tcW w:w="442" w:type="pct"/>
                  <w:vAlign w:val="center"/>
                </w:tcPr>
                <w:p w14:paraId="3E21E783">
                  <w:pPr>
                    <w:jc w:val="center"/>
                    <w:rPr>
                      <w:szCs w:val="21"/>
                    </w:rPr>
                  </w:pPr>
                  <w:r>
                    <w:rPr>
                      <w:szCs w:val="21"/>
                    </w:rPr>
                    <w:t>0.3762</w:t>
                  </w:r>
                </w:p>
              </w:tc>
              <w:tc>
                <w:tcPr>
                  <w:tcW w:w="442" w:type="pct"/>
                  <w:vAlign w:val="center"/>
                </w:tcPr>
                <w:p w14:paraId="574A99E0">
                  <w:pPr>
                    <w:jc w:val="center"/>
                    <w:rPr>
                      <w:sz w:val="24"/>
                    </w:rPr>
                  </w:pPr>
                  <w:r>
                    <w:t>0.0418</w:t>
                  </w:r>
                </w:p>
              </w:tc>
              <w:tc>
                <w:tcPr>
                  <w:tcW w:w="538" w:type="pct"/>
                  <w:tcMar>
                    <w:left w:w="28" w:type="dxa"/>
                    <w:right w:w="28" w:type="dxa"/>
                  </w:tcMar>
                  <w:vAlign w:val="center"/>
                </w:tcPr>
                <w:p w14:paraId="4E376481">
                  <w:pPr>
                    <w:jc w:val="center"/>
                    <w:rPr>
                      <w:szCs w:val="21"/>
                    </w:rPr>
                  </w:pPr>
                  <w:r>
                    <w:rPr>
                      <w:szCs w:val="21"/>
                    </w:rPr>
                    <w:t>0</w:t>
                  </w:r>
                </w:p>
              </w:tc>
              <w:tc>
                <w:tcPr>
                  <w:tcW w:w="442" w:type="pct"/>
                  <w:vAlign w:val="center"/>
                </w:tcPr>
                <w:p w14:paraId="06A5D066">
                  <w:pPr>
                    <w:jc w:val="center"/>
                    <w:rPr>
                      <w:szCs w:val="21"/>
                    </w:rPr>
                  </w:pPr>
                  <w:r>
                    <w:rPr>
                      <w:szCs w:val="21"/>
                    </w:rPr>
                    <w:t>0.2444</w:t>
                  </w:r>
                </w:p>
              </w:tc>
              <w:tc>
                <w:tcPr>
                  <w:tcW w:w="512" w:type="pct"/>
                  <w:vAlign w:val="center"/>
                </w:tcPr>
                <w:p w14:paraId="39F690B8">
                  <w:pPr>
                    <w:jc w:val="center"/>
                    <w:rPr>
                      <w:szCs w:val="21"/>
                    </w:rPr>
                  </w:pPr>
                  <w:r>
                    <w:rPr>
                      <w:szCs w:val="21"/>
                    </w:rPr>
                    <w:t>0.0418</w:t>
                  </w:r>
                </w:p>
              </w:tc>
              <w:tc>
                <w:tcPr>
                  <w:tcW w:w="397" w:type="pct"/>
                  <w:vAlign w:val="center"/>
                </w:tcPr>
                <w:p w14:paraId="3DD73A85">
                  <w:pPr>
                    <w:jc w:val="center"/>
                    <w:rPr>
                      <w:szCs w:val="21"/>
                    </w:rPr>
                  </w:pPr>
                  <w:r>
                    <w:rPr>
                      <w:szCs w:val="21"/>
                    </w:rPr>
                    <w:t>0.0418</w:t>
                  </w:r>
                </w:p>
              </w:tc>
            </w:tr>
            <w:tr w14:paraId="07B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6DD35336">
                  <w:pPr>
                    <w:spacing w:line="320" w:lineRule="exact"/>
                    <w:jc w:val="center"/>
                    <w:rPr>
                      <w:szCs w:val="21"/>
                    </w:rPr>
                  </w:pPr>
                </w:p>
              </w:tc>
              <w:tc>
                <w:tcPr>
                  <w:tcW w:w="380" w:type="pct"/>
                  <w:vMerge w:val="continue"/>
                  <w:tcMar>
                    <w:left w:w="28" w:type="dxa"/>
                    <w:right w:w="28" w:type="dxa"/>
                  </w:tcMar>
                  <w:vAlign w:val="center"/>
                </w:tcPr>
                <w:p w14:paraId="2FBA6437">
                  <w:pPr>
                    <w:spacing w:line="320" w:lineRule="exact"/>
                    <w:jc w:val="center"/>
                    <w:rPr>
                      <w:szCs w:val="21"/>
                    </w:rPr>
                  </w:pPr>
                </w:p>
              </w:tc>
              <w:tc>
                <w:tcPr>
                  <w:tcW w:w="644" w:type="pct"/>
                  <w:tcMar>
                    <w:left w:w="28" w:type="dxa"/>
                    <w:right w:w="28" w:type="dxa"/>
                  </w:tcMar>
                  <w:vAlign w:val="center"/>
                </w:tcPr>
                <w:p w14:paraId="4506129B">
                  <w:pPr>
                    <w:jc w:val="center"/>
                    <w:rPr>
                      <w:rFonts w:hAnsi="宋体"/>
                      <w:szCs w:val="21"/>
                    </w:rPr>
                  </w:pPr>
                  <w:r>
                    <w:rPr>
                      <w:rFonts w:hint="eastAsia" w:hAnsi="宋体"/>
                      <w:szCs w:val="21"/>
                    </w:rPr>
                    <w:t>二甲苯</w:t>
                  </w:r>
                </w:p>
              </w:tc>
              <w:tc>
                <w:tcPr>
                  <w:tcW w:w="442" w:type="pct"/>
                  <w:tcMar>
                    <w:left w:w="28" w:type="dxa"/>
                    <w:right w:w="28" w:type="dxa"/>
                  </w:tcMar>
                  <w:vAlign w:val="center"/>
                </w:tcPr>
                <w:p w14:paraId="74DC0748">
                  <w:pPr>
                    <w:jc w:val="center"/>
                    <w:rPr>
                      <w:rFonts w:ascii="宋体" w:hAnsi="宋体" w:cs="宋体"/>
                      <w:sz w:val="24"/>
                    </w:rPr>
                  </w:pPr>
                  <w:r>
                    <w:rPr>
                      <w:rFonts w:hint="eastAsia"/>
                    </w:rPr>
                    <w:t>0.152</w:t>
                  </w:r>
                </w:p>
              </w:tc>
              <w:tc>
                <w:tcPr>
                  <w:tcW w:w="442" w:type="pct"/>
                  <w:tcMar>
                    <w:left w:w="28" w:type="dxa"/>
                    <w:right w:w="28" w:type="dxa"/>
                  </w:tcMar>
                  <w:vAlign w:val="center"/>
                </w:tcPr>
                <w:p w14:paraId="3CDD0949">
                  <w:pPr>
                    <w:jc w:val="center"/>
                    <w:rPr>
                      <w:szCs w:val="21"/>
                    </w:rPr>
                  </w:pPr>
                  <w:r>
                    <w:rPr>
                      <w:rFonts w:hint="eastAsia"/>
                      <w:szCs w:val="21"/>
                    </w:rPr>
                    <w:t>0</w:t>
                  </w:r>
                </w:p>
              </w:tc>
              <w:tc>
                <w:tcPr>
                  <w:tcW w:w="442" w:type="pct"/>
                  <w:vAlign w:val="center"/>
                </w:tcPr>
                <w:p w14:paraId="0977AB93">
                  <w:pPr>
                    <w:jc w:val="center"/>
                    <w:rPr>
                      <w:szCs w:val="21"/>
                    </w:rPr>
                  </w:pPr>
                  <w:r>
                    <w:rPr>
                      <w:szCs w:val="21"/>
                    </w:rPr>
                    <w:t>0</w:t>
                  </w:r>
                </w:p>
              </w:tc>
              <w:tc>
                <w:tcPr>
                  <w:tcW w:w="442" w:type="pct"/>
                  <w:vAlign w:val="center"/>
                </w:tcPr>
                <w:p w14:paraId="07AA29E0">
                  <w:pPr>
                    <w:jc w:val="center"/>
                    <w:rPr>
                      <w:szCs w:val="21"/>
                    </w:rPr>
                  </w:pPr>
                  <w:r>
                    <w:rPr>
                      <w:rFonts w:hint="eastAsia"/>
                      <w:szCs w:val="21"/>
                    </w:rPr>
                    <w:t>0</w:t>
                  </w:r>
                </w:p>
              </w:tc>
              <w:tc>
                <w:tcPr>
                  <w:tcW w:w="538" w:type="pct"/>
                  <w:tcMar>
                    <w:left w:w="28" w:type="dxa"/>
                    <w:right w:w="28" w:type="dxa"/>
                  </w:tcMar>
                  <w:vAlign w:val="center"/>
                </w:tcPr>
                <w:p w14:paraId="30A7BC82">
                  <w:pPr>
                    <w:jc w:val="center"/>
                    <w:rPr>
                      <w:szCs w:val="21"/>
                    </w:rPr>
                  </w:pPr>
                  <w:r>
                    <w:rPr>
                      <w:szCs w:val="21"/>
                    </w:rPr>
                    <w:t>0</w:t>
                  </w:r>
                </w:p>
              </w:tc>
              <w:tc>
                <w:tcPr>
                  <w:tcW w:w="442" w:type="pct"/>
                  <w:vAlign w:val="center"/>
                </w:tcPr>
                <w:p w14:paraId="2DEB8054">
                  <w:pPr>
                    <w:jc w:val="center"/>
                    <w:rPr>
                      <w:szCs w:val="21"/>
                    </w:rPr>
                  </w:pPr>
                  <w:r>
                    <w:rPr>
                      <w:szCs w:val="21"/>
                    </w:rPr>
                    <w:t>0.152</w:t>
                  </w:r>
                </w:p>
              </w:tc>
              <w:tc>
                <w:tcPr>
                  <w:tcW w:w="512" w:type="pct"/>
                  <w:vAlign w:val="center"/>
                </w:tcPr>
                <w:p w14:paraId="18E941EE">
                  <w:pPr>
                    <w:jc w:val="center"/>
                    <w:rPr>
                      <w:szCs w:val="21"/>
                    </w:rPr>
                  </w:pPr>
                  <w:r>
                    <w:rPr>
                      <w:szCs w:val="21"/>
                    </w:rPr>
                    <w:t>0</w:t>
                  </w:r>
                </w:p>
              </w:tc>
              <w:tc>
                <w:tcPr>
                  <w:tcW w:w="397" w:type="pct"/>
                  <w:vAlign w:val="center"/>
                </w:tcPr>
                <w:p w14:paraId="3AED4F1B">
                  <w:pPr>
                    <w:jc w:val="center"/>
                    <w:rPr>
                      <w:szCs w:val="21"/>
                    </w:rPr>
                  </w:pPr>
                  <w:r>
                    <w:rPr>
                      <w:szCs w:val="21"/>
                    </w:rPr>
                    <w:t>0</w:t>
                  </w:r>
                </w:p>
              </w:tc>
            </w:tr>
            <w:tr w14:paraId="24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19A91F5B">
                  <w:pPr>
                    <w:spacing w:line="320" w:lineRule="exact"/>
                    <w:jc w:val="center"/>
                    <w:rPr>
                      <w:szCs w:val="21"/>
                    </w:rPr>
                  </w:pPr>
                </w:p>
              </w:tc>
              <w:tc>
                <w:tcPr>
                  <w:tcW w:w="380" w:type="pct"/>
                  <w:vMerge w:val="continue"/>
                  <w:tcMar>
                    <w:left w:w="28" w:type="dxa"/>
                    <w:right w:w="28" w:type="dxa"/>
                  </w:tcMar>
                  <w:vAlign w:val="center"/>
                </w:tcPr>
                <w:p w14:paraId="7FCBE882">
                  <w:pPr>
                    <w:spacing w:line="320" w:lineRule="exact"/>
                    <w:jc w:val="center"/>
                    <w:rPr>
                      <w:szCs w:val="21"/>
                    </w:rPr>
                  </w:pPr>
                </w:p>
              </w:tc>
              <w:tc>
                <w:tcPr>
                  <w:tcW w:w="644" w:type="pct"/>
                  <w:tcMar>
                    <w:left w:w="28" w:type="dxa"/>
                    <w:right w:w="28" w:type="dxa"/>
                  </w:tcMar>
                  <w:vAlign w:val="center"/>
                </w:tcPr>
                <w:p w14:paraId="77A3F1BB">
                  <w:pPr>
                    <w:jc w:val="center"/>
                    <w:rPr>
                      <w:rFonts w:hAnsi="宋体"/>
                      <w:szCs w:val="21"/>
                    </w:rPr>
                  </w:pPr>
                  <w:r>
                    <w:rPr>
                      <w:rFonts w:hint="eastAsia" w:hAnsi="宋体"/>
                      <w:szCs w:val="21"/>
                    </w:rPr>
                    <w:t>乙苯</w:t>
                  </w:r>
                </w:p>
              </w:tc>
              <w:tc>
                <w:tcPr>
                  <w:tcW w:w="442" w:type="pct"/>
                  <w:tcMar>
                    <w:left w:w="28" w:type="dxa"/>
                    <w:right w:w="28" w:type="dxa"/>
                  </w:tcMar>
                  <w:vAlign w:val="center"/>
                </w:tcPr>
                <w:p w14:paraId="2533E68D">
                  <w:pPr>
                    <w:jc w:val="center"/>
                    <w:rPr>
                      <w:rFonts w:ascii="宋体" w:hAnsi="宋体" w:cs="宋体"/>
                      <w:sz w:val="24"/>
                    </w:rPr>
                  </w:pPr>
                  <w:r>
                    <w:rPr>
                      <w:rFonts w:hint="eastAsia"/>
                    </w:rPr>
                    <w:t>0.057</w:t>
                  </w:r>
                </w:p>
              </w:tc>
              <w:tc>
                <w:tcPr>
                  <w:tcW w:w="442" w:type="pct"/>
                  <w:tcMar>
                    <w:left w:w="28" w:type="dxa"/>
                    <w:right w:w="28" w:type="dxa"/>
                  </w:tcMar>
                  <w:vAlign w:val="center"/>
                </w:tcPr>
                <w:p w14:paraId="4B305DCD">
                  <w:pPr>
                    <w:jc w:val="center"/>
                    <w:rPr>
                      <w:szCs w:val="21"/>
                    </w:rPr>
                  </w:pPr>
                  <w:r>
                    <w:rPr>
                      <w:rFonts w:hint="eastAsia"/>
                      <w:szCs w:val="21"/>
                    </w:rPr>
                    <w:t>0</w:t>
                  </w:r>
                </w:p>
              </w:tc>
              <w:tc>
                <w:tcPr>
                  <w:tcW w:w="442" w:type="pct"/>
                  <w:vAlign w:val="center"/>
                </w:tcPr>
                <w:p w14:paraId="7CAEF9E3">
                  <w:pPr>
                    <w:jc w:val="center"/>
                    <w:rPr>
                      <w:szCs w:val="21"/>
                    </w:rPr>
                  </w:pPr>
                  <w:r>
                    <w:rPr>
                      <w:szCs w:val="21"/>
                    </w:rPr>
                    <w:t>0</w:t>
                  </w:r>
                </w:p>
              </w:tc>
              <w:tc>
                <w:tcPr>
                  <w:tcW w:w="442" w:type="pct"/>
                  <w:vAlign w:val="center"/>
                </w:tcPr>
                <w:p w14:paraId="3EBF679D">
                  <w:pPr>
                    <w:jc w:val="center"/>
                    <w:rPr>
                      <w:szCs w:val="21"/>
                    </w:rPr>
                  </w:pPr>
                  <w:r>
                    <w:rPr>
                      <w:rFonts w:hint="eastAsia"/>
                      <w:szCs w:val="21"/>
                    </w:rPr>
                    <w:t>0</w:t>
                  </w:r>
                </w:p>
              </w:tc>
              <w:tc>
                <w:tcPr>
                  <w:tcW w:w="538" w:type="pct"/>
                  <w:tcMar>
                    <w:left w:w="28" w:type="dxa"/>
                    <w:right w:w="28" w:type="dxa"/>
                  </w:tcMar>
                  <w:vAlign w:val="center"/>
                </w:tcPr>
                <w:p w14:paraId="1D5876DF">
                  <w:pPr>
                    <w:jc w:val="center"/>
                    <w:rPr>
                      <w:szCs w:val="21"/>
                    </w:rPr>
                  </w:pPr>
                  <w:r>
                    <w:rPr>
                      <w:szCs w:val="21"/>
                    </w:rPr>
                    <w:t>0</w:t>
                  </w:r>
                </w:p>
              </w:tc>
              <w:tc>
                <w:tcPr>
                  <w:tcW w:w="442" w:type="pct"/>
                  <w:vAlign w:val="center"/>
                </w:tcPr>
                <w:p w14:paraId="5A206920">
                  <w:pPr>
                    <w:jc w:val="center"/>
                    <w:rPr>
                      <w:szCs w:val="21"/>
                    </w:rPr>
                  </w:pPr>
                  <w:r>
                    <w:rPr>
                      <w:szCs w:val="21"/>
                    </w:rPr>
                    <w:t>0.057</w:t>
                  </w:r>
                </w:p>
              </w:tc>
              <w:tc>
                <w:tcPr>
                  <w:tcW w:w="512" w:type="pct"/>
                  <w:vAlign w:val="center"/>
                </w:tcPr>
                <w:p w14:paraId="5556E1CB">
                  <w:pPr>
                    <w:jc w:val="center"/>
                    <w:rPr>
                      <w:szCs w:val="21"/>
                    </w:rPr>
                  </w:pPr>
                  <w:r>
                    <w:rPr>
                      <w:szCs w:val="21"/>
                    </w:rPr>
                    <w:t>0</w:t>
                  </w:r>
                </w:p>
              </w:tc>
              <w:tc>
                <w:tcPr>
                  <w:tcW w:w="397" w:type="pct"/>
                  <w:vAlign w:val="center"/>
                </w:tcPr>
                <w:p w14:paraId="582B7578">
                  <w:pPr>
                    <w:jc w:val="center"/>
                    <w:rPr>
                      <w:szCs w:val="21"/>
                    </w:rPr>
                  </w:pPr>
                  <w:r>
                    <w:rPr>
                      <w:szCs w:val="21"/>
                    </w:rPr>
                    <w:t>0</w:t>
                  </w:r>
                </w:p>
              </w:tc>
            </w:tr>
            <w:tr w14:paraId="127A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70AD073A">
                  <w:pPr>
                    <w:spacing w:line="320" w:lineRule="exact"/>
                    <w:jc w:val="center"/>
                    <w:rPr>
                      <w:szCs w:val="21"/>
                    </w:rPr>
                  </w:pPr>
                </w:p>
              </w:tc>
              <w:tc>
                <w:tcPr>
                  <w:tcW w:w="380" w:type="pct"/>
                  <w:vMerge w:val="continue"/>
                  <w:tcMar>
                    <w:left w:w="28" w:type="dxa"/>
                    <w:right w:w="28" w:type="dxa"/>
                  </w:tcMar>
                  <w:vAlign w:val="center"/>
                </w:tcPr>
                <w:p w14:paraId="6B13A4A3">
                  <w:pPr>
                    <w:spacing w:line="320" w:lineRule="exact"/>
                    <w:jc w:val="center"/>
                    <w:rPr>
                      <w:szCs w:val="21"/>
                    </w:rPr>
                  </w:pPr>
                </w:p>
              </w:tc>
              <w:tc>
                <w:tcPr>
                  <w:tcW w:w="644" w:type="pct"/>
                  <w:tcMar>
                    <w:left w:w="28" w:type="dxa"/>
                    <w:right w:w="28" w:type="dxa"/>
                  </w:tcMar>
                  <w:vAlign w:val="center"/>
                </w:tcPr>
                <w:p w14:paraId="15D33480">
                  <w:pPr>
                    <w:jc w:val="center"/>
                    <w:rPr>
                      <w:rFonts w:hAnsi="宋体"/>
                      <w:szCs w:val="21"/>
                    </w:rPr>
                  </w:pPr>
                  <w:r>
                    <w:rPr>
                      <w:rFonts w:hint="eastAsia" w:hAnsi="宋体"/>
                      <w:szCs w:val="21"/>
                    </w:rPr>
                    <w:t>非甲烷总烃</w:t>
                  </w:r>
                </w:p>
              </w:tc>
              <w:tc>
                <w:tcPr>
                  <w:tcW w:w="442" w:type="pct"/>
                  <w:tcMar>
                    <w:left w:w="28" w:type="dxa"/>
                    <w:right w:w="28" w:type="dxa"/>
                  </w:tcMar>
                  <w:vAlign w:val="center"/>
                </w:tcPr>
                <w:p w14:paraId="0CD501A6">
                  <w:pPr>
                    <w:jc w:val="center"/>
                    <w:rPr>
                      <w:rFonts w:ascii="宋体" w:hAnsi="宋体" w:cs="宋体"/>
                      <w:sz w:val="24"/>
                    </w:rPr>
                  </w:pPr>
                  <w:r>
                    <w:rPr>
                      <w:rFonts w:hint="eastAsia"/>
                    </w:rPr>
                    <w:t>1.4715</w:t>
                  </w:r>
                </w:p>
              </w:tc>
              <w:tc>
                <w:tcPr>
                  <w:tcW w:w="442" w:type="pct"/>
                  <w:tcMar>
                    <w:left w:w="28" w:type="dxa"/>
                    <w:right w:w="28" w:type="dxa"/>
                  </w:tcMar>
                  <w:vAlign w:val="center"/>
                </w:tcPr>
                <w:p w14:paraId="76091AE5">
                  <w:pPr>
                    <w:jc w:val="center"/>
                    <w:rPr>
                      <w:sz w:val="24"/>
                    </w:rPr>
                  </w:pPr>
                  <w:r>
                    <w:t>2.37</w:t>
                  </w:r>
                </w:p>
              </w:tc>
              <w:tc>
                <w:tcPr>
                  <w:tcW w:w="442" w:type="pct"/>
                  <w:vAlign w:val="center"/>
                </w:tcPr>
                <w:p w14:paraId="0C919B6B">
                  <w:pPr>
                    <w:jc w:val="center"/>
                    <w:rPr>
                      <w:szCs w:val="21"/>
                    </w:rPr>
                  </w:pPr>
                  <w:r>
                    <w:rPr>
                      <w:szCs w:val="21"/>
                    </w:rPr>
                    <w:t>2.1328</w:t>
                  </w:r>
                </w:p>
              </w:tc>
              <w:tc>
                <w:tcPr>
                  <w:tcW w:w="442" w:type="pct"/>
                  <w:vAlign w:val="center"/>
                </w:tcPr>
                <w:p w14:paraId="75A342A7">
                  <w:pPr>
                    <w:jc w:val="center"/>
                    <w:rPr>
                      <w:sz w:val="24"/>
                    </w:rPr>
                  </w:pPr>
                  <w:r>
                    <w:t xml:space="preserve">0.2372 </w:t>
                  </w:r>
                </w:p>
              </w:tc>
              <w:tc>
                <w:tcPr>
                  <w:tcW w:w="538" w:type="pct"/>
                  <w:tcMar>
                    <w:left w:w="28" w:type="dxa"/>
                    <w:right w:w="28" w:type="dxa"/>
                  </w:tcMar>
                  <w:vAlign w:val="center"/>
                </w:tcPr>
                <w:p w14:paraId="590FB1D2">
                  <w:pPr>
                    <w:jc w:val="center"/>
                    <w:rPr>
                      <w:szCs w:val="21"/>
                    </w:rPr>
                  </w:pPr>
                  <w:r>
                    <w:rPr>
                      <w:szCs w:val="21"/>
                    </w:rPr>
                    <w:t>0</w:t>
                  </w:r>
                </w:p>
              </w:tc>
              <w:tc>
                <w:tcPr>
                  <w:tcW w:w="442" w:type="pct"/>
                  <w:vAlign w:val="center"/>
                </w:tcPr>
                <w:p w14:paraId="488593CB">
                  <w:pPr>
                    <w:jc w:val="center"/>
                    <w:rPr>
                      <w:szCs w:val="21"/>
                    </w:rPr>
                  </w:pPr>
                  <w:r>
                    <w:rPr>
                      <w:szCs w:val="21"/>
                    </w:rPr>
                    <w:t>1.7087</w:t>
                  </w:r>
                </w:p>
              </w:tc>
              <w:tc>
                <w:tcPr>
                  <w:tcW w:w="512" w:type="pct"/>
                  <w:vAlign w:val="center"/>
                </w:tcPr>
                <w:p w14:paraId="65965199">
                  <w:pPr>
                    <w:jc w:val="center"/>
                    <w:rPr>
                      <w:szCs w:val="21"/>
                    </w:rPr>
                  </w:pPr>
                  <w:r>
                    <w:rPr>
                      <w:szCs w:val="21"/>
                    </w:rPr>
                    <w:t>0.2372</w:t>
                  </w:r>
                </w:p>
              </w:tc>
              <w:tc>
                <w:tcPr>
                  <w:tcW w:w="397" w:type="pct"/>
                  <w:vAlign w:val="center"/>
                </w:tcPr>
                <w:p w14:paraId="4CCEA152">
                  <w:pPr>
                    <w:jc w:val="center"/>
                    <w:rPr>
                      <w:szCs w:val="21"/>
                    </w:rPr>
                  </w:pPr>
                  <w:r>
                    <w:rPr>
                      <w:szCs w:val="21"/>
                    </w:rPr>
                    <w:t>0.2372</w:t>
                  </w:r>
                </w:p>
              </w:tc>
            </w:tr>
            <w:tr w14:paraId="7B0E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1BBE8B43">
                  <w:pPr>
                    <w:spacing w:line="320" w:lineRule="exact"/>
                    <w:jc w:val="center"/>
                    <w:rPr>
                      <w:szCs w:val="21"/>
                    </w:rPr>
                  </w:pPr>
                </w:p>
              </w:tc>
              <w:tc>
                <w:tcPr>
                  <w:tcW w:w="380" w:type="pct"/>
                  <w:vMerge w:val="continue"/>
                  <w:tcMar>
                    <w:left w:w="28" w:type="dxa"/>
                    <w:right w:w="28" w:type="dxa"/>
                  </w:tcMar>
                  <w:vAlign w:val="center"/>
                </w:tcPr>
                <w:p w14:paraId="550061A5">
                  <w:pPr>
                    <w:spacing w:line="320" w:lineRule="exact"/>
                    <w:jc w:val="center"/>
                    <w:rPr>
                      <w:szCs w:val="21"/>
                    </w:rPr>
                  </w:pPr>
                </w:p>
              </w:tc>
              <w:tc>
                <w:tcPr>
                  <w:tcW w:w="644" w:type="pct"/>
                  <w:tcMar>
                    <w:left w:w="28" w:type="dxa"/>
                    <w:right w:w="28" w:type="dxa"/>
                  </w:tcMar>
                  <w:vAlign w:val="center"/>
                </w:tcPr>
                <w:p w14:paraId="246B8A4F">
                  <w:pPr>
                    <w:jc w:val="center"/>
                    <w:rPr>
                      <w:rFonts w:hAnsi="宋体"/>
                      <w:szCs w:val="21"/>
                    </w:rPr>
                  </w:pPr>
                  <w:r>
                    <w:rPr>
                      <w:rFonts w:hint="eastAsia" w:hAnsi="宋体"/>
                      <w:szCs w:val="21"/>
                    </w:rPr>
                    <w:t>油烟</w:t>
                  </w:r>
                </w:p>
              </w:tc>
              <w:tc>
                <w:tcPr>
                  <w:tcW w:w="442" w:type="pct"/>
                  <w:tcMar>
                    <w:left w:w="28" w:type="dxa"/>
                    <w:right w:w="28" w:type="dxa"/>
                  </w:tcMar>
                  <w:vAlign w:val="center"/>
                </w:tcPr>
                <w:p w14:paraId="1B0F2988">
                  <w:pPr>
                    <w:jc w:val="center"/>
                    <w:rPr>
                      <w:rFonts w:ascii="宋体" w:hAnsi="宋体" w:cs="宋体"/>
                      <w:sz w:val="24"/>
                    </w:rPr>
                  </w:pPr>
                  <w:r>
                    <w:rPr>
                      <w:rFonts w:hint="eastAsia"/>
                    </w:rPr>
                    <w:t>0.0086</w:t>
                  </w:r>
                </w:p>
              </w:tc>
              <w:tc>
                <w:tcPr>
                  <w:tcW w:w="442" w:type="pct"/>
                  <w:tcMar>
                    <w:left w:w="28" w:type="dxa"/>
                    <w:right w:w="28" w:type="dxa"/>
                  </w:tcMar>
                  <w:vAlign w:val="center"/>
                </w:tcPr>
                <w:p w14:paraId="76369850">
                  <w:pPr>
                    <w:jc w:val="center"/>
                    <w:rPr>
                      <w:sz w:val="24"/>
                    </w:rPr>
                  </w:pPr>
                  <w:r>
                    <w:t>0.012</w:t>
                  </w:r>
                </w:p>
              </w:tc>
              <w:tc>
                <w:tcPr>
                  <w:tcW w:w="442" w:type="pct"/>
                  <w:vAlign w:val="center"/>
                </w:tcPr>
                <w:p w14:paraId="0EBA2DAF">
                  <w:pPr>
                    <w:jc w:val="center"/>
                    <w:rPr>
                      <w:szCs w:val="21"/>
                    </w:rPr>
                  </w:pPr>
                  <w:r>
                    <w:rPr>
                      <w:szCs w:val="21"/>
                    </w:rPr>
                    <w:t>0.01</w:t>
                  </w:r>
                </w:p>
              </w:tc>
              <w:tc>
                <w:tcPr>
                  <w:tcW w:w="442" w:type="pct"/>
                  <w:vAlign w:val="center"/>
                </w:tcPr>
                <w:p w14:paraId="01E9AF8D">
                  <w:pPr>
                    <w:jc w:val="center"/>
                    <w:rPr>
                      <w:szCs w:val="21"/>
                    </w:rPr>
                  </w:pPr>
                  <w:r>
                    <w:rPr>
                      <w:rFonts w:hint="eastAsia"/>
                      <w:szCs w:val="21"/>
                    </w:rPr>
                    <w:t>0.002</w:t>
                  </w:r>
                </w:p>
              </w:tc>
              <w:tc>
                <w:tcPr>
                  <w:tcW w:w="538" w:type="pct"/>
                  <w:tcMar>
                    <w:left w:w="28" w:type="dxa"/>
                    <w:right w:w="28" w:type="dxa"/>
                  </w:tcMar>
                  <w:vAlign w:val="center"/>
                </w:tcPr>
                <w:p w14:paraId="6ADA9F58">
                  <w:pPr>
                    <w:jc w:val="center"/>
                    <w:rPr>
                      <w:szCs w:val="21"/>
                    </w:rPr>
                  </w:pPr>
                  <w:r>
                    <w:rPr>
                      <w:szCs w:val="21"/>
                    </w:rPr>
                    <w:t>0</w:t>
                  </w:r>
                </w:p>
              </w:tc>
              <w:tc>
                <w:tcPr>
                  <w:tcW w:w="442" w:type="pct"/>
                  <w:vAlign w:val="center"/>
                </w:tcPr>
                <w:p w14:paraId="4C27B8B1">
                  <w:pPr>
                    <w:jc w:val="center"/>
                    <w:rPr>
                      <w:szCs w:val="21"/>
                    </w:rPr>
                  </w:pPr>
                  <w:r>
                    <w:rPr>
                      <w:szCs w:val="21"/>
                    </w:rPr>
                    <w:t>0.0106</w:t>
                  </w:r>
                </w:p>
              </w:tc>
              <w:tc>
                <w:tcPr>
                  <w:tcW w:w="512" w:type="pct"/>
                  <w:vAlign w:val="center"/>
                </w:tcPr>
                <w:p w14:paraId="0EA246C1">
                  <w:pPr>
                    <w:jc w:val="center"/>
                    <w:rPr>
                      <w:szCs w:val="21"/>
                    </w:rPr>
                  </w:pPr>
                  <w:r>
                    <w:rPr>
                      <w:szCs w:val="21"/>
                    </w:rPr>
                    <w:t>0.002</w:t>
                  </w:r>
                </w:p>
              </w:tc>
              <w:tc>
                <w:tcPr>
                  <w:tcW w:w="397" w:type="pct"/>
                  <w:vAlign w:val="center"/>
                </w:tcPr>
                <w:p w14:paraId="20EE0073">
                  <w:pPr>
                    <w:jc w:val="center"/>
                    <w:rPr>
                      <w:szCs w:val="21"/>
                    </w:rPr>
                  </w:pPr>
                  <w:r>
                    <w:rPr>
                      <w:szCs w:val="21"/>
                    </w:rPr>
                    <w:t>0.002</w:t>
                  </w:r>
                </w:p>
              </w:tc>
            </w:tr>
            <w:tr w14:paraId="32DD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7D10DB8E">
                  <w:pPr>
                    <w:spacing w:line="320" w:lineRule="exact"/>
                    <w:jc w:val="center"/>
                    <w:rPr>
                      <w:szCs w:val="21"/>
                    </w:rPr>
                  </w:pPr>
                </w:p>
              </w:tc>
              <w:tc>
                <w:tcPr>
                  <w:tcW w:w="380" w:type="pct"/>
                  <w:vMerge w:val="restart"/>
                  <w:tcMar>
                    <w:left w:w="28" w:type="dxa"/>
                    <w:right w:w="28" w:type="dxa"/>
                  </w:tcMar>
                  <w:vAlign w:val="center"/>
                </w:tcPr>
                <w:p w14:paraId="6CB22A96">
                  <w:pPr>
                    <w:spacing w:line="320" w:lineRule="exact"/>
                    <w:jc w:val="center"/>
                    <w:rPr>
                      <w:szCs w:val="21"/>
                    </w:rPr>
                  </w:pPr>
                  <w:r>
                    <w:rPr>
                      <w:rFonts w:hint="eastAsia"/>
                      <w:szCs w:val="21"/>
                    </w:rPr>
                    <w:t>无组织</w:t>
                  </w:r>
                </w:p>
                <w:p w14:paraId="7E439D9F">
                  <w:pPr>
                    <w:spacing w:line="320" w:lineRule="exact"/>
                    <w:jc w:val="center"/>
                    <w:rPr>
                      <w:szCs w:val="21"/>
                    </w:rPr>
                  </w:pPr>
                  <w:r>
                    <w:rPr>
                      <w:rFonts w:hint="eastAsia"/>
                      <w:szCs w:val="21"/>
                    </w:rPr>
                    <w:t>废气</w:t>
                  </w:r>
                  <w:r>
                    <w:rPr>
                      <w:szCs w:val="21"/>
                    </w:rPr>
                    <w:t>*</w:t>
                  </w:r>
                </w:p>
              </w:tc>
              <w:tc>
                <w:tcPr>
                  <w:tcW w:w="644" w:type="pct"/>
                  <w:tcMar>
                    <w:left w:w="28" w:type="dxa"/>
                    <w:right w:w="28" w:type="dxa"/>
                  </w:tcMar>
                  <w:vAlign w:val="center"/>
                </w:tcPr>
                <w:p w14:paraId="12BDF613">
                  <w:pPr>
                    <w:widowControl/>
                    <w:spacing w:line="320" w:lineRule="exact"/>
                    <w:jc w:val="center"/>
                    <w:rPr>
                      <w:kern w:val="0"/>
                      <w:szCs w:val="21"/>
                    </w:rPr>
                  </w:pPr>
                  <w:r>
                    <w:rPr>
                      <w:rFonts w:hint="eastAsia"/>
                    </w:rPr>
                    <w:t>粉尘（含炭黑</w:t>
                  </w:r>
                  <w:r>
                    <w:t>尘</w:t>
                  </w:r>
                  <w:r>
                    <w:rPr>
                      <w:rFonts w:hint="eastAsia"/>
                    </w:rPr>
                    <w:t>）</w:t>
                  </w:r>
                </w:p>
              </w:tc>
              <w:tc>
                <w:tcPr>
                  <w:tcW w:w="442" w:type="pct"/>
                  <w:tcMar>
                    <w:left w:w="28" w:type="dxa"/>
                    <w:right w:w="28" w:type="dxa"/>
                  </w:tcMar>
                  <w:vAlign w:val="center"/>
                </w:tcPr>
                <w:p w14:paraId="3908563F">
                  <w:pPr>
                    <w:jc w:val="center"/>
                    <w:rPr>
                      <w:rFonts w:ascii="宋体" w:hAnsi="宋体" w:cs="宋体"/>
                      <w:sz w:val="24"/>
                    </w:rPr>
                  </w:pPr>
                  <w:r>
                    <w:rPr>
                      <w:rFonts w:hint="eastAsia"/>
                    </w:rPr>
                    <w:t>3.13</w:t>
                  </w:r>
                </w:p>
              </w:tc>
              <w:tc>
                <w:tcPr>
                  <w:tcW w:w="442" w:type="pct"/>
                  <w:tcMar>
                    <w:left w:w="28" w:type="dxa"/>
                    <w:right w:w="28" w:type="dxa"/>
                  </w:tcMar>
                  <w:vAlign w:val="center"/>
                </w:tcPr>
                <w:p w14:paraId="1A5B4EBF">
                  <w:pPr>
                    <w:jc w:val="center"/>
                    <w:rPr>
                      <w:sz w:val="24"/>
                    </w:rPr>
                  </w:pPr>
                  <w:r>
                    <w:t>0.124</w:t>
                  </w:r>
                </w:p>
              </w:tc>
              <w:tc>
                <w:tcPr>
                  <w:tcW w:w="442" w:type="pct"/>
                  <w:vAlign w:val="center"/>
                </w:tcPr>
                <w:p w14:paraId="74D2A84C">
                  <w:pPr>
                    <w:jc w:val="center"/>
                    <w:rPr>
                      <w:szCs w:val="21"/>
                    </w:rPr>
                  </w:pPr>
                  <w:r>
                    <w:rPr>
                      <w:szCs w:val="21"/>
                    </w:rPr>
                    <w:t>0</w:t>
                  </w:r>
                </w:p>
              </w:tc>
              <w:tc>
                <w:tcPr>
                  <w:tcW w:w="442" w:type="pct"/>
                  <w:vAlign w:val="center"/>
                </w:tcPr>
                <w:p w14:paraId="5094DBCD">
                  <w:pPr>
                    <w:jc w:val="center"/>
                    <w:rPr>
                      <w:szCs w:val="21"/>
                    </w:rPr>
                  </w:pPr>
                  <w:r>
                    <w:rPr>
                      <w:szCs w:val="21"/>
                    </w:rPr>
                    <w:t>0.124</w:t>
                  </w:r>
                </w:p>
              </w:tc>
              <w:tc>
                <w:tcPr>
                  <w:tcW w:w="538" w:type="pct"/>
                  <w:tcMar>
                    <w:left w:w="28" w:type="dxa"/>
                    <w:right w:w="28" w:type="dxa"/>
                  </w:tcMar>
                  <w:vAlign w:val="center"/>
                </w:tcPr>
                <w:p w14:paraId="2F0FCED4">
                  <w:pPr>
                    <w:jc w:val="center"/>
                    <w:rPr>
                      <w:szCs w:val="21"/>
                    </w:rPr>
                  </w:pPr>
                  <w:r>
                    <w:rPr>
                      <w:szCs w:val="21"/>
                    </w:rPr>
                    <w:t>0.3</w:t>
                  </w:r>
                </w:p>
              </w:tc>
              <w:tc>
                <w:tcPr>
                  <w:tcW w:w="442" w:type="pct"/>
                  <w:vAlign w:val="center"/>
                </w:tcPr>
                <w:p w14:paraId="2A521CE4">
                  <w:pPr>
                    <w:jc w:val="center"/>
                    <w:rPr>
                      <w:szCs w:val="21"/>
                    </w:rPr>
                  </w:pPr>
                  <w:r>
                    <w:rPr>
                      <w:szCs w:val="21"/>
                    </w:rPr>
                    <w:t>3.254</w:t>
                  </w:r>
                </w:p>
              </w:tc>
              <w:tc>
                <w:tcPr>
                  <w:tcW w:w="512" w:type="pct"/>
                  <w:vAlign w:val="center"/>
                </w:tcPr>
                <w:p w14:paraId="2D416036">
                  <w:pPr>
                    <w:jc w:val="center"/>
                    <w:rPr>
                      <w:szCs w:val="21"/>
                    </w:rPr>
                  </w:pPr>
                  <w:r>
                    <w:rPr>
                      <w:szCs w:val="21"/>
                    </w:rPr>
                    <w:t>0.124</w:t>
                  </w:r>
                </w:p>
              </w:tc>
              <w:tc>
                <w:tcPr>
                  <w:tcW w:w="397" w:type="pct"/>
                  <w:vAlign w:val="center"/>
                </w:tcPr>
                <w:p w14:paraId="61F60B53">
                  <w:pPr>
                    <w:jc w:val="center"/>
                    <w:rPr>
                      <w:szCs w:val="21"/>
                    </w:rPr>
                  </w:pPr>
                  <w:r>
                    <w:rPr>
                      <w:szCs w:val="21"/>
                    </w:rPr>
                    <w:t>0.124</w:t>
                  </w:r>
                </w:p>
              </w:tc>
            </w:tr>
            <w:tr w14:paraId="735B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076D305D">
                  <w:pPr>
                    <w:spacing w:line="320" w:lineRule="exact"/>
                    <w:jc w:val="center"/>
                    <w:rPr>
                      <w:szCs w:val="21"/>
                    </w:rPr>
                  </w:pPr>
                </w:p>
              </w:tc>
              <w:tc>
                <w:tcPr>
                  <w:tcW w:w="380" w:type="pct"/>
                  <w:vMerge w:val="continue"/>
                  <w:tcMar>
                    <w:left w:w="28" w:type="dxa"/>
                    <w:right w:w="28" w:type="dxa"/>
                  </w:tcMar>
                  <w:vAlign w:val="center"/>
                </w:tcPr>
                <w:p w14:paraId="5A8B87DF">
                  <w:pPr>
                    <w:spacing w:line="320" w:lineRule="exact"/>
                    <w:jc w:val="center"/>
                    <w:rPr>
                      <w:szCs w:val="21"/>
                    </w:rPr>
                  </w:pPr>
                </w:p>
              </w:tc>
              <w:tc>
                <w:tcPr>
                  <w:tcW w:w="644" w:type="pct"/>
                  <w:tcMar>
                    <w:left w:w="28" w:type="dxa"/>
                    <w:right w:w="28" w:type="dxa"/>
                  </w:tcMar>
                  <w:vAlign w:val="center"/>
                </w:tcPr>
                <w:p w14:paraId="4EBB5C8B">
                  <w:pPr>
                    <w:widowControl/>
                    <w:spacing w:line="320" w:lineRule="exact"/>
                    <w:jc w:val="center"/>
                  </w:pPr>
                  <w:r>
                    <w:rPr>
                      <w:rFonts w:hint="eastAsia"/>
                    </w:rPr>
                    <w:t>氟化物</w:t>
                  </w:r>
                </w:p>
              </w:tc>
              <w:tc>
                <w:tcPr>
                  <w:tcW w:w="442" w:type="pct"/>
                  <w:tcMar>
                    <w:left w:w="28" w:type="dxa"/>
                    <w:right w:w="28" w:type="dxa"/>
                  </w:tcMar>
                  <w:vAlign w:val="center"/>
                </w:tcPr>
                <w:p w14:paraId="0E9184D8">
                  <w:pPr>
                    <w:jc w:val="center"/>
                    <w:rPr>
                      <w:rFonts w:ascii="宋体" w:hAnsi="宋体" w:cs="宋体"/>
                      <w:sz w:val="24"/>
                    </w:rPr>
                  </w:pPr>
                  <w:r>
                    <w:rPr>
                      <w:rFonts w:hint="eastAsia"/>
                    </w:rPr>
                    <w:t>0.00192</w:t>
                  </w:r>
                </w:p>
              </w:tc>
              <w:tc>
                <w:tcPr>
                  <w:tcW w:w="442" w:type="pct"/>
                  <w:tcMar>
                    <w:left w:w="28" w:type="dxa"/>
                    <w:right w:w="28" w:type="dxa"/>
                  </w:tcMar>
                  <w:vAlign w:val="center"/>
                </w:tcPr>
                <w:p w14:paraId="756FB400">
                  <w:pPr>
                    <w:jc w:val="center"/>
                    <w:rPr>
                      <w:sz w:val="24"/>
                    </w:rPr>
                  </w:pPr>
                  <w:r>
                    <w:t>0.00021</w:t>
                  </w:r>
                </w:p>
              </w:tc>
              <w:tc>
                <w:tcPr>
                  <w:tcW w:w="442" w:type="pct"/>
                  <w:vAlign w:val="center"/>
                </w:tcPr>
                <w:p w14:paraId="34A4AB65">
                  <w:pPr>
                    <w:jc w:val="center"/>
                    <w:rPr>
                      <w:szCs w:val="21"/>
                    </w:rPr>
                  </w:pPr>
                  <w:r>
                    <w:rPr>
                      <w:szCs w:val="21"/>
                    </w:rPr>
                    <w:t>0</w:t>
                  </w:r>
                </w:p>
              </w:tc>
              <w:tc>
                <w:tcPr>
                  <w:tcW w:w="442" w:type="pct"/>
                  <w:vAlign w:val="center"/>
                </w:tcPr>
                <w:p w14:paraId="370FC5A8">
                  <w:pPr>
                    <w:jc w:val="center"/>
                    <w:rPr>
                      <w:szCs w:val="21"/>
                    </w:rPr>
                  </w:pPr>
                  <w:r>
                    <w:rPr>
                      <w:szCs w:val="21"/>
                    </w:rPr>
                    <w:t>0.00021</w:t>
                  </w:r>
                </w:p>
              </w:tc>
              <w:tc>
                <w:tcPr>
                  <w:tcW w:w="538" w:type="pct"/>
                  <w:tcMar>
                    <w:left w:w="28" w:type="dxa"/>
                    <w:right w:w="28" w:type="dxa"/>
                  </w:tcMar>
                  <w:vAlign w:val="center"/>
                </w:tcPr>
                <w:p w14:paraId="073580DC">
                  <w:pPr>
                    <w:jc w:val="center"/>
                    <w:rPr>
                      <w:szCs w:val="21"/>
                    </w:rPr>
                  </w:pPr>
                  <w:r>
                    <w:rPr>
                      <w:szCs w:val="21"/>
                    </w:rPr>
                    <w:t>0</w:t>
                  </w:r>
                </w:p>
              </w:tc>
              <w:tc>
                <w:tcPr>
                  <w:tcW w:w="442" w:type="pct"/>
                  <w:vAlign w:val="center"/>
                </w:tcPr>
                <w:p w14:paraId="30D88CCB">
                  <w:pPr>
                    <w:jc w:val="center"/>
                    <w:rPr>
                      <w:szCs w:val="21"/>
                    </w:rPr>
                  </w:pPr>
                  <w:r>
                    <w:rPr>
                      <w:szCs w:val="21"/>
                    </w:rPr>
                    <w:t>0.00213</w:t>
                  </w:r>
                </w:p>
              </w:tc>
              <w:tc>
                <w:tcPr>
                  <w:tcW w:w="512" w:type="pct"/>
                  <w:vAlign w:val="center"/>
                </w:tcPr>
                <w:p w14:paraId="05243097">
                  <w:pPr>
                    <w:jc w:val="center"/>
                    <w:rPr>
                      <w:szCs w:val="21"/>
                    </w:rPr>
                  </w:pPr>
                  <w:r>
                    <w:rPr>
                      <w:szCs w:val="21"/>
                    </w:rPr>
                    <w:t>0.00021</w:t>
                  </w:r>
                </w:p>
              </w:tc>
              <w:tc>
                <w:tcPr>
                  <w:tcW w:w="397" w:type="pct"/>
                  <w:vAlign w:val="center"/>
                </w:tcPr>
                <w:p w14:paraId="70DDE3D5">
                  <w:pPr>
                    <w:jc w:val="center"/>
                    <w:rPr>
                      <w:szCs w:val="21"/>
                    </w:rPr>
                  </w:pPr>
                  <w:r>
                    <w:rPr>
                      <w:szCs w:val="21"/>
                    </w:rPr>
                    <w:t>0.00021</w:t>
                  </w:r>
                </w:p>
              </w:tc>
            </w:tr>
            <w:tr w14:paraId="3F3F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2DF095B4">
                  <w:pPr>
                    <w:spacing w:line="320" w:lineRule="exact"/>
                    <w:jc w:val="center"/>
                    <w:rPr>
                      <w:szCs w:val="21"/>
                    </w:rPr>
                  </w:pPr>
                </w:p>
              </w:tc>
              <w:tc>
                <w:tcPr>
                  <w:tcW w:w="380" w:type="pct"/>
                  <w:vMerge w:val="continue"/>
                  <w:tcMar>
                    <w:left w:w="28" w:type="dxa"/>
                    <w:right w:w="28" w:type="dxa"/>
                  </w:tcMar>
                  <w:vAlign w:val="center"/>
                </w:tcPr>
                <w:p w14:paraId="6DB99B4B">
                  <w:pPr>
                    <w:spacing w:line="320" w:lineRule="exact"/>
                    <w:jc w:val="center"/>
                    <w:rPr>
                      <w:szCs w:val="21"/>
                    </w:rPr>
                  </w:pPr>
                </w:p>
              </w:tc>
              <w:tc>
                <w:tcPr>
                  <w:tcW w:w="644" w:type="pct"/>
                  <w:tcMar>
                    <w:left w:w="28" w:type="dxa"/>
                    <w:right w:w="28" w:type="dxa"/>
                  </w:tcMar>
                  <w:vAlign w:val="center"/>
                </w:tcPr>
                <w:p w14:paraId="75CDB33D">
                  <w:pPr>
                    <w:jc w:val="center"/>
                    <w:rPr>
                      <w:rFonts w:hAnsi="宋体"/>
                      <w:szCs w:val="21"/>
                    </w:rPr>
                  </w:pPr>
                  <w:r>
                    <w:rPr>
                      <w:rFonts w:hint="eastAsia" w:hAnsi="宋体"/>
                      <w:szCs w:val="21"/>
                    </w:rPr>
                    <w:t>H</w:t>
                  </w:r>
                  <w:r>
                    <w:rPr>
                      <w:rFonts w:hint="eastAsia" w:hAnsi="宋体"/>
                      <w:szCs w:val="21"/>
                      <w:vertAlign w:val="subscript"/>
                    </w:rPr>
                    <w:t>2</w:t>
                  </w:r>
                  <w:r>
                    <w:rPr>
                      <w:rFonts w:hint="eastAsia" w:hAnsi="宋体"/>
                      <w:szCs w:val="21"/>
                    </w:rPr>
                    <w:t>S</w:t>
                  </w:r>
                </w:p>
              </w:tc>
              <w:tc>
                <w:tcPr>
                  <w:tcW w:w="442" w:type="pct"/>
                  <w:tcMar>
                    <w:left w:w="28" w:type="dxa"/>
                    <w:right w:w="28" w:type="dxa"/>
                  </w:tcMar>
                  <w:vAlign w:val="center"/>
                </w:tcPr>
                <w:p w14:paraId="15719C32">
                  <w:pPr>
                    <w:jc w:val="center"/>
                    <w:rPr>
                      <w:rFonts w:ascii="宋体" w:hAnsi="宋体" w:cs="宋体"/>
                      <w:sz w:val="24"/>
                    </w:rPr>
                  </w:pPr>
                  <w:r>
                    <w:rPr>
                      <w:rFonts w:hint="eastAsia"/>
                    </w:rPr>
                    <w:t>0.2249</w:t>
                  </w:r>
                </w:p>
              </w:tc>
              <w:tc>
                <w:tcPr>
                  <w:tcW w:w="442" w:type="pct"/>
                  <w:tcMar>
                    <w:left w:w="28" w:type="dxa"/>
                    <w:right w:w="28" w:type="dxa"/>
                  </w:tcMar>
                  <w:vAlign w:val="center"/>
                </w:tcPr>
                <w:p w14:paraId="4860C8BE">
                  <w:pPr>
                    <w:jc w:val="center"/>
                    <w:rPr>
                      <w:sz w:val="24"/>
                    </w:rPr>
                  </w:pPr>
                  <w:r>
                    <w:t>0.048</w:t>
                  </w:r>
                </w:p>
              </w:tc>
              <w:tc>
                <w:tcPr>
                  <w:tcW w:w="442" w:type="pct"/>
                  <w:vAlign w:val="center"/>
                </w:tcPr>
                <w:p w14:paraId="61661079">
                  <w:pPr>
                    <w:jc w:val="center"/>
                    <w:rPr>
                      <w:szCs w:val="21"/>
                    </w:rPr>
                  </w:pPr>
                  <w:r>
                    <w:rPr>
                      <w:szCs w:val="21"/>
                    </w:rPr>
                    <w:t>0</w:t>
                  </w:r>
                </w:p>
              </w:tc>
              <w:tc>
                <w:tcPr>
                  <w:tcW w:w="442" w:type="pct"/>
                  <w:vAlign w:val="center"/>
                </w:tcPr>
                <w:p w14:paraId="5E4328C0">
                  <w:pPr>
                    <w:jc w:val="center"/>
                    <w:rPr>
                      <w:szCs w:val="21"/>
                    </w:rPr>
                  </w:pPr>
                  <w:r>
                    <w:rPr>
                      <w:szCs w:val="21"/>
                    </w:rPr>
                    <w:t>0.048</w:t>
                  </w:r>
                </w:p>
              </w:tc>
              <w:tc>
                <w:tcPr>
                  <w:tcW w:w="538" w:type="pct"/>
                  <w:tcMar>
                    <w:left w:w="28" w:type="dxa"/>
                    <w:right w:w="28" w:type="dxa"/>
                  </w:tcMar>
                  <w:vAlign w:val="center"/>
                </w:tcPr>
                <w:p w14:paraId="79AB1A1A">
                  <w:pPr>
                    <w:jc w:val="center"/>
                    <w:rPr>
                      <w:szCs w:val="21"/>
                    </w:rPr>
                  </w:pPr>
                  <w:r>
                    <w:rPr>
                      <w:szCs w:val="21"/>
                    </w:rPr>
                    <w:t>0.052</w:t>
                  </w:r>
                </w:p>
              </w:tc>
              <w:tc>
                <w:tcPr>
                  <w:tcW w:w="442" w:type="pct"/>
                  <w:vAlign w:val="center"/>
                </w:tcPr>
                <w:p w14:paraId="715AD88A">
                  <w:pPr>
                    <w:jc w:val="center"/>
                    <w:rPr>
                      <w:szCs w:val="21"/>
                    </w:rPr>
                  </w:pPr>
                  <w:r>
                    <w:rPr>
                      <w:szCs w:val="21"/>
                    </w:rPr>
                    <w:t>0.2729</w:t>
                  </w:r>
                </w:p>
              </w:tc>
              <w:tc>
                <w:tcPr>
                  <w:tcW w:w="512" w:type="pct"/>
                  <w:vAlign w:val="center"/>
                </w:tcPr>
                <w:p w14:paraId="02337DEF">
                  <w:pPr>
                    <w:jc w:val="center"/>
                    <w:rPr>
                      <w:szCs w:val="21"/>
                    </w:rPr>
                  </w:pPr>
                  <w:r>
                    <w:rPr>
                      <w:szCs w:val="21"/>
                    </w:rPr>
                    <w:t>0.048</w:t>
                  </w:r>
                </w:p>
              </w:tc>
              <w:tc>
                <w:tcPr>
                  <w:tcW w:w="397" w:type="pct"/>
                  <w:vAlign w:val="center"/>
                </w:tcPr>
                <w:p w14:paraId="39BEB392">
                  <w:pPr>
                    <w:jc w:val="center"/>
                    <w:rPr>
                      <w:szCs w:val="21"/>
                    </w:rPr>
                  </w:pPr>
                  <w:r>
                    <w:rPr>
                      <w:szCs w:val="21"/>
                    </w:rPr>
                    <w:t>0.048</w:t>
                  </w:r>
                </w:p>
              </w:tc>
            </w:tr>
            <w:tr w14:paraId="6C99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69E3E9FD">
                  <w:pPr>
                    <w:spacing w:line="320" w:lineRule="exact"/>
                    <w:jc w:val="center"/>
                    <w:rPr>
                      <w:szCs w:val="21"/>
                    </w:rPr>
                  </w:pPr>
                </w:p>
              </w:tc>
              <w:tc>
                <w:tcPr>
                  <w:tcW w:w="380" w:type="pct"/>
                  <w:vMerge w:val="continue"/>
                  <w:tcMar>
                    <w:left w:w="28" w:type="dxa"/>
                    <w:right w:w="28" w:type="dxa"/>
                  </w:tcMar>
                  <w:vAlign w:val="center"/>
                </w:tcPr>
                <w:p w14:paraId="04E8640D">
                  <w:pPr>
                    <w:spacing w:line="320" w:lineRule="exact"/>
                    <w:jc w:val="center"/>
                    <w:rPr>
                      <w:szCs w:val="21"/>
                    </w:rPr>
                  </w:pPr>
                </w:p>
              </w:tc>
              <w:tc>
                <w:tcPr>
                  <w:tcW w:w="644" w:type="pct"/>
                  <w:tcMar>
                    <w:left w:w="28" w:type="dxa"/>
                    <w:right w:w="28" w:type="dxa"/>
                  </w:tcMar>
                  <w:vAlign w:val="center"/>
                </w:tcPr>
                <w:p w14:paraId="0313E9B0">
                  <w:pPr>
                    <w:jc w:val="center"/>
                    <w:rPr>
                      <w:rFonts w:hAnsi="宋体"/>
                      <w:szCs w:val="21"/>
                    </w:rPr>
                  </w:pPr>
                  <w:r>
                    <w:rPr>
                      <w:rFonts w:hint="eastAsia" w:hAnsi="宋体"/>
                      <w:szCs w:val="21"/>
                    </w:rPr>
                    <w:t>二甲苯</w:t>
                  </w:r>
                </w:p>
              </w:tc>
              <w:tc>
                <w:tcPr>
                  <w:tcW w:w="442" w:type="pct"/>
                  <w:tcMar>
                    <w:left w:w="28" w:type="dxa"/>
                    <w:right w:w="28" w:type="dxa"/>
                  </w:tcMar>
                  <w:vAlign w:val="center"/>
                </w:tcPr>
                <w:p w14:paraId="1CEAD6BE">
                  <w:pPr>
                    <w:jc w:val="center"/>
                    <w:rPr>
                      <w:rFonts w:ascii="宋体" w:hAnsi="宋体" w:cs="宋体"/>
                      <w:sz w:val="24"/>
                    </w:rPr>
                  </w:pPr>
                  <w:r>
                    <w:rPr>
                      <w:rFonts w:hint="eastAsia"/>
                    </w:rPr>
                    <w:t>0.08</w:t>
                  </w:r>
                </w:p>
              </w:tc>
              <w:tc>
                <w:tcPr>
                  <w:tcW w:w="442" w:type="pct"/>
                  <w:tcMar>
                    <w:left w:w="28" w:type="dxa"/>
                    <w:right w:w="28" w:type="dxa"/>
                  </w:tcMar>
                  <w:vAlign w:val="center"/>
                </w:tcPr>
                <w:p w14:paraId="47572C65">
                  <w:pPr>
                    <w:jc w:val="center"/>
                    <w:rPr>
                      <w:szCs w:val="21"/>
                    </w:rPr>
                  </w:pPr>
                  <w:r>
                    <w:rPr>
                      <w:rFonts w:hint="eastAsia"/>
                      <w:szCs w:val="21"/>
                    </w:rPr>
                    <w:t>0</w:t>
                  </w:r>
                </w:p>
              </w:tc>
              <w:tc>
                <w:tcPr>
                  <w:tcW w:w="442" w:type="pct"/>
                  <w:vAlign w:val="center"/>
                </w:tcPr>
                <w:p w14:paraId="37C82052">
                  <w:pPr>
                    <w:jc w:val="center"/>
                    <w:rPr>
                      <w:szCs w:val="21"/>
                    </w:rPr>
                  </w:pPr>
                  <w:r>
                    <w:rPr>
                      <w:szCs w:val="21"/>
                    </w:rPr>
                    <w:t>0</w:t>
                  </w:r>
                </w:p>
              </w:tc>
              <w:tc>
                <w:tcPr>
                  <w:tcW w:w="442" w:type="pct"/>
                  <w:vAlign w:val="center"/>
                </w:tcPr>
                <w:p w14:paraId="477BB969">
                  <w:pPr>
                    <w:jc w:val="center"/>
                    <w:rPr>
                      <w:szCs w:val="21"/>
                    </w:rPr>
                  </w:pPr>
                  <w:r>
                    <w:rPr>
                      <w:szCs w:val="21"/>
                    </w:rPr>
                    <w:t>0</w:t>
                  </w:r>
                </w:p>
              </w:tc>
              <w:tc>
                <w:tcPr>
                  <w:tcW w:w="538" w:type="pct"/>
                  <w:tcMar>
                    <w:left w:w="28" w:type="dxa"/>
                    <w:right w:w="28" w:type="dxa"/>
                  </w:tcMar>
                  <w:vAlign w:val="center"/>
                </w:tcPr>
                <w:p w14:paraId="123CE70B">
                  <w:pPr>
                    <w:jc w:val="center"/>
                    <w:rPr>
                      <w:szCs w:val="21"/>
                    </w:rPr>
                  </w:pPr>
                  <w:r>
                    <w:rPr>
                      <w:szCs w:val="21"/>
                    </w:rPr>
                    <w:t>0.12</w:t>
                  </w:r>
                </w:p>
              </w:tc>
              <w:tc>
                <w:tcPr>
                  <w:tcW w:w="442" w:type="pct"/>
                  <w:vAlign w:val="center"/>
                </w:tcPr>
                <w:p w14:paraId="36C07ADB">
                  <w:pPr>
                    <w:jc w:val="center"/>
                    <w:rPr>
                      <w:szCs w:val="21"/>
                    </w:rPr>
                  </w:pPr>
                  <w:r>
                    <w:rPr>
                      <w:szCs w:val="21"/>
                    </w:rPr>
                    <w:t>0.08</w:t>
                  </w:r>
                </w:p>
              </w:tc>
              <w:tc>
                <w:tcPr>
                  <w:tcW w:w="512" w:type="pct"/>
                  <w:vAlign w:val="center"/>
                </w:tcPr>
                <w:p w14:paraId="000DB357">
                  <w:pPr>
                    <w:jc w:val="center"/>
                    <w:rPr>
                      <w:szCs w:val="21"/>
                    </w:rPr>
                  </w:pPr>
                  <w:r>
                    <w:rPr>
                      <w:szCs w:val="21"/>
                    </w:rPr>
                    <w:t>0</w:t>
                  </w:r>
                </w:p>
              </w:tc>
              <w:tc>
                <w:tcPr>
                  <w:tcW w:w="397" w:type="pct"/>
                  <w:vAlign w:val="center"/>
                </w:tcPr>
                <w:p w14:paraId="7B37B533">
                  <w:pPr>
                    <w:jc w:val="center"/>
                    <w:rPr>
                      <w:szCs w:val="21"/>
                    </w:rPr>
                  </w:pPr>
                  <w:r>
                    <w:rPr>
                      <w:szCs w:val="21"/>
                    </w:rPr>
                    <w:t>0</w:t>
                  </w:r>
                </w:p>
              </w:tc>
            </w:tr>
            <w:tr w14:paraId="2173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05A11E96">
                  <w:pPr>
                    <w:spacing w:line="320" w:lineRule="exact"/>
                    <w:jc w:val="center"/>
                    <w:rPr>
                      <w:szCs w:val="21"/>
                    </w:rPr>
                  </w:pPr>
                </w:p>
              </w:tc>
              <w:tc>
                <w:tcPr>
                  <w:tcW w:w="380" w:type="pct"/>
                  <w:vMerge w:val="continue"/>
                  <w:tcMar>
                    <w:left w:w="28" w:type="dxa"/>
                    <w:right w:w="28" w:type="dxa"/>
                  </w:tcMar>
                  <w:vAlign w:val="center"/>
                </w:tcPr>
                <w:p w14:paraId="644B136B">
                  <w:pPr>
                    <w:spacing w:line="320" w:lineRule="exact"/>
                    <w:jc w:val="center"/>
                    <w:rPr>
                      <w:szCs w:val="21"/>
                    </w:rPr>
                  </w:pPr>
                </w:p>
              </w:tc>
              <w:tc>
                <w:tcPr>
                  <w:tcW w:w="644" w:type="pct"/>
                  <w:tcMar>
                    <w:left w:w="28" w:type="dxa"/>
                    <w:right w:w="28" w:type="dxa"/>
                  </w:tcMar>
                  <w:vAlign w:val="center"/>
                </w:tcPr>
                <w:p w14:paraId="4B83B90B">
                  <w:pPr>
                    <w:jc w:val="center"/>
                    <w:rPr>
                      <w:rFonts w:hAnsi="宋体"/>
                      <w:szCs w:val="21"/>
                    </w:rPr>
                  </w:pPr>
                  <w:r>
                    <w:rPr>
                      <w:rFonts w:hint="eastAsia" w:hAnsi="宋体"/>
                      <w:szCs w:val="21"/>
                    </w:rPr>
                    <w:t>乙苯</w:t>
                  </w:r>
                </w:p>
              </w:tc>
              <w:tc>
                <w:tcPr>
                  <w:tcW w:w="442" w:type="pct"/>
                  <w:tcMar>
                    <w:left w:w="28" w:type="dxa"/>
                    <w:right w:w="28" w:type="dxa"/>
                  </w:tcMar>
                  <w:vAlign w:val="center"/>
                </w:tcPr>
                <w:p w14:paraId="1030E4DB">
                  <w:pPr>
                    <w:jc w:val="center"/>
                    <w:rPr>
                      <w:rFonts w:ascii="宋体" w:hAnsi="宋体" w:cs="宋体"/>
                      <w:sz w:val="24"/>
                    </w:rPr>
                  </w:pPr>
                  <w:r>
                    <w:rPr>
                      <w:rFonts w:hint="eastAsia"/>
                    </w:rPr>
                    <w:t>0.03</w:t>
                  </w:r>
                </w:p>
              </w:tc>
              <w:tc>
                <w:tcPr>
                  <w:tcW w:w="442" w:type="pct"/>
                  <w:tcMar>
                    <w:left w:w="28" w:type="dxa"/>
                    <w:right w:w="28" w:type="dxa"/>
                  </w:tcMar>
                  <w:vAlign w:val="center"/>
                </w:tcPr>
                <w:p w14:paraId="77595224">
                  <w:pPr>
                    <w:jc w:val="center"/>
                    <w:rPr>
                      <w:szCs w:val="21"/>
                    </w:rPr>
                  </w:pPr>
                  <w:r>
                    <w:rPr>
                      <w:rFonts w:hint="eastAsia"/>
                      <w:szCs w:val="21"/>
                    </w:rPr>
                    <w:t>0</w:t>
                  </w:r>
                </w:p>
              </w:tc>
              <w:tc>
                <w:tcPr>
                  <w:tcW w:w="442" w:type="pct"/>
                  <w:vAlign w:val="center"/>
                </w:tcPr>
                <w:p w14:paraId="1E707A45">
                  <w:pPr>
                    <w:jc w:val="center"/>
                    <w:rPr>
                      <w:szCs w:val="21"/>
                    </w:rPr>
                  </w:pPr>
                  <w:r>
                    <w:rPr>
                      <w:szCs w:val="21"/>
                    </w:rPr>
                    <w:t>0</w:t>
                  </w:r>
                </w:p>
              </w:tc>
              <w:tc>
                <w:tcPr>
                  <w:tcW w:w="442" w:type="pct"/>
                  <w:vAlign w:val="center"/>
                </w:tcPr>
                <w:p w14:paraId="722BC1DA">
                  <w:pPr>
                    <w:jc w:val="center"/>
                    <w:rPr>
                      <w:szCs w:val="21"/>
                    </w:rPr>
                  </w:pPr>
                  <w:r>
                    <w:rPr>
                      <w:szCs w:val="21"/>
                    </w:rPr>
                    <w:t>0</w:t>
                  </w:r>
                </w:p>
              </w:tc>
              <w:tc>
                <w:tcPr>
                  <w:tcW w:w="538" w:type="pct"/>
                  <w:tcMar>
                    <w:left w:w="28" w:type="dxa"/>
                    <w:right w:w="28" w:type="dxa"/>
                  </w:tcMar>
                  <w:vAlign w:val="center"/>
                </w:tcPr>
                <w:p w14:paraId="398EED04">
                  <w:pPr>
                    <w:jc w:val="center"/>
                    <w:rPr>
                      <w:szCs w:val="21"/>
                    </w:rPr>
                  </w:pPr>
                  <w:r>
                    <w:rPr>
                      <w:szCs w:val="21"/>
                    </w:rPr>
                    <w:t>0</w:t>
                  </w:r>
                </w:p>
              </w:tc>
              <w:tc>
                <w:tcPr>
                  <w:tcW w:w="442" w:type="pct"/>
                  <w:vAlign w:val="center"/>
                </w:tcPr>
                <w:p w14:paraId="53CF4D60">
                  <w:pPr>
                    <w:jc w:val="center"/>
                    <w:rPr>
                      <w:szCs w:val="21"/>
                    </w:rPr>
                  </w:pPr>
                  <w:r>
                    <w:rPr>
                      <w:szCs w:val="21"/>
                    </w:rPr>
                    <w:t>0.03</w:t>
                  </w:r>
                </w:p>
              </w:tc>
              <w:tc>
                <w:tcPr>
                  <w:tcW w:w="512" w:type="pct"/>
                  <w:vAlign w:val="center"/>
                </w:tcPr>
                <w:p w14:paraId="2DF158CA">
                  <w:pPr>
                    <w:jc w:val="center"/>
                    <w:rPr>
                      <w:szCs w:val="21"/>
                    </w:rPr>
                  </w:pPr>
                  <w:r>
                    <w:rPr>
                      <w:szCs w:val="21"/>
                    </w:rPr>
                    <w:t>0</w:t>
                  </w:r>
                </w:p>
              </w:tc>
              <w:tc>
                <w:tcPr>
                  <w:tcW w:w="397" w:type="pct"/>
                  <w:vAlign w:val="center"/>
                </w:tcPr>
                <w:p w14:paraId="3B95656A">
                  <w:pPr>
                    <w:jc w:val="center"/>
                    <w:rPr>
                      <w:szCs w:val="21"/>
                    </w:rPr>
                  </w:pPr>
                  <w:r>
                    <w:rPr>
                      <w:szCs w:val="21"/>
                    </w:rPr>
                    <w:t>0</w:t>
                  </w:r>
                </w:p>
              </w:tc>
            </w:tr>
            <w:tr w14:paraId="7606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25846DA5">
                  <w:pPr>
                    <w:spacing w:line="320" w:lineRule="exact"/>
                    <w:jc w:val="center"/>
                    <w:rPr>
                      <w:szCs w:val="21"/>
                    </w:rPr>
                  </w:pPr>
                </w:p>
              </w:tc>
              <w:tc>
                <w:tcPr>
                  <w:tcW w:w="380" w:type="pct"/>
                  <w:vMerge w:val="continue"/>
                  <w:tcMar>
                    <w:left w:w="28" w:type="dxa"/>
                    <w:right w:w="28" w:type="dxa"/>
                  </w:tcMar>
                  <w:vAlign w:val="center"/>
                </w:tcPr>
                <w:p w14:paraId="5FE6C0A4">
                  <w:pPr>
                    <w:spacing w:line="320" w:lineRule="exact"/>
                    <w:jc w:val="center"/>
                    <w:rPr>
                      <w:szCs w:val="21"/>
                    </w:rPr>
                  </w:pPr>
                </w:p>
              </w:tc>
              <w:tc>
                <w:tcPr>
                  <w:tcW w:w="644" w:type="pct"/>
                  <w:tcMar>
                    <w:left w:w="28" w:type="dxa"/>
                    <w:right w:w="28" w:type="dxa"/>
                  </w:tcMar>
                  <w:vAlign w:val="center"/>
                </w:tcPr>
                <w:p w14:paraId="27F73848">
                  <w:pPr>
                    <w:jc w:val="center"/>
                    <w:rPr>
                      <w:szCs w:val="21"/>
                    </w:rPr>
                  </w:pPr>
                  <w:r>
                    <w:rPr>
                      <w:rFonts w:hint="eastAsia" w:hAnsi="宋体"/>
                      <w:szCs w:val="21"/>
                    </w:rPr>
                    <w:t>非甲烷总烃</w:t>
                  </w:r>
                </w:p>
              </w:tc>
              <w:tc>
                <w:tcPr>
                  <w:tcW w:w="442" w:type="pct"/>
                  <w:tcMar>
                    <w:left w:w="28" w:type="dxa"/>
                    <w:right w:w="28" w:type="dxa"/>
                  </w:tcMar>
                  <w:vAlign w:val="center"/>
                </w:tcPr>
                <w:p w14:paraId="5281F37D">
                  <w:pPr>
                    <w:jc w:val="center"/>
                    <w:rPr>
                      <w:szCs w:val="21"/>
                    </w:rPr>
                  </w:pPr>
                  <w:r>
                    <w:rPr>
                      <w:rFonts w:hint="eastAsia"/>
                    </w:rPr>
                    <w:t>1.7374</w:t>
                  </w:r>
                </w:p>
              </w:tc>
              <w:tc>
                <w:tcPr>
                  <w:tcW w:w="442" w:type="pct"/>
                  <w:tcMar>
                    <w:left w:w="28" w:type="dxa"/>
                    <w:right w:w="28" w:type="dxa"/>
                  </w:tcMar>
                  <w:vAlign w:val="center"/>
                </w:tcPr>
                <w:p w14:paraId="481AC064">
                  <w:pPr>
                    <w:jc w:val="center"/>
                    <w:rPr>
                      <w:sz w:val="24"/>
                    </w:rPr>
                  </w:pPr>
                  <w:r>
                    <w:t>0.2651</w:t>
                  </w:r>
                </w:p>
              </w:tc>
              <w:tc>
                <w:tcPr>
                  <w:tcW w:w="442" w:type="pct"/>
                  <w:vAlign w:val="center"/>
                </w:tcPr>
                <w:p w14:paraId="01E93FB9">
                  <w:pPr>
                    <w:jc w:val="center"/>
                    <w:rPr>
                      <w:szCs w:val="21"/>
                    </w:rPr>
                  </w:pPr>
                  <w:r>
                    <w:rPr>
                      <w:szCs w:val="21"/>
                    </w:rPr>
                    <w:t>0</w:t>
                  </w:r>
                </w:p>
              </w:tc>
              <w:tc>
                <w:tcPr>
                  <w:tcW w:w="442" w:type="pct"/>
                  <w:vAlign w:val="center"/>
                </w:tcPr>
                <w:p w14:paraId="6099FD82">
                  <w:pPr>
                    <w:jc w:val="center"/>
                    <w:rPr>
                      <w:szCs w:val="21"/>
                    </w:rPr>
                  </w:pPr>
                  <w:r>
                    <w:rPr>
                      <w:szCs w:val="21"/>
                    </w:rPr>
                    <w:t>0.2651</w:t>
                  </w:r>
                </w:p>
              </w:tc>
              <w:tc>
                <w:tcPr>
                  <w:tcW w:w="538" w:type="pct"/>
                  <w:tcMar>
                    <w:left w:w="28" w:type="dxa"/>
                    <w:right w:w="28" w:type="dxa"/>
                  </w:tcMar>
                  <w:vAlign w:val="center"/>
                </w:tcPr>
                <w:p w14:paraId="589CD807">
                  <w:pPr>
                    <w:jc w:val="center"/>
                    <w:rPr>
                      <w:szCs w:val="21"/>
                    </w:rPr>
                  </w:pPr>
                  <w:r>
                    <w:rPr>
                      <w:szCs w:val="21"/>
                    </w:rPr>
                    <w:t>0.439</w:t>
                  </w:r>
                </w:p>
              </w:tc>
              <w:tc>
                <w:tcPr>
                  <w:tcW w:w="442" w:type="pct"/>
                  <w:vAlign w:val="center"/>
                </w:tcPr>
                <w:p w14:paraId="7C906879">
                  <w:pPr>
                    <w:jc w:val="center"/>
                    <w:rPr>
                      <w:szCs w:val="21"/>
                    </w:rPr>
                  </w:pPr>
                  <w:r>
                    <w:rPr>
                      <w:szCs w:val="21"/>
                    </w:rPr>
                    <w:t>2.0025</w:t>
                  </w:r>
                </w:p>
              </w:tc>
              <w:tc>
                <w:tcPr>
                  <w:tcW w:w="512" w:type="pct"/>
                  <w:vAlign w:val="center"/>
                </w:tcPr>
                <w:p w14:paraId="438D889E">
                  <w:pPr>
                    <w:jc w:val="center"/>
                    <w:rPr>
                      <w:szCs w:val="21"/>
                    </w:rPr>
                  </w:pPr>
                  <w:r>
                    <w:rPr>
                      <w:szCs w:val="21"/>
                    </w:rPr>
                    <w:t>0.2651</w:t>
                  </w:r>
                </w:p>
              </w:tc>
              <w:tc>
                <w:tcPr>
                  <w:tcW w:w="397" w:type="pct"/>
                  <w:vAlign w:val="center"/>
                </w:tcPr>
                <w:p w14:paraId="2270530B">
                  <w:pPr>
                    <w:jc w:val="center"/>
                    <w:rPr>
                      <w:szCs w:val="21"/>
                    </w:rPr>
                  </w:pPr>
                  <w:r>
                    <w:rPr>
                      <w:szCs w:val="21"/>
                    </w:rPr>
                    <w:t>0.2651</w:t>
                  </w:r>
                </w:p>
              </w:tc>
            </w:tr>
            <w:tr w14:paraId="40DF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restart"/>
                  <w:tcMar>
                    <w:left w:w="28" w:type="dxa"/>
                    <w:right w:w="28" w:type="dxa"/>
                  </w:tcMar>
                  <w:vAlign w:val="center"/>
                </w:tcPr>
                <w:p w14:paraId="3D1480EC">
                  <w:pPr>
                    <w:spacing w:line="320" w:lineRule="exact"/>
                    <w:jc w:val="center"/>
                    <w:rPr>
                      <w:szCs w:val="21"/>
                    </w:rPr>
                  </w:pPr>
                  <w:r>
                    <w:rPr>
                      <w:szCs w:val="21"/>
                    </w:rPr>
                    <w:t>固废</w:t>
                  </w:r>
                </w:p>
              </w:tc>
              <w:tc>
                <w:tcPr>
                  <w:tcW w:w="1024" w:type="pct"/>
                  <w:gridSpan w:val="2"/>
                  <w:tcMar>
                    <w:left w:w="28" w:type="dxa"/>
                    <w:right w:w="28" w:type="dxa"/>
                  </w:tcMar>
                  <w:vAlign w:val="center"/>
                </w:tcPr>
                <w:p w14:paraId="0F5E85EC">
                  <w:pPr>
                    <w:spacing w:line="320" w:lineRule="exact"/>
                    <w:jc w:val="center"/>
                    <w:rPr>
                      <w:szCs w:val="21"/>
                    </w:rPr>
                  </w:pPr>
                  <w:r>
                    <w:rPr>
                      <w:rFonts w:hint="eastAsia"/>
                      <w:szCs w:val="21"/>
                    </w:rPr>
                    <w:t>一般固废</w:t>
                  </w:r>
                </w:p>
              </w:tc>
              <w:tc>
                <w:tcPr>
                  <w:tcW w:w="442" w:type="pct"/>
                  <w:tcMar>
                    <w:left w:w="28" w:type="dxa"/>
                    <w:right w:w="28" w:type="dxa"/>
                  </w:tcMar>
                  <w:vAlign w:val="center"/>
                </w:tcPr>
                <w:p w14:paraId="0BF9D0DD">
                  <w:pPr>
                    <w:spacing w:line="320" w:lineRule="exact"/>
                    <w:jc w:val="center"/>
                    <w:rPr>
                      <w:szCs w:val="21"/>
                    </w:rPr>
                  </w:pPr>
                  <w:r>
                    <w:rPr>
                      <w:rFonts w:hint="eastAsia"/>
                      <w:szCs w:val="21"/>
                    </w:rPr>
                    <w:t>0</w:t>
                  </w:r>
                </w:p>
              </w:tc>
              <w:tc>
                <w:tcPr>
                  <w:tcW w:w="442" w:type="pct"/>
                  <w:tcMar>
                    <w:left w:w="28" w:type="dxa"/>
                    <w:right w:w="28" w:type="dxa"/>
                  </w:tcMar>
                  <w:vAlign w:val="center"/>
                </w:tcPr>
                <w:p w14:paraId="48E6F7E2">
                  <w:pPr>
                    <w:spacing w:line="320" w:lineRule="exact"/>
                    <w:jc w:val="center"/>
                    <w:rPr>
                      <w:szCs w:val="21"/>
                    </w:rPr>
                  </w:pPr>
                  <w:r>
                    <w:rPr>
                      <w:rFonts w:hint="eastAsia"/>
                      <w:szCs w:val="21"/>
                    </w:rPr>
                    <w:t>13.42</w:t>
                  </w:r>
                </w:p>
              </w:tc>
              <w:tc>
                <w:tcPr>
                  <w:tcW w:w="442" w:type="pct"/>
                  <w:vAlign w:val="center"/>
                </w:tcPr>
                <w:p w14:paraId="318BD0CA">
                  <w:pPr>
                    <w:jc w:val="center"/>
                    <w:rPr>
                      <w:rFonts w:ascii="宋体" w:hAnsi="宋体" w:cs="宋体"/>
                      <w:sz w:val="24"/>
                    </w:rPr>
                  </w:pPr>
                  <w:r>
                    <w:rPr>
                      <w:rFonts w:hint="eastAsia"/>
                      <w:szCs w:val="21"/>
                    </w:rPr>
                    <w:t>13.42</w:t>
                  </w:r>
                </w:p>
              </w:tc>
              <w:tc>
                <w:tcPr>
                  <w:tcW w:w="442" w:type="pct"/>
                  <w:vAlign w:val="center"/>
                </w:tcPr>
                <w:p w14:paraId="304949B8">
                  <w:pPr>
                    <w:jc w:val="center"/>
                    <w:rPr>
                      <w:rFonts w:ascii="宋体" w:hAnsi="宋体" w:cs="宋体"/>
                      <w:sz w:val="24"/>
                    </w:rPr>
                  </w:pPr>
                  <w:r>
                    <w:rPr>
                      <w:rFonts w:hint="eastAsia"/>
                    </w:rPr>
                    <w:t>0</w:t>
                  </w:r>
                </w:p>
              </w:tc>
              <w:tc>
                <w:tcPr>
                  <w:tcW w:w="538" w:type="pct"/>
                  <w:tcMar>
                    <w:left w:w="28" w:type="dxa"/>
                    <w:right w:w="28" w:type="dxa"/>
                  </w:tcMar>
                  <w:vAlign w:val="center"/>
                </w:tcPr>
                <w:p w14:paraId="75151613">
                  <w:pPr>
                    <w:spacing w:line="320" w:lineRule="exact"/>
                    <w:jc w:val="center"/>
                    <w:rPr>
                      <w:szCs w:val="21"/>
                    </w:rPr>
                  </w:pPr>
                  <w:r>
                    <w:rPr>
                      <w:rFonts w:hint="eastAsia"/>
                      <w:szCs w:val="21"/>
                    </w:rPr>
                    <w:t>0</w:t>
                  </w:r>
                </w:p>
              </w:tc>
              <w:tc>
                <w:tcPr>
                  <w:tcW w:w="442" w:type="pct"/>
                  <w:vAlign w:val="center"/>
                </w:tcPr>
                <w:p w14:paraId="4CDBA784">
                  <w:pPr>
                    <w:spacing w:line="320" w:lineRule="exact"/>
                    <w:jc w:val="center"/>
                    <w:rPr>
                      <w:szCs w:val="21"/>
                    </w:rPr>
                  </w:pPr>
                  <w:r>
                    <w:rPr>
                      <w:rFonts w:hint="eastAsia"/>
                      <w:szCs w:val="21"/>
                    </w:rPr>
                    <w:t>0</w:t>
                  </w:r>
                </w:p>
              </w:tc>
              <w:tc>
                <w:tcPr>
                  <w:tcW w:w="512" w:type="pct"/>
                  <w:vAlign w:val="center"/>
                </w:tcPr>
                <w:p w14:paraId="5B170E8F">
                  <w:pPr>
                    <w:spacing w:line="320" w:lineRule="exact"/>
                    <w:jc w:val="center"/>
                    <w:rPr>
                      <w:szCs w:val="21"/>
                    </w:rPr>
                  </w:pPr>
                  <w:r>
                    <w:rPr>
                      <w:rFonts w:hint="eastAsia"/>
                      <w:szCs w:val="21"/>
                    </w:rPr>
                    <w:t>0</w:t>
                  </w:r>
                </w:p>
              </w:tc>
              <w:tc>
                <w:tcPr>
                  <w:tcW w:w="397" w:type="pct"/>
                  <w:vAlign w:val="center"/>
                </w:tcPr>
                <w:p w14:paraId="2BF3108C">
                  <w:pPr>
                    <w:jc w:val="center"/>
                    <w:rPr>
                      <w:szCs w:val="21"/>
                    </w:rPr>
                  </w:pPr>
                  <w:r>
                    <w:rPr>
                      <w:rFonts w:hint="eastAsia"/>
                      <w:szCs w:val="21"/>
                    </w:rPr>
                    <w:t>0</w:t>
                  </w:r>
                </w:p>
              </w:tc>
            </w:tr>
            <w:tr w14:paraId="6532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582F82B8">
                  <w:pPr>
                    <w:spacing w:line="320" w:lineRule="exact"/>
                    <w:jc w:val="center"/>
                    <w:rPr>
                      <w:szCs w:val="21"/>
                    </w:rPr>
                  </w:pPr>
                </w:p>
              </w:tc>
              <w:tc>
                <w:tcPr>
                  <w:tcW w:w="1024" w:type="pct"/>
                  <w:gridSpan w:val="2"/>
                  <w:tcMar>
                    <w:left w:w="28" w:type="dxa"/>
                    <w:right w:w="28" w:type="dxa"/>
                  </w:tcMar>
                  <w:vAlign w:val="center"/>
                </w:tcPr>
                <w:p w14:paraId="6ABBCC58">
                  <w:pPr>
                    <w:spacing w:line="320" w:lineRule="exact"/>
                    <w:jc w:val="center"/>
                    <w:rPr>
                      <w:szCs w:val="21"/>
                    </w:rPr>
                  </w:pPr>
                  <w:r>
                    <w:rPr>
                      <w:rFonts w:hint="eastAsia"/>
                      <w:szCs w:val="21"/>
                    </w:rPr>
                    <w:t>危险固废</w:t>
                  </w:r>
                </w:p>
              </w:tc>
              <w:tc>
                <w:tcPr>
                  <w:tcW w:w="442" w:type="pct"/>
                  <w:tcMar>
                    <w:left w:w="28" w:type="dxa"/>
                    <w:right w:w="28" w:type="dxa"/>
                  </w:tcMar>
                  <w:vAlign w:val="center"/>
                </w:tcPr>
                <w:p w14:paraId="71294576">
                  <w:pPr>
                    <w:spacing w:line="320" w:lineRule="exact"/>
                    <w:jc w:val="center"/>
                    <w:rPr>
                      <w:szCs w:val="21"/>
                    </w:rPr>
                  </w:pPr>
                  <w:r>
                    <w:rPr>
                      <w:rFonts w:hint="eastAsia"/>
                      <w:szCs w:val="21"/>
                    </w:rPr>
                    <w:t>0</w:t>
                  </w:r>
                </w:p>
              </w:tc>
              <w:tc>
                <w:tcPr>
                  <w:tcW w:w="442" w:type="pct"/>
                  <w:tcMar>
                    <w:left w:w="28" w:type="dxa"/>
                    <w:right w:w="28" w:type="dxa"/>
                  </w:tcMar>
                  <w:vAlign w:val="center"/>
                </w:tcPr>
                <w:p w14:paraId="66D397B6">
                  <w:pPr>
                    <w:jc w:val="center"/>
                    <w:rPr>
                      <w:rFonts w:ascii="宋体" w:hAnsi="宋体" w:cs="宋体"/>
                      <w:sz w:val="24"/>
                    </w:rPr>
                  </w:pPr>
                  <w:r>
                    <w:rPr>
                      <w:rFonts w:hint="eastAsia"/>
                    </w:rPr>
                    <w:t>37.15</w:t>
                  </w:r>
                </w:p>
              </w:tc>
              <w:tc>
                <w:tcPr>
                  <w:tcW w:w="442" w:type="pct"/>
                  <w:vAlign w:val="center"/>
                </w:tcPr>
                <w:p w14:paraId="74E2ADC2">
                  <w:pPr>
                    <w:jc w:val="center"/>
                    <w:rPr>
                      <w:rFonts w:ascii="宋体" w:hAnsi="宋体" w:cs="宋体"/>
                      <w:sz w:val="24"/>
                    </w:rPr>
                  </w:pPr>
                  <w:r>
                    <w:rPr>
                      <w:rFonts w:hint="eastAsia"/>
                    </w:rPr>
                    <w:t>37.15</w:t>
                  </w:r>
                </w:p>
              </w:tc>
              <w:tc>
                <w:tcPr>
                  <w:tcW w:w="442" w:type="pct"/>
                  <w:vAlign w:val="center"/>
                </w:tcPr>
                <w:p w14:paraId="39745B00">
                  <w:pPr>
                    <w:spacing w:line="320" w:lineRule="exact"/>
                    <w:jc w:val="center"/>
                    <w:rPr>
                      <w:szCs w:val="21"/>
                    </w:rPr>
                  </w:pPr>
                  <w:r>
                    <w:rPr>
                      <w:rFonts w:hint="eastAsia"/>
                      <w:szCs w:val="21"/>
                    </w:rPr>
                    <w:t>0</w:t>
                  </w:r>
                </w:p>
              </w:tc>
              <w:tc>
                <w:tcPr>
                  <w:tcW w:w="538" w:type="pct"/>
                  <w:tcMar>
                    <w:left w:w="28" w:type="dxa"/>
                    <w:right w:w="28" w:type="dxa"/>
                  </w:tcMar>
                  <w:vAlign w:val="center"/>
                </w:tcPr>
                <w:p w14:paraId="621EFD6E">
                  <w:pPr>
                    <w:spacing w:line="320" w:lineRule="exact"/>
                    <w:jc w:val="center"/>
                    <w:rPr>
                      <w:szCs w:val="21"/>
                    </w:rPr>
                  </w:pPr>
                  <w:r>
                    <w:rPr>
                      <w:rFonts w:hint="eastAsia"/>
                      <w:szCs w:val="21"/>
                    </w:rPr>
                    <w:t>0</w:t>
                  </w:r>
                </w:p>
              </w:tc>
              <w:tc>
                <w:tcPr>
                  <w:tcW w:w="442" w:type="pct"/>
                  <w:vAlign w:val="center"/>
                </w:tcPr>
                <w:p w14:paraId="087FD4A9">
                  <w:pPr>
                    <w:spacing w:line="320" w:lineRule="exact"/>
                    <w:jc w:val="center"/>
                    <w:rPr>
                      <w:szCs w:val="21"/>
                    </w:rPr>
                  </w:pPr>
                  <w:r>
                    <w:rPr>
                      <w:rFonts w:hint="eastAsia"/>
                      <w:szCs w:val="21"/>
                    </w:rPr>
                    <w:t>0</w:t>
                  </w:r>
                </w:p>
              </w:tc>
              <w:tc>
                <w:tcPr>
                  <w:tcW w:w="512" w:type="pct"/>
                  <w:vAlign w:val="center"/>
                </w:tcPr>
                <w:p w14:paraId="0547FCCD">
                  <w:pPr>
                    <w:spacing w:line="320" w:lineRule="exact"/>
                    <w:jc w:val="center"/>
                    <w:rPr>
                      <w:szCs w:val="21"/>
                    </w:rPr>
                  </w:pPr>
                  <w:r>
                    <w:rPr>
                      <w:rFonts w:hint="eastAsia"/>
                      <w:szCs w:val="21"/>
                    </w:rPr>
                    <w:t>0</w:t>
                  </w:r>
                </w:p>
              </w:tc>
              <w:tc>
                <w:tcPr>
                  <w:tcW w:w="397" w:type="pct"/>
                  <w:vAlign w:val="center"/>
                </w:tcPr>
                <w:p w14:paraId="5B941968">
                  <w:pPr>
                    <w:jc w:val="center"/>
                    <w:rPr>
                      <w:szCs w:val="21"/>
                    </w:rPr>
                  </w:pPr>
                  <w:r>
                    <w:rPr>
                      <w:szCs w:val="21"/>
                    </w:rPr>
                    <w:t>0</w:t>
                  </w:r>
                </w:p>
              </w:tc>
            </w:tr>
            <w:tr w14:paraId="2CBD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9" w:type="pct"/>
                  <w:vMerge w:val="continue"/>
                  <w:tcMar>
                    <w:left w:w="28" w:type="dxa"/>
                    <w:right w:w="28" w:type="dxa"/>
                  </w:tcMar>
                  <w:vAlign w:val="center"/>
                </w:tcPr>
                <w:p w14:paraId="5A991141">
                  <w:pPr>
                    <w:spacing w:line="320" w:lineRule="exact"/>
                    <w:jc w:val="center"/>
                    <w:rPr>
                      <w:szCs w:val="21"/>
                    </w:rPr>
                  </w:pPr>
                </w:p>
              </w:tc>
              <w:tc>
                <w:tcPr>
                  <w:tcW w:w="1024" w:type="pct"/>
                  <w:gridSpan w:val="2"/>
                  <w:tcMar>
                    <w:left w:w="28" w:type="dxa"/>
                    <w:right w:w="28" w:type="dxa"/>
                  </w:tcMar>
                  <w:vAlign w:val="center"/>
                </w:tcPr>
                <w:p w14:paraId="5ACE1D68">
                  <w:pPr>
                    <w:spacing w:line="320" w:lineRule="exact"/>
                    <w:jc w:val="center"/>
                    <w:rPr>
                      <w:szCs w:val="21"/>
                    </w:rPr>
                  </w:pPr>
                  <w:r>
                    <w:rPr>
                      <w:rFonts w:hint="eastAsia"/>
                      <w:szCs w:val="21"/>
                    </w:rPr>
                    <w:t>生活垃圾</w:t>
                  </w:r>
                </w:p>
              </w:tc>
              <w:tc>
                <w:tcPr>
                  <w:tcW w:w="442" w:type="pct"/>
                  <w:tcMar>
                    <w:left w:w="28" w:type="dxa"/>
                    <w:right w:w="28" w:type="dxa"/>
                  </w:tcMar>
                  <w:vAlign w:val="center"/>
                </w:tcPr>
                <w:p w14:paraId="65E67CC6">
                  <w:pPr>
                    <w:spacing w:line="320" w:lineRule="exact"/>
                    <w:jc w:val="center"/>
                    <w:rPr>
                      <w:szCs w:val="21"/>
                    </w:rPr>
                  </w:pPr>
                  <w:r>
                    <w:rPr>
                      <w:rFonts w:hint="eastAsia"/>
                      <w:szCs w:val="21"/>
                    </w:rPr>
                    <w:t>0</w:t>
                  </w:r>
                </w:p>
              </w:tc>
              <w:tc>
                <w:tcPr>
                  <w:tcW w:w="442" w:type="pct"/>
                  <w:tcMar>
                    <w:left w:w="28" w:type="dxa"/>
                    <w:right w:w="28" w:type="dxa"/>
                  </w:tcMar>
                  <w:vAlign w:val="center"/>
                </w:tcPr>
                <w:p w14:paraId="77FF52D3">
                  <w:pPr>
                    <w:spacing w:line="320" w:lineRule="exact"/>
                    <w:jc w:val="center"/>
                    <w:rPr>
                      <w:szCs w:val="21"/>
                    </w:rPr>
                  </w:pPr>
                  <w:r>
                    <w:rPr>
                      <w:rFonts w:hint="eastAsia"/>
                      <w:szCs w:val="21"/>
                    </w:rPr>
                    <w:t>15</w:t>
                  </w:r>
                </w:p>
              </w:tc>
              <w:tc>
                <w:tcPr>
                  <w:tcW w:w="442" w:type="pct"/>
                  <w:vAlign w:val="center"/>
                </w:tcPr>
                <w:p w14:paraId="2BA12EF4">
                  <w:pPr>
                    <w:spacing w:line="320" w:lineRule="exact"/>
                    <w:jc w:val="center"/>
                    <w:rPr>
                      <w:szCs w:val="21"/>
                    </w:rPr>
                  </w:pPr>
                  <w:r>
                    <w:rPr>
                      <w:rFonts w:hint="eastAsia"/>
                      <w:szCs w:val="21"/>
                    </w:rPr>
                    <w:t>15</w:t>
                  </w:r>
                </w:p>
              </w:tc>
              <w:tc>
                <w:tcPr>
                  <w:tcW w:w="442" w:type="pct"/>
                  <w:vAlign w:val="center"/>
                </w:tcPr>
                <w:p w14:paraId="62D2E119">
                  <w:pPr>
                    <w:spacing w:line="320" w:lineRule="exact"/>
                    <w:jc w:val="center"/>
                    <w:rPr>
                      <w:szCs w:val="21"/>
                    </w:rPr>
                  </w:pPr>
                  <w:r>
                    <w:rPr>
                      <w:rFonts w:hint="eastAsia"/>
                      <w:szCs w:val="21"/>
                    </w:rPr>
                    <w:t>0</w:t>
                  </w:r>
                </w:p>
              </w:tc>
              <w:tc>
                <w:tcPr>
                  <w:tcW w:w="538" w:type="pct"/>
                  <w:tcMar>
                    <w:left w:w="28" w:type="dxa"/>
                    <w:right w:w="28" w:type="dxa"/>
                  </w:tcMar>
                  <w:vAlign w:val="center"/>
                </w:tcPr>
                <w:p w14:paraId="12A855D9">
                  <w:pPr>
                    <w:spacing w:line="320" w:lineRule="exact"/>
                    <w:jc w:val="center"/>
                    <w:rPr>
                      <w:szCs w:val="21"/>
                    </w:rPr>
                  </w:pPr>
                  <w:r>
                    <w:rPr>
                      <w:rFonts w:hint="eastAsia"/>
                      <w:szCs w:val="21"/>
                    </w:rPr>
                    <w:t>0</w:t>
                  </w:r>
                </w:p>
              </w:tc>
              <w:tc>
                <w:tcPr>
                  <w:tcW w:w="442" w:type="pct"/>
                  <w:vAlign w:val="center"/>
                </w:tcPr>
                <w:p w14:paraId="0EADCBD6">
                  <w:pPr>
                    <w:spacing w:line="320" w:lineRule="exact"/>
                    <w:jc w:val="center"/>
                    <w:rPr>
                      <w:szCs w:val="21"/>
                    </w:rPr>
                  </w:pPr>
                  <w:r>
                    <w:rPr>
                      <w:rFonts w:hint="eastAsia"/>
                      <w:szCs w:val="21"/>
                    </w:rPr>
                    <w:t>0</w:t>
                  </w:r>
                </w:p>
              </w:tc>
              <w:tc>
                <w:tcPr>
                  <w:tcW w:w="512" w:type="pct"/>
                  <w:vAlign w:val="center"/>
                </w:tcPr>
                <w:p w14:paraId="4CE02F77">
                  <w:pPr>
                    <w:spacing w:line="320" w:lineRule="exact"/>
                    <w:jc w:val="center"/>
                    <w:rPr>
                      <w:szCs w:val="21"/>
                    </w:rPr>
                  </w:pPr>
                  <w:r>
                    <w:rPr>
                      <w:rFonts w:hint="eastAsia"/>
                      <w:szCs w:val="21"/>
                    </w:rPr>
                    <w:t>0</w:t>
                  </w:r>
                </w:p>
              </w:tc>
              <w:tc>
                <w:tcPr>
                  <w:tcW w:w="397" w:type="pct"/>
                  <w:vAlign w:val="center"/>
                </w:tcPr>
                <w:p w14:paraId="0299B3D0">
                  <w:pPr>
                    <w:jc w:val="center"/>
                    <w:rPr>
                      <w:szCs w:val="21"/>
                    </w:rPr>
                  </w:pPr>
                  <w:r>
                    <w:rPr>
                      <w:szCs w:val="21"/>
                    </w:rPr>
                    <w:t>0</w:t>
                  </w:r>
                </w:p>
              </w:tc>
            </w:tr>
          </w:tbl>
          <w:p w14:paraId="489B8166">
            <w:pPr>
              <w:spacing w:line="360" w:lineRule="auto"/>
              <w:rPr>
                <w:b/>
                <w:bCs/>
                <w:szCs w:val="21"/>
              </w:rPr>
            </w:pPr>
            <w:r>
              <w:rPr>
                <w:b/>
                <w:bCs/>
                <w:szCs w:val="21"/>
              </w:rPr>
              <w:t>备注*：现有项目环评批复中未对废气无组织排放量管控，因此现有项目无组织环评批复量为已批环评报告中核定量。</w:t>
            </w:r>
          </w:p>
          <w:p w14:paraId="562BCEEA">
            <w:pPr>
              <w:adjustRightInd w:val="0"/>
              <w:snapToGrid w:val="0"/>
              <w:spacing w:line="360" w:lineRule="auto"/>
              <w:ind w:firstLine="422" w:firstLineChars="200"/>
              <w:rPr>
                <w:b/>
                <w:bCs/>
                <w:szCs w:val="21"/>
              </w:rPr>
            </w:pPr>
            <w:r>
              <w:rPr>
                <w:b/>
                <w:bCs/>
                <w:szCs w:val="21"/>
              </w:rPr>
              <w:t>2、污染物总量平衡方案</w:t>
            </w:r>
          </w:p>
          <w:p w14:paraId="361CD613">
            <w:pPr>
              <w:spacing w:line="360" w:lineRule="auto"/>
              <w:ind w:firstLine="420" w:firstLineChars="200"/>
              <w:rPr>
                <w:kern w:val="0"/>
                <w:szCs w:val="21"/>
              </w:rPr>
            </w:pPr>
            <w:r>
              <w:rPr>
                <w:szCs w:val="21"/>
              </w:rPr>
              <w:t>建设单位向常州市金坛生态环境局申请总量，大气污染物排放量在金坛区内平衡；项目废水排放总量已纳入</w:t>
            </w:r>
            <w:r>
              <w:rPr>
                <w:kern w:val="0"/>
                <w:szCs w:val="21"/>
              </w:rPr>
              <w:t>常州金坛区第二污水处理有限公司</w:t>
            </w:r>
            <w:r>
              <w:rPr>
                <w:szCs w:val="21"/>
              </w:rPr>
              <w:t>排污总量中，在</w:t>
            </w:r>
            <w:r>
              <w:rPr>
                <w:kern w:val="0"/>
                <w:szCs w:val="21"/>
              </w:rPr>
              <w:t>常州金坛区第二污水处理有限公司</w:t>
            </w:r>
            <w:r>
              <w:rPr>
                <w:szCs w:val="21"/>
              </w:rPr>
              <w:t>的污染物排放总量控制指标内进行平衡。</w:t>
            </w:r>
          </w:p>
        </w:tc>
      </w:tr>
    </w:tbl>
    <w:p w14:paraId="16F0ED91">
      <w:pPr>
        <w:adjustRightInd w:val="0"/>
        <w:snapToGrid w:val="0"/>
        <w:jc w:val="center"/>
        <w:rPr>
          <w:b/>
          <w:szCs w:val="21"/>
        </w:rPr>
        <w:sectPr>
          <w:pgSz w:w="16840" w:h="11907" w:orient="landscape"/>
          <w:pgMar w:top="1531" w:right="1701" w:bottom="1531" w:left="2127" w:header="851" w:footer="851" w:gutter="0"/>
          <w:cols w:space="720" w:num="1"/>
          <w:docGrid w:linePitch="312" w:charSpace="0"/>
        </w:sectPr>
      </w:pPr>
    </w:p>
    <w:p w14:paraId="13DE64DE">
      <w:pPr>
        <w:pStyle w:val="21"/>
        <w:jc w:val="center"/>
        <w:outlineLvl w:val="0"/>
        <w:rPr>
          <w:rFonts w:ascii="Times New Roman" w:hAnsi="Times New Roman"/>
          <w:b/>
          <w:bCs/>
          <w:snapToGrid w:val="0"/>
          <w:szCs w:val="24"/>
        </w:rPr>
      </w:pPr>
      <w:bookmarkStart w:id="105" w:name="_Toc14315"/>
      <w:r>
        <w:rPr>
          <w:rFonts w:ascii="Times New Roman" w:hAnsi="Times New Roman"/>
          <w:b/>
          <w:bCs/>
          <w:snapToGrid w:val="0"/>
          <w:szCs w:val="24"/>
        </w:rPr>
        <w:t>四、主要环境影响和保护措施</w:t>
      </w:r>
      <w:bookmarkEnd w:id="105"/>
    </w:p>
    <w:tbl>
      <w:tblPr>
        <w:tblStyle w:val="25"/>
        <w:tblW w:w="541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164"/>
      </w:tblGrid>
      <w:tr w14:paraId="10E36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89" w:type="pct"/>
            <w:tcMar>
              <w:left w:w="28" w:type="dxa"/>
              <w:right w:w="28" w:type="dxa"/>
            </w:tcMar>
            <w:vAlign w:val="center"/>
          </w:tcPr>
          <w:p w14:paraId="7FC79E9D">
            <w:pPr>
              <w:pStyle w:val="21"/>
              <w:adjustRightInd w:val="0"/>
              <w:snapToGrid w:val="0"/>
              <w:spacing w:before="0" w:beforeAutospacing="0" w:after="0" w:afterAutospacing="0" w:line="360" w:lineRule="auto"/>
              <w:jc w:val="center"/>
              <w:rPr>
                <w:rFonts w:ascii="Times New Roman" w:hAnsi="Times New Roman"/>
                <w:bCs/>
                <w:kern w:val="2"/>
                <w:sz w:val="21"/>
                <w:szCs w:val="21"/>
              </w:rPr>
            </w:pPr>
            <w:r>
              <w:rPr>
                <w:rFonts w:ascii="Times New Roman" w:hAnsi="Times New Roman"/>
                <w:kern w:val="2"/>
                <w:sz w:val="21"/>
                <w:szCs w:val="21"/>
              </w:rPr>
              <w:t>施工期环境保护措施</w:t>
            </w:r>
          </w:p>
        </w:tc>
        <w:tc>
          <w:tcPr>
            <w:tcW w:w="4710" w:type="pct"/>
            <w:vAlign w:val="center"/>
          </w:tcPr>
          <w:p w14:paraId="245EBB58">
            <w:pPr>
              <w:adjustRightInd w:val="0"/>
              <w:snapToGrid w:val="0"/>
              <w:spacing w:line="360" w:lineRule="auto"/>
              <w:ind w:firstLine="420" w:firstLineChars="200"/>
              <w:textAlignment w:val="baseline"/>
              <w:rPr>
                <w:bCs/>
                <w:spacing w:val="-10"/>
                <w:szCs w:val="21"/>
              </w:rPr>
            </w:pPr>
            <w:r>
              <w:rPr>
                <w:bCs/>
                <w:kern w:val="0"/>
                <w:szCs w:val="21"/>
              </w:rPr>
              <w:t>本次扩建项目利用现有厂区已建成车间进行生产，新增设备及工序均位于现有车间内，施工期只需要进行设备</w:t>
            </w:r>
            <w:r>
              <w:rPr>
                <w:bCs/>
                <w:snapToGrid w:val="0"/>
                <w:kern w:val="0"/>
                <w:szCs w:val="21"/>
              </w:rPr>
              <w:t>的安</w:t>
            </w:r>
            <w:r>
              <w:rPr>
                <w:bCs/>
                <w:kern w:val="0"/>
                <w:szCs w:val="21"/>
              </w:rPr>
              <w:t>装。考虑到施工期环境</w:t>
            </w:r>
            <w:r>
              <w:rPr>
                <w:bCs/>
                <w:snapToGrid w:val="0"/>
                <w:kern w:val="0"/>
                <w:szCs w:val="21"/>
              </w:rPr>
              <w:t>影响</w:t>
            </w:r>
            <w:r>
              <w:rPr>
                <w:bCs/>
                <w:kern w:val="0"/>
                <w:szCs w:val="21"/>
              </w:rPr>
              <w:t>微弱，</w:t>
            </w:r>
            <w:r>
              <w:rPr>
                <w:bCs/>
                <w:szCs w:val="21"/>
              </w:rPr>
              <w:t>本环评主要针对营运期环境影响进行分析。</w:t>
            </w:r>
          </w:p>
        </w:tc>
      </w:tr>
      <w:tr w14:paraId="490DC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89" w:type="pct"/>
            <w:tcMar>
              <w:left w:w="28" w:type="dxa"/>
              <w:right w:w="28" w:type="dxa"/>
            </w:tcMar>
            <w:vAlign w:val="center"/>
          </w:tcPr>
          <w:p w14:paraId="51FA2F8B">
            <w:pPr>
              <w:pStyle w:val="21"/>
              <w:adjustRightInd w:val="0"/>
              <w:snapToGrid w:val="0"/>
              <w:spacing w:before="0" w:beforeAutospacing="0" w:after="0" w:afterAutospacing="0" w:line="360" w:lineRule="auto"/>
              <w:jc w:val="center"/>
              <w:rPr>
                <w:rFonts w:ascii="Times New Roman" w:hAnsi="Times New Roman"/>
                <w:kern w:val="2"/>
                <w:sz w:val="21"/>
                <w:szCs w:val="21"/>
              </w:rPr>
            </w:pPr>
            <w:r>
              <w:rPr>
                <w:rFonts w:ascii="Times New Roman" w:hAnsi="Times New Roman"/>
                <w:bCs/>
                <w:kern w:val="2"/>
                <w:sz w:val="21"/>
                <w:szCs w:val="21"/>
              </w:rPr>
              <w:t>运营期环境影响和保护措施</w:t>
            </w:r>
          </w:p>
        </w:tc>
        <w:tc>
          <w:tcPr>
            <w:tcW w:w="4710" w:type="pct"/>
            <w:vAlign w:val="center"/>
          </w:tcPr>
          <w:p w14:paraId="2183EC3F">
            <w:pPr>
              <w:adjustRightInd w:val="0"/>
              <w:snapToGrid w:val="0"/>
              <w:spacing w:beforeLines="50" w:line="360" w:lineRule="auto"/>
              <w:rPr>
                <w:b/>
                <w:bCs/>
              </w:rPr>
            </w:pPr>
            <w:r>
              <w:rPr>
                <w:b/>
                <w:bCs/>
              </w:rPr>
              <w:t>1、大气环境影响分析</w:t>
            </w:r>
          </w:p>
          <w:p w14:paraId="16FE1382">
            <w:pPr>
              <w:pStyle w:val="5"/>
              <w:adjustRightInd w:val="0"/>
              <w:snapToGrid w:val="0"/>
              <w:spacing w:line="360" w:lineRule="auto"/>
              <w:ind w:firstLine="420"/>
            </w:pPr>
            <w:r>
              <w:t>项目营运期产生的废气主要为配料废气（</w:t>
            </w:r>
            <w:r>
              <w:rPr>
                <w:bCs/>
                <w:szCs w:val="21"/>
              </w:rPr>
              <w:t>G</w:t>
            </w:r>
            <w:r>
              <w:rPr>
                <w:rFonts w:hint="eastAsia"/>
                <w:bCs/>
                <w:szCs w:val="21"/>
              </w:rPr>
              <w:t>31</w:t>
            </w:r>
            <w:r>
              <w:rPr>
                <w:bCs/>
                <w:szCs w:val="21"/>
              </w:rPr>
              <w:t>’</w:t>
            </w:r>
            <w:r>
              <w:t>）、混炼废气（</w:t>
            </w:r>
            <w:r>
              <w:rPr>
                <w:bCs/>
                <w:szCs w:val="21"/>
              </w:rPr>
              <w:t>G</w:t>
            </w:r>
            <w:r>
              <w:rPr>
                <w:rFonts w:hint="eastAsia"/>
                <w:bCs/>
                <w:szCs w:val="21"/>
              </w:rPr>
              <w:t>32</w:t>
            </w:r>
            <w:r>
              <w:rPr>
                <w:bCs/>
                <w:szCs w:val="21"/>
              </w:rPr>
              <w:t>’</w:t>
            </w:r>
            <w:r>
              <w:t>）、返炼废气（</w:t>
            </w:r>
            <w:r>
              <w:rPr>
                <w:bCs/>
                <w:szCs w:val="21"/>
              </w:rPr>
              <w:t>G</w:t>
            </w:r>
            <w:r>
              <w:rPr>
                <w:rFonts w:hint="eastAsia"/>
                <w:bCs/>
                <w:szCs w:val="21"/>
              </w:rPr>
              <w:t>33</w:t>
            </w:r>
            <w:r>
              <w:rPr>
                <w:bCs/>
                <w:szCs w:val="21"/>
              </w:rPr>
              <w:t>’</w:t>
            </w:r>
            <w:r>
              <w:t>）、挤出废气（</w:t>
            </w:r>
            <w:r>
              <w:rPr>
                <w:bCs/>
                <w:szCs w:val="21"/>
              </w:rPr>
              <w:t>G</w:t>
            </w:r>
            <w:r>
              <w:rPr>
                <w:rFonts w:hint="eastAsia"/>
                <w:bCs/>
                <w:szCs w:val="21"/>
              </w:rPr>
              <w:t>34</w:t>
            </w:r>
            <w:r>
              <w:rPr>
                <w:bCs/>
                <w:szCs w:val="21"/>
              </w:rPr>
              <w:t>’</w:t>
            </w:r>
            <w:r>
              <w:t>）、硫化废气（</w:t>
            </w:r>
            <w:r>
              <w:rPr>
                <w:bCs/>
                <w:szCs w:val="21"/>
              </w:rPr>
              <w:t>G11’</w:t>
            </w:r>
            <w:r>
              <w:t>）、二次硫化废气（</w:t>
            </w:r>
            <w:r>
              <w:rPr>
                <w:bCs/>
                <w:szCs w:val="21"/>
              </w:rPr>
              <w:t>G</w:t>
            </w:r>
            <w:r>
              <w:rPr>
                <w:rFonts w:hint="eastAsia"/>
                <w:bCs/>
                <w:szCs w:val="21"/>
              </w:rPr>
              <w:t>12</w:t>
            </w:r>
            <w:r>
              <w:rPr>
                <w:bCs/>
                <w:szCs w:val="21"/>
              </w:rPr>
              <w:t>’</w:t>
            </w:r>
            <w:r>
              <w:t>）、喷浸涂胶（</w:t>
            </w:r>
            <w:r>
              <w:rPr>
                <w:rFonts w:hint="eastAsia"/>
                <w:bCs/>
                <w:szCs w:val="21"/>
              </w:rPr>
              <w:t>G22</w:t>
            </w:r>
            <w:r>
              <w:rPr>
                <w:bCs/>
                <w:szCs w:val="21"/>
              </w:rPr>
              <w:t>’</w:t>
            </w:r>
            <w:r>
              <w:t>）、干燥废气（</w:t>
            </w:r>
            <w:r>
              <w:rPr>
                <w:rFonts w:hint="eastAsia"/>
                <w:bCs/>
                <w:szCs w:val="21"/>
              </w:rPr>
              <w:t>G23</w:t>
            </w:r>
            <w:r>
              <w:rPr>
                <w:bCs/>
                <w:szCs w:val="21"/>
              </w:rPr>
              <w:t>’</w:t>
            </w:r>
            <w:r>
              <w:t>）、抛丸</w:t>
            </w:r>
            <w:r>
              <w:rPr>
                <w:rFonts w:hint="eastAsia"/>
              </w:rPr>
              <w:t>/</w:t>
            </w:r>
            <w:r>
              <w:t>喷砂粉尘（</w:t>
            </w:r>
            <w:r>
              <w:rPr>
                <w:bCs/>
                <w:szCs w:val="21"/>
              </w:rPr>
              <w:t>G</w:t>
            </w:r>
            <w:r>
              <w:rPr>
                <w:rFonts w:hint="eastAsia"/>
                <w:bCs/>
                <w:szCs w:val="21"/>
              </w:rPr>
              <w:t>2</w:t>
            </w:r>
            <w:r>
              <w:rPr>
                <w:bCs/>
                <w:szCs w:val="21"/>
              </w:rPr>
              <w:t>1’</w:t>
            </w:r>
            <w:r>
              <w:t>），主要污染因子为非甲烷总烃、颗粒物、氟化物、硫化氢、臭气浓度、丙烯腈等。</w:t>
            </w:r>
          </w:p>
          <w:p w14:paraId="51E73F9C">
            <w:pPr>
              <w:pStyle w:val="5"/>
              <w:adjustRightInd w:val="0"/>
              <w:snapToGrid w:val="0"/>
              <w:spacing w:line="360" w:lineRule="auto"/>
              <w:ind w:firstLine="420"/>
            </w:pPr>
            <w:r>
              <w:t>项目废气处理工艺流程图见图4-1。</w:t>
            </w:r>
          </w:p>
          <w:p w14:paraId="38D37D65">
            <w:pPr>
              <w:adjustRightInd w:val="0"/>
              <w:snapToGrid w:val="0"/>
              <w:spacing w:line="360" w:lineRule="auto"/>
              <w:ind w:firstLine="420" w:firstLineChars="200"/>
              <w:textAlignment w:val="baseline"/>
            </w:pPr>
          </w:p>
          <w:p w14:paraId="70D65DA5">
            <w:pPr>
              <w:pStyle w:val="8"/>
              <w:rPr>
                <w:sz w:val="24"/>
              </w:rPr>
            </w:pPr>
          </w:p>
          <w:p w14:paraId="02FBCFA5"/>
          <w:p w14:paraId="5EC8F0D8">
            <w:pPr>
              <w:pStyle w:val="8"/>
              <w:rPr>
                <w:sz w:val="24"/>
              </w:rPr>
            </w:pPr>
          </w:p>
          <w:p w14:paraId="4D928D44"/>
          <w:p w14:paraId="73DBD2E3">
            <w:pPr>
              <w:pStyle w:val="8"/>
              <w:rPr>
                <w:sz w:val="24"/>
              </w:rPr>
            </w:pPr>
          </w:p>
          <w:p w14:paraId="5FD641C3"/>
          <w:p w14:paraId="6FC2EE10">
            <w:pPr>
              <w:pStyle w:val="8"/>
              <w:rPr>
                <w:sz w:val="24"/>
              </w:rPr>
            </w:pPr>
          </w:p>
          <w:p w14:paraId="3EF2CB84"/>
          <w:p w14:paraId="7BD84D49">
            <w:pPr>
              <w:pStyle w:val="8"/>
              <w:rPr>
                <w:sz w:val="24"/>
              </w:rPr>
            </w:pPr>
          </w:p>
          <w:p w14:paraId="5037EB1D"/>
          <w:p w14:paraId="37BCD467">
            <w:pPr>
              <w:pStyle w:val="8"/>
              <w:rPr>
                <w:sz w:val="24"/>
              </w:rPr>
            </w:pPr>
          </w:p>
          <w:p w14:paraId="041D96B4"/>
          <w:p w14:paraId="01B78A8A">
            <w:pPr>
              <w:pStyle w:val="8"/>
              <w:rPr>
                <w:sz w:val="24"/>
              </w:rPr>
            </w:pPr>
          </w:p>
          <w:p w14:paraId="7E1BE441"/>
          <w:p w14:paraId="0993F37A">
            <w:pPr>
              <w:pStyle w:val="8"/>
              <w:rPr>
                <w:sz w:val="24"/>
              </w:rPr>
            </w:pPr>
          </w:p>
          <w:p w14:paraId="32B720ED"/>
          <w:p w14:paraId="6DD50749">
            <w:pPr>
              <w:pStyle w:val="8"/>
              <w:rPr>
                <w:sz w:val="24"/>
              </w:rPr>
            </w:pPr>
          </w:p>
          <w:p w14:paraId="22E8E008"/>
          <w:p w14:paraId="126BB706">
            <w:pPr>
              <w:pStyle w:val="8"/>
              <w:rPr>
                <w:sz w:val="24"/>
              </w:rPr>
            </w:pPr>
          </w:p>
          <w:p w14:paraId="301D0540"/>
          <w:p w14:paraId="2817F66E">
            <w:pPr>
              <w:pStyle w:val="8"/>
              <w:rPr>
                <w:sz w:val="24"/>
              </w:rPr>
            </w:pPr>
          </w:p>
          <w:p w14:paraId="19E7DBCB"/>
          <w:p w14:paraId="27F3486B">
            <w:pPr>
              <w:pStyle w:val="8"/>
              <w:rPr>
                <w:sz w:val="24"/>
              </w:rPr>
            </w:pPr>
          </w:p>
          <w:p w14:paraId="451C9470"/>
          <w:p w14:paraId="60F0EA35"/>
        </w:tc>
      </w:tr>
    </w:tbl>
    <w:p w14:paraId="4D02636C">
      <w:pPr>
        <w:sectPr>
          <w:pgSz w:w="11907" w:h="16840"/>
          <w:pgMar w:top="1701" w:right="1531" w:bottom="2127" w:left="1531" w:header="851" w:footer="851" w:gutter="0"/>
          <w:cols w:space="720" w:num="1"/>
          <w:docGrid w:linePitch="312" w:charSpace="0"/>
        </w:sectPr>
      </w:pPr>
    </w:p>
    <w:p w14:paraId="5EA56F29">
      <w:pPr>
        <w:spacing w:line="480" w:lineRule="exact"/>
        <w:ind w:firstLine="480" w:firstLineChars="200"/>
        <w:rPr>
          <w:sz w:val="24"/>
        </w:rPr>
      </w:pPr>
      <w:r>
        <w:rPr>
          <w:sz w:val="24"/>
        </w:rPr>
        <w:pict>
          <v:line id="_x0000_s2050" o:spid="_x0000_s2050" o:spt="20" style="position:absolute;left:0pt;margin-left:613.8pt;margin-top:403.6pt;height:0pt;width:18pt;z-index:251665408;mso-width-relative:page;mso-height-relative:page;" coordsize="21600,21600">
            <v:path arrowok="t"/>
            <v:fill focussize="0,0"/>
            <v:stroke weight="0pt"/>
            <v:imagedata o:title=""/>
            <o:lock v:ext="edit"/>
          </v:line>
        </w:pict>
      </w:r>
      <w:r>
        <w:rPr>
          <w:sz w:val="24"/>
        </w:rPr>
        <w:pict>
          <v:line id="_x0000_s2051" o:spid="_x0000_s2051" o:spt="20" style="position:absolute;left:0pt;margin-left:613.8pt;margin-top:403.6pt;height:0pt;width:18pt;z-index:251664384;mso-width-relative:page;mso-height-relative:page;" coordsize="21600,21600">
            <v:path arrowok="t"/>
            <v:fill focussize="0,0"/>
            <v:stroke weight="0pt"/>
            <v:imagedata o:title=""/>
            <o:lock v:ext="edit"/>
          </v:line>
        </w:pict>
      </w:r>
      <w:r>
        <w:rPr>
          <w:sz w:val="24"/>
        </w:rPr>
        <w:pict>
          <v:line id="_x0000_s2052" o:spid="_x0000_s2052" o:spt="20" style="position:absolute;left:0pt;margin-left:613.8pt;margin-top:403.6pt;height:0pt;width:18pt;z-index:251663360;mso-width-relative:page;mso-height-relative:page;" coordsize="21600,21600">
            <v:path arrowok="t"/>
            <v:fill focussize="0,0"/>
            <v:stroke weight="0pt"/>
            <v:imagedata o:title=""/>
            <o:lock v:ext="edit"/>
          </v:line>
        </w:pict>
      </w:r>
      <w:r>
        <w:rPr>
          <w:sz w:val="24"/>
        </w:rPr>
        <w:pict>
          <v:line id="_x0000_s2053" o:spid="_x0000_s2053" o:spt="20" style="position:absolute;left:0pt;margin-left:613.8pt;margin-top:403.6pt;height:0pt;width:18pt;z-index:251662336;mso-width-relative:page;mso-height-relative:page;" coordsize="21600,21600">
            <v:path arrowok="t"/>
            <v:fill focussize="0,0"/>
            <v:stroke weight="0pt"/>
            <v:imagedata o:title=""/>
            <o:lock v:ext="edit"/>
          </v:line>
        </w:pict>
      </w:r>
      <w:r>
        <w:rPr>
          <w:sz w:val="24"/>
        </w:rPr>
        <w:pict>
          <v:group id="_x0000_s2054" o:spid="_x0000_s2054" o:spt="203" style="position:absolute;left:0pt;margin-left:33.75pt;margin-top:19.8pt;height:107.65pt;width:538.05pt;mso-position-horizontal-relative:char;mso-position-vertical-relative:line;z-index:251661312;mso-width-relative:page;mso-height-relative:page;" coordorigin="1617,8747" coordsize="10761,2153" editas="canvas">
            <o:lock v:ext="edit"/>
            <v:shape id="_x0000_s4396" o:spid="_x0000_s4396" o:spt="75" type="#_x0000_t75" style="position:absolute;left:1617;top:8747;height:2153;width:10761;" filled="f" o:preferrelative="f" stroked="f" coordsize="21600,21600">
              <v:path/>
              <v:fill on="f" focussize="0,0"/>
              <v:stroke on="f" joinstyle="miter"/>
              <v:imagedata o:title=""/>
              <o:lock v:ext="edit" text="t" aspectratio="t"/>
            </v:shape>
            <v:shape id="_x0000_s4397" o:spid="_x0000_s4397" o:spt="202" type="#_x0000_t202" style="position:absolute;left:4050;top:10167;height:468;width:3180;" fillcolor="#9CBEE0" filled="f" coordsize="21600,21600">
              <v:path/>
              <v:fill on="f" color2="#BBD5F0" focussize="0,0"/>
              <v:stroke joinstyle="miter"/>
              <v:imagedata o:title=""/>
              <o:lock v:ext="edit"/>
              <v:textbox>
                <w:txbxContent>
                  <w:p w14:paraId="0FDE1172">
                    <w:r>
                      <w:rPr>
                        <w:rFonts w:hint="eastAsia"/>
                      </w:rPr>
                      <w:t>碱喷淋塔+二级活性炭吸附装置</w:t>
                    </w:r>
                  </w:p>
                </w:txbxContent>
              </v:textbox>
            </v:shape>
            <v:line id="_x0000_s4398" o:spid="_x0000_s4398" o:spt="20" style="position:absolute;left:9309;top:9967;height:2;width:1116;" coordsize="21600,21600">
              <v:path arrowok="t"/>
              <v:fill focussize="0,0"/>
              <v:stroke endarrow="block"/>
              <v:imagedata o:title=""/>
              <o:lock v:ext="edit"/>
            </v:line>
            <v:shape id="_x0000_s4399" o:spid="_x0000_s4399" o:spt="202" type="#_x0000_t202" style="position:absolute;left:8157;top:9777;height:412;width:1152;" fillcolor="#9CBEE0" filled="f" coordsize="21600,21600">
              <v:path/>
              <v:fill on="f" color2="#BBD5F0" focussize="0,0"/>
              <v:stroke joinstyle="miter"/>
              <v:imagedata o:title=""/>
              <o:lock v:ext="edit"/>
              <v:textbox>
                <w:txbxContent>
                  <w:p w14:paraId="2023DCFA">
                    <w:pPr>
                      <w:ind w:firstLine="105" w:firstLineChars="50"/>
                    </w:pPr>
                    <w:r>
                      <w:rPr>
                        <w:rFonts w:hint="eastAsia"/>
                      </w:rPr>
                      <w:t>排风管</w:t>
                    </w:r>
                  </w:p>
                </w:txbxContent>
              </v:textbox>
            </v:shape>
            <v:shape id="_x0000_s4400" o:spid="_x0000_s4400" o:spt="202" type="#_x0000_t202" style="position:absolute;left:10425;top:9777;height:469;width:1953;" fillcolor="#9CBEE0" filled="f" coordsize="21600,21600">
              <v:path/>
              <v:fill on="f" color2="#BBD5F0" focussize="0,0"/>
              <v:stroke joinstyle="miter"/>
              <v:imagedata o:title=""/>
              <o:lock v:ext="edit"/>
              <v:textbox>
                <w:txbxContent>
                  <w:p w14:paraId="08230A5C">
                    <w:pPr>
                      <w:jc w:val="center"/>
                    </w:pPr>
                    <w:r>
                      <w:rPr>
                        <w:rFonts w:hint="eastAsia"/>
                      </w:rPr>
                      <w:t>15m高1#排气筒</w:t>
                    </w:r>
                  </w:p>
                </w:txbxContent>
              </v:textbox>
            </v:shape>
            <v:shape id="_x0000_s4401" o:spid="_x0000_s4401" o:spt="202" type="#_x0000_t202" style="position:absolute;left:1617;top:9466;height:468;width:1260;" fillcolor="#9CBEE0" filled="f" coordsize="21600,21600">
              <v:path/>
              <v:fill on="f" color2="#BBD5F0" focussize="0,0"/>
              <v:stroke joinstyle="miter"/>
              <v:imagedata o:title=""/>
              <o:lock v:ext="edit"/>
              <v:textbox>
                <w:txbxContent>
                  <w:p w14:paraId="76CBFAF0">
                    <w:r>
                      <w:rPr>
                        <w:rFonts w:hint="eastAsia"/>
                      </w:rPr>
                      <w:t>硫化废气</w:t>
                    </w:r>
                  </w:p>
                </w:txbxContent>
              </v:textbox>
            </v:shape>
            <v:shape id="_x0000_s4402" o:spid="_x0000_s4402" o:spt="202" type="#_x0000_t202" style="position:absolute;left:1617;top:10246;height:444;width:1621;" fillcolor="#9CBEE0" filled="f" coordsize="21600,21600">
              <v:path/>
              <v:fill on="f" color2="#BBD5F0" focussize="0,0"/>
              <v:stroke joinstyle="miter"/>
              <v:imagedata o:title=""/>
              <o:lock v:ext="edit"/>
              <v:textbox>
                <w:txbxContent>
                  <w:p w14:paraId="6D2AC6ED">
                    <w:pPr>
                      <w:jc w:val="center"/>
                    </w:pPr>
                    <w:r>
                      <w:rPr>
                        <w:rFonts w:hint="eastAsia"/>
                      </w:rPr>
                      <w:t>二次硫化废气</w:t>
                    </w:r>
                  </w:p>
                </w:txbxContent>
              </v:textbox>
            </v:shape>
            <v:line id="_x0000_s4403" o:spid="_x0000_s4403" o:spt="20" style="position:absolute;left:2877;top:9622;flip:y;height:1;width:360;" coordsize="21600,21600">
              <v:path arrowok="t"/>
              <v:fill focussize="0,0"/>
              <v:stroke weight="0pt"/>
              <v:imagedata o:title=""/>
              <o:lock v:ext="edit"/>
            </v:line>
            <v:line id="_x0000_s4404" o:spid="_x0000_s4404" o:spt="20" style="position:absolute;left:3237;top:8903;height:696;width:1;" coordsize="21600,21600">
              <v:path arrowok="t"/>
              <v:fill focussize="0,0"/>
              <v:stroke weight="0pt"/>
              <v:imagedata o:title=""/>
              <o:lock v:ext="edit"/>
            </v:line>
            <v:line id="_x0000_s4405" o:spid="_x0000_s4405" o:spt="20" style="position:absolute;left:3238;top:10464;flip:y;height:1;width:813;" coordsize="21600,21600">
              <v:path arrowok="t"/>
              <v:fill focussize="0,0"/>
              <v:stroke weight="0pt" endarrow="block"/>
              <v:imagedata o:title=""/>
              <o:lock v:ext="edit"/>
            </v:line>
            <v:shape id="_x0000_s4406" o:spid="_x0000_s4406" o:spt="202" type="#_x0000_t202" style="position:absolute;left:1617;top:8747;height:468;width:1260;" fillcolor="#9CBEE0" filled="f" coordsize="21600,21600">
              <v:path/>
              <v:fill on="f" color2="#BBD5F0" focussize="0,0"/>
              <v:stroke joinstyle="miter"/>
              <v:imagedata o:title=""/>
              <o:lock v:ext="edit"/>
              <v:textbox>
                <w:txbxContent>
                  <w:p w14:paraId="4A3AA9B2">
                    <w:r>
                      <w:rPr>
                        <w:rFonts w:hint="eastAsia"/>
                      </w:rPr>
                      <w:t>挤出废气</w:t>
                    </w:r>
                  </w:p>
                </w:txbxContent>
              </v:textbox>
            </v:shape>
            <v:line id="_x0000_s4407" o:spid="_x0000_s4407" o:spt="20" style="position:absolute;left:2877;top:8903;height:0;width:360;" coordsize="21600,21600">
              <v:path arrowok="t"/>
              <v:fill focussize="0,0"/>
              <v:stroke weight="0pt"/>
              <v:imagedata o:title=""/>
              <o:lock v:ext="edit"/>
            </v:line>
            <v:shape id="_x0000_s4408" o:spid="_x0000_s4408" o:spt="202" type="#_x0000_t202" style="position:absolute;left:3237;top:10075;height:468;width:900;" filled="f" stroked="f" coordsize="21600,21600">
              <v:path/>
              <v:fill on="f" focussize="0,0"/>
              <v:stroke on="f" joinstyle="miter"/>
              <v:imagedata o:title=""/>
              <o:lock v:ext="edit"/>
              <v:textbox>
                <w:txbxContent>
                  <w:p w14:paraId="56201ED5">
                    <w:pPr>
                      <w:rPr>
                        <w:sz w:val="18"/>
                        <w:szCs w:val="18"/>
                      </w:rPr>
                    </w:pPr>
                    <w:r>
                      <w:rPr>
                        <w:rFonts w:hint="eastAsia"/>
                        <w:sz w:val="18"/>
                        <w:szCs w:val="18"/>
                      </w:rPr>
                      <w:t>集气罩</w:t>
                    </w:r>
                  </w:p>
                </w:txbxContent>
              </v:textbox>
            </v:shape>
            <v:line id="_x0000_s4409" o:spid="_x0000_s4409" o:spt="20" style="position:absolute;left:3237;top:9294;flip:y;height:1;width:813;" coordsize="21600,21600">
              <v:path arrowok="t"/>
              <v:fill focussize="0,0"/>
              <v:stroke weight="0pt" endarrow="block"/>
              <v:imagedata o:title=""/>
              <o:lock v:ext="edit"/>
            </v:line>
            <v:shape id="_x0000_s4410" o:spid="_x0000_s4410" o:spt="202" type="#_x0000_t202" style="position:absolute;left:3237;top:8903;height:468;width:900;" filled="f" stroked="f" coordsize="21600,21600">
              <v:path/>
              <v:fill on="f" focussize="0,0"/>
              <v:stroke on="f" joinstyle="miter"/>
              <v:imagedata o:title=""/>
              <o:lock v:ext="edit"/>
              <v:textbox>
                <w:txbxContent>
                  <w:p w14:paraId="5E5F64F9">
                    <w:pPr>
                      <w:rPr>
                        <w:sz w:val="18"/>
                        <w:szCs w:val="18"/>
                      </w:rPr>
                    </w:pPr>
                    <w:r>
                      <w:rPr>
                        <w:rFonts w:hint="eastAsia"/>
                        <w:sz w:val="18"/>
                        <w:szCs w:val="18"/>
                      </w:rPr>
                      <w:t>集气罩</w:t>
                    </w:r>
                  </w:p>
                </w:txbxContent>
              </v:textbox>
            </v:shape>
            <v:shape id="_x0000_s4411" o:spid="_x0000_s4411" o:spt="202" type="#_x0000_t202" style="position:absolute;left:4051;top:8998;height:468;width:3180;" fillcolor="#9CBEE0" filled="f" coordsize="21600,21600">
              <v:path/>
              <v:fill on="f" color2="#BBD5F0" focussize="0,0"/>
              <v:stroke joinstyle="miter"/>
              <v:imagedata o:title=""/>
              <o:lock v:ext="edit"/>
              <v:textbox>
                <w:txbxContent>
                  <w:p w14:paraId="58DC8A3C">
                    <w:r>
                      <w:rPr>
                        <w:rFonts w:hint="eastAsia"/>
                      </w:rPr>
                      <w:t>碱喷淋塔+二级活性炭吸附装置</w:t>
                    </w:r>
                  </w:p>
                </w:txbxContent>
              </v:textbox>
            </v:shape>
            <v:line id="_x0000_s4412" o:spid="_x0000_s4412" o:spt="20" style="position:absolute;left:7230;top:9214;flip:y;height:1;width:360;" coordsize="21600,21600">
              <v:path arrowok="t"/>
              <v:fill focussize="0,0"/>
              <v:stroke weight="0pt"/>
              <v:imagedata o:title=""/>
              <o:lock v:ext="edit"/>
            </v:line>
            <v:line id="_x0000_s4413" o:spid="_x0000_s4413" o:spt="20" style="position:absolute;left:7257;top:10344;flip:y;height:1;width:360;" coordsize="21600,21600">
              <v:path arrowok="t"/>
              <v:fill focussize="0,0"/>
              <v:stroke weight="0pt"/>
              <v:imagedata o:title=""/>
              <o:lock v:ext="edit"/>
            </v:line>
            <v:line id="_x0000_s4414" o:spid="_x0000_s4414" o:spt="20" style="position:absolute;left:7589;top:9214;height:1130;width:1;" coordsize="21600,21600">
              <v:path arrowok="t"/>
              <v:fill focussize="0,0"/>
              <v:stroke weight="0pt"/>
              <v:imagedata o:title=""/>
              <o:lock v:ext="edit"/>
            </v:line>
            <v:line id="_x0000_s4415" o:spid="_x0000_s4415" o:spt="20" style="position:absolute;left:7617;top:9967;height:1;width:540;" coordsize="21600,21600">
              <v:path arrowok="t"/>
              <v:fill focussize="0,0"/>
              <v:stroke endarrow="block"/>
              <v:imagedata o:title=""/>
              <o:lock v:ext="edit"/>
            </v:line>
            <v:shape id="_x0000_s4416" o:spid="_x0000_s4416" o:spt="202" type="#_x0000_t202" style="position:absolute;left:7257;top:8827;height:467;width:1275;" filled="f" stroked="f" coordsize="21600,21600">
              <v:path/>
              <v:fill on="f" focussize="0,0"/>
              <v:stroke on="f" joinstyle="miter"/>
              <v:imagedata o:title=""/>
              <o:lock v:ext="edit"/>
              <v:textbox>
                <w:txbxContent>
                  <w:p w14:paraId="655EE149">
                    <w:pPr>
                      <w:rPr>
                        <w:sz w:val="18"/>
                        <w:szCs w:val="18"/>
                      </w:rPr>
                    </w:pPr>
                    <w:r>
                      <w:rPr>
                        <w:rFonts w:hint="eastAsia"/>
                        <w:sz w:val="18"/>
                        <w:szCs w:val="18"/>
                      </w:rPr>
                      <w:t>45000m</w:t>
                    </w:r>
                    <w:r>
                      <w:rPr>
                        <w:rFonts w:hint="eastAsia"/>
                        <w:sz w:val="18"/>
                        <w:szCs w:val="18"/>
                        <w:vertAlign w:val="superscript"/>
                      </w:rPr>
                      <w:t>3</w:t>
                    </w:r>
                    <w:r>
                      <w:rPr>
                        <w:rFonts w:hint="eastAsia"/>
                        <w:sz w:val="18"/>
                        <w:szCs w:val="18"/>
                      </w:rPr>
                      <w:t>/h</w:t>
                    </w:r>
                  </w:p>
                </w:txbxContent>
              </v:textbox>
            </v:shape>
            <v:shape id="_x0000_s4417" o:spid="_x0000_s4417" o:spt="202" type="#_x0000_t202" style="position:absolute;left:9309;top:9622;height:453;width:1296;" filled="f" stroked="f" coordsize="21600,21600">
              <v:path/>
              <v:fill on="f" focussize="0,0"/>
              <v:stroke on="f" joinstyle="miter"/>
              <v:imagedata o:title=""/>
              <o:lock v:ext="edit"/>
              <v:textbox>
                <w:txbxContent>
                  <w:p w14:paraId="23BA7354">
                    <w:pPr>
                      <w:rPr>
                        <w:sz w:val="18"/>
                        <w:szCs w:val="18"/>
                      </w:rPr>
                    </w:pPr>
                    <w:r>
                      <w:rPr>
                        <w:rFonts w:hint="eastAsia"/>
                        <w:sz w:val="18"/>
                        <w:szCs w:val="18"/>
                      </w:rPr>
                      <w:t>63000m</w:t>
                    </w:r>
                    <w:r>
                      <w:rPr>
                        <w:rFonts w:hint="eastAsia"/>
                        <w:sz w:val="18"/>
                        <w:szCs w:val="18"/>
                        <w:vertAlign w:val="superscript"/>
                      </w:rPr>
                      <w:t>3</w:t>
                    </w:r>
                    <w:r>
                      <w:rPr>
                        <w:rFonts w:hint="eastAsia"/>
                        <w:sz w:val="18"/>
                        <w:szCs w:val="18"/>
                      </w:rPr>
                      <w:t>/h</w:t>
                    </w:r>
                  </w:p>
                </w:txbxContent>
              </v:textbox>
            </v:shape>
            <v:shape id="_x0000_s4418" o:spid="_x0000_s4418" o:spt="202" type="#_x0000_t202" style="position:absolute;left:7257;top:10345;height:467;width:1275;" filled="f" stroked="f" coordsize="21600,21600">
              <v:path/>
              <v:fill on="f" focussize="0,0"/>
              <v:stroke on="f" joinstyle="miter"/>
              <v:imagedata o:title=""/>
              <o:lock v:ext="edit"/>
              <v:textbox>
                <w:txbxContent>
                  <w:p w14:paraId="12EC7EA1">
                    <w:pPr>
                      <w:rPr>
                        <w:sz w:val="18"/>
                        <w:szCs w:val="18"/>
                      </w:rPr>
                    </w:pPr>
                    <w:r>
                      <w:rPr>
                        <w:rFonts w:hint="eastAsia"/>
                        <w:sz w:val="18"/>
                        <w:szCs w:val="18"/>
                      </w:rPr>
                      <w:t>18000m</w:t>
                    </w:r>
                    <w:r>
                      <w:rPr>
                        <w:rFonts w:hint="eastAsia"/>
                        <w:sz w:val="18"/>
                        <w:szCs w:val="18"/>
                        <w:vertAlign w:val="superscript"/>
                      </w:rPr>
                      <w:t>3</w:t>
                    </w:r>
                    <w:r>
                      <w:rPr>
                        <w:rFonts w:hint="eastAsia"/>
                        <w:sz w:val="18"/>
                        <w:szCs w:val="18"/>
                      </w:rPr>
                      <w:t>/h</w:t>
                    </w:r>
                  </w:p>
                </w:txbxContent>
              </v:textbox>
            </v:shape>
          </v:group>
        </w:pict>
      </w:r>
    </w:p>
    <w:p w14:paraId="37737125">
      <w:pPr>
        <w:spacing w:line="480" w:lineRule="exact"/>
        <w:ind w:firstLine="480" w:firstLineChars="200"/>
        <w:rPr>
          <w:sz w:val="24"/>
        </w:rPr>
      </w:pPr>
    </w:p>
    <w:p w14:paraId="4D0AC8E7">
      <w:pPr>
        <w:spacing w:line="480" w:lineRule="exact"/>
        <w:ind w:firstLine="480" w:firstLineChars="200"/>
        <w:rPr>
          <w:sz w:val="24"/>
        </w:rPr>
      </w:pPr>
    </w:p>
    <w:p w14:paraId="5129A2D9">
      <w:pPr>
        <w:spacing w:line="480" w:lineRule="exact"/>
        <w:ind w:firstLine="480" w:firstLineChars="200"/>
        <w:rPr>
          <w:sz w:val="24"/>
        </w:rPr>
      </w:pPr>
    </w:p>
    <w:p w14:paraId="1A489755">
      <w:pPr>
        <w:spacing w:line="480" w:lineRule="exact"/>
        <w:ind w:firstLine="480" w:firstLineChars="200"/>
        <w:rPr>
          <w:sz w:val="24"/>
        </w:rPr>
      </w:pPr>
    </w:p>
    <w:p w14:paraId="61079AE7">
      <w:pPr>
        <w:spacing w:line="480" w:lineRule="exact"/>
        <w:ind w:firstLine="422" w:firstLineChars="200"/>
        <w:rPr>
          <w:sz w:val="24"/>
        </w:rPr>
      </w:pPr>
      <w:r>
        <w:rPr>
          <w:b/>
          <w:bCs/>
          <w:color w:val="000000"/>
          <w:szCs w:val="21"/>
        </w:rPr>
        <w:pict>
          <v:line id="_x0000_s4419" o:spid="_x0000_s4419" o:spt="20" style="position:absolute;left:0pt;margin-left:292.65pt;margin-top:296.95pt;height:0pt;width:9pt;z-index:251671552;mso-width-relative:page;mso-height-relative:page;" coordsize="21600,21600">
            <v:path arrowok="t"/>
            <v:fill focussize="0,0"/>
            <v:stroke weight="0pt"/>
            <v:imagedata o:title=""/>
            <o:lock v:ext="edit"/>
          </v:line>
        </w:pict>
      </w:r>
      <w:r>
        <w:rPr>
          <w:b/>
          <w:bCs/>
          <w:color w:val="000000"/>
          <w:szCs w:val="21"/>
        </w:rPr>
        <w:pict>
          <v:line id="_x0000_s4420" o:spid="_x0000_s4420" o:spt="20" style="position:absolute;left:0pt;margin-left:292.65pt;margin-top:296.95pt;height:0pt;width:9pt;z-index:251670528;mso-width-relative:page;mso-height-relative:page;" coordsize="21600,21600">
            <v:path arrowok="t"/>
            <v:fill focussize="0,0"/>
            <v:stroke weight="0pt"/>
            <v:imagedata o:title=""/>
            <o:lock v:ext="edit"/>
          </v:line>
        </w:pict>
      </w:r>
      <w:r>
        <w:rPr>
          <w:b/>
          <w:bCs/>
          <w:color w:val="000000"/>
          <w:szCs w:val="21"/>
        </w:rPr>
        <w:pict>
          <v:group id="_x0000_s4421" o:spid="_x0000_s4421" o:spt="203" style="position:absolute;left:0pt;margin-left:25.55pt;margin-top:11.2pt;height:101.05pt;width:550.05pt;mso-position-horizontal-relative:char;mso-position-vertical-relative:line;z-index:251669504;mso-width-relative:page;mso-height-relative:page;" coordorigin="1437,9186" coordsize="11000,2021" editas="canvas">
            <o:lock v:ext="edit"/>
            <v:shape id="_x0000_s4422" o:spid="_x0000_s4422" o:spt="75" type="#_x0000_t75" style="position:absolute;left:1437;top:9186;height:2021;width:11000;" filled="f" stroked="f" coordsize="21600,21600">
              <v:path/>
              <v:fill on="f" focussize="0,0"/>
              <v:stroke on="f" weight="0pt"/>
              <v:imagedata o:title=""/>
              <o:lock v:ext="edit" text="t" aspectratio="t"/>
            </v:shape>
            <v:line id="_x0000_s4423" o:spid="_x0000_s4423" o:spt="20" style="position:absolute;left:3417;top:9933;flip:y;height:1;width:720;" filled="f" stroked="t" coordsize="21600,21600">
              <v:path arrowok="t"/>
              <v:fill on="f" focussize="0,0"/>
              <v:stroke color="#000000" endarrow="block"/>
              <v:imagedata o:title=""/>
              <o:lock v:ext="edit" aspectratio="f"/>
            </v:line>
            <v:line id="_x0000_s4424" o:spid="_x0000_s4424" o:spt="20" style="position:absolute;left:7629;top:9969;height:1;width:915;" filled="f" stroked="t" coordsize="21600,21600">
              <v:path arrowok="t"/>
              <v:fill on="f" focussize="0,0"/>
              <v:stroke color="#000000" endarrow="block"/>
              <v:imagedata o:title=""/>
              <o:lock v:ext="edit" aspectratio="f"/>
            </v:line>
            <v:line id="_x0000_s4425" o:spid="_x0000_s4425" o:spt="20" style="position:absolute;left:9690;top:9967;height:1;width:360;" filled="f" stroked="t" coordsize="21600,21600">
              <v:path arrowok="t"/>
              <v:fill on="f" focussize="0,0"/>
              <v:stroke color="#000000" endarrow="block"/>
              <v:imagedata o:title=""/>
              <o:lock v:ext="edit" aspectratio="f"/>
            </v:line>
            <v:shape id="_x0000_s4426" o:spid="_x0000_s4426" o:spt="202" type="#_x0000_t202" style="position:absolute;left:8610;top:9739;height:468;width:1080;" filled="f" stroked="t" coordsize="21600,21600">
              <v:path/>
              <v:fill on="f" focussize="0,0"/>
              <v:stroke color="#000000" joinstyle="miter"/>
              <v:imagedata o:title=""/>
              <o:lock v:ext="edit" aspectratio="f"/>
              <v:textbox>
                <w:txbxContent>
                  <w:p w14:paraId="59A56559">
                    <w:pPr>
                      <w:ind w:firstLine="105" w:firstLineChars="50"/>
                    </w:pPr>
                    <w:r>
                      <w:rPr>
                        <w:rFonts w:hint="eastAsia"/>
                      </w:rPr>
                      <w:t>排风管</w:t>
                    </w:r>
                  </w:p>
                </w:txbxContent>
              </v:textbox>
            </v:shape>
            <v:shape id="_x0000_s4427" o:spid="_x0000_s4427" o:spt="202" type="#_x0000_t202" style="position:absolute;left:10050;top:9774;height:433;width:2340;" filled="f" stroked="t" coordsize="21600,21600">
              <v:path/>
              <v:fill on="f" focussize="0,0"/>
              <v:stroke color="#000000" joinstyle="miter"/>
              <v:imagedata o:title=""/>
              <o:lock v:ext="edit" aspectratio="f"/>
              <v:textbox>
                <w:txbxContent>
                  <w:p w14:paraId="34B867AE">
                    <w:pPr>
                      <w:jc w:val="center"/>
                    </w:pPr>
                    <w:r>
                      <w:rPr>
                        <w:rFonts w:hint="eastAsia"/>
                      </w:rPr>
                      <w:t>15m高2#排气筒</w:t>
                    </w:r>
                  </w:p>
                </w:txbxContent>
              </v:textbox>
            </v:shape>
            <v:shape id="_x0000_s4428" o:spid="_x0000_s4428" o:spt="202" type="#_x0000_t202" style="position:absolute;left:4137;top:9654;height:553;width:3492;" filled="f" stroked="t" coordsize="21600,21600">
              <v:path/>
              <v:fill on="f" focussize="0,0"/>
              <v:stroke color="#000000" joinstyle="miter"/>
              <v:imagedata o:title=""/>
              <o:lock v:ext="edit" aspectratio="f"/>
              <v:textbox>
                <w:txbxContent>
                  <w:p w14:paraId="2E26E9D6">
                    <w:pPr>
                      <w:ind w:firstLine="105" w:firstLineChars="50"/>
                      <w:rPr>
                        <w:color w:val="000000"/>
                        <w:szCs w:val="21"/>
                      </w:rPr>
                    </w:pPr>
                    <w:r>
                      <w:rPr>
                        <w:rFonts w:hint="eastAsia"/>
                        <w:color w:val="000000"/>
                        <w:szCs w:val="21"/>
                      </w:rPr>
                      <w:t>布袋除尘器+二级活性炭吸附装置</w:t>
                    </w:r>
                  </w:p>
                </w:txbxContent>
              </v:textbox>
            </v:shape>
            <v:shape id="_x0000_s4429" o:spid="_x0000_s4429" o:spt="202" type="#_x0000_t202" style="position:absolute;left:1977;top:9774;height:468;width:1260;" filled="f" stroked="t" coordsize="21600,21600">
              <v:path/>
              <v:fill on="f" focussize="0,0"/>
              <v:stroke color="#000000" joinstyle="miter"/>
              <v:imagedata o:title=""/>
              <o:lock v:ext="edit" aspectratio="f"/>
              <v:textbox>
                <w:txbxContent>
                  <w:p w14:paraId="47945AAB">
                    <w:r>
                      <w:rPr>
                        <w:rFonts w:hint="eastAsia"/>
                      </w:rPr>
                      <w:t>混炼废气</w:t>
                    </w:r>
                  </w:p>
                </w:txbxContent>
              </v:textbox>
            </v:shape>
            <v:line id="_x0000_s4430" o:spid="_x0000_s4430" o:spt="20" style="position:absolute;left:3237;top:9498;height:1;width:180;" filled="f" stroked="t" coordsize="21600,21600">
              <v:path arrowok="t"/>
              <v:fill on="f" focussize="0,0"/>
              <v:stroke weight="0pt" color="#000000"/>
              <v:imagedata o:title=""/>
              <o:lock v:ext="edit" aspectratio="f"/>
            </v:line>
            <v:line id="_x0000_s4431" o:spid="_x0000_s4431" o:spt="20" style="position:absolute;left:3417;top:9498;height:1233;width:1;" filled="f" stroked="t" coordsize="21600,21600">
              <v:path arrowok="t"/>
              <v:fill on="f" focussize="0,0"/>
              <v:stroke weight="0pt" color="#000000"/>
              <v:imagedata o:title=""/>
              <o:lock v:ext="edit" aspectratio="f"/>
            </v:line>
            <v:line id="_x0000_s4432" o:spid="_x0000_s4432" o:spt="20" style="position:absolute;left:3237;top:10746;height:0;width:180;" filled="f" stroked="t" coordsize="21600,21600">
              <v:path arrowok="t"/>
              <v:fill on="f" focussize="0,0"/>
              <v:stroke weight="0pt" color="#000000"/>
              <v:imagedata o:title=""/>
              <o:lock v:ext="edit" aspectratio="f"/>
            </v:line>
            <v:line id="_x0000_s4433" o:spid="_x0000_s4433" o:spt="20" style="position:absolute;left:3237;top:9930;height:1;width:180;" filled="f" stroked="t" coordsize="21600,21600">
              <v:path arrowok="t"/>
              <v:fill on="f" focussize="0,0"/>
              <v:stroke weight="0pt" color="#000000"/>
              <v:imagedata o:title=""/>
              <o:lock v:ext="edit" aspectratio="f"/>
            </v:line>
            <v:shape id="_x0000_s4434" o:spid="_x0000_s4434" o:spt="202" type="#_x0000_t202" style="position:absolute;left:1977;top:10398;height:468;width:1260;" filled="f" stroked="t" coordsize="21600,21600">
              <v:path/>
              <v:fill on="f" focussize="0,0"/>
              <v:stroke color="#000000" joinstyle="miter"/>
              <v:imagedata o:title=""/>
              <o:lock v:ext="edit" aspectratio="f"/>
              <v:textbox>
                <w:txbxContent>
                  <w:p w14:paraId="25CC3043">
                    <w:r>
                      <w:rPr>
                        <w:rFonts w:hint="eastAsia"/>
                      </w:rPr>
                      <w:t>返炼废气</w:t>
                    </w:r>
                  </w:p>
                </w:txbxContent>
              </v:textbox>
            </v:shape>
            <v:shape id="_x0000_s4435" o:spid="_x0000_s4435" o:spt="202" type="#_x0000_t202" style="position:absolute;left:1554;top:9186;height:468;width:1683;" filled="f" stroked="t" coordsize="21600,21600">
              <v:path/>
              <v:fill on="f" focussize="0,0"/>
              <v:stroke color="#000000" joinstyle="miter"/>
              <v:imagedata o:title=""/>
              <o:lock v:ext="edit" aspectratio="f"/>
              <v:textbox>
                <w:txbxContent>
                  <w:p w14:paraId="6559CB91">
                    <w:r>
                      <w:rPr>
                        <w:rFonts w:hint="eastAsia"/>
                      </w:rPr>
                      <w:t>配料/密炼粉尘</w:t>
                    </w:r>
                  </w:p>
                </w:txbxContent>
              </v:textbox>
            </v:shape>
            <v:shape id="_x0000_s4436" o:spid="_x0000_s4436" o:spt="202" type="#_x0000_t202" style="position:absolute;left:3342;top:9502;height:468;width:900;" filled="f" stroked="f" coordsize="21600,21600">
              <v:path/>
              <v:fill on="f" focussize="0,0"/>
              <v:stroke on="f"/>
              <v:imagedata o:title=""/>
              <o:lock v:ext="edit" aspectratio="f"/>
              <v:textbox>
                <w:txbxContent>
                  <w:p w14:paraId="2F6E6222">
                    <w:pPr>
                      <w:rPr>
                        <w:sz w:val="18"/>
                        <w:szCs w:val="18"/>
                      </w:rPr>
                    </w:pPr>
                    <w:r>
                      <w:rPr>
                        <w:rFonts w:hint="eastAsia"/>
                        <w:sz w:val="18"/>
                        <w:szCs w:val="18"/>
                      </w:rPr>
                      <w:t>集气罩</w:t>
                    </w:r>
                  </w:p>
                </w:txbxContent>
              </v:textbox>
            </v:shape>
            <v:shape id="_x0000_s4437" o:spid="_x0000_s4437" o:spt="202" type="#_x0000_t202" style="position:absolute;left:7527;top:9503;height:467;width:1275;" filled="f" stroked="f" coordsize="21600,21600">
              <v:path/>
              <v:fill on="f" focussize="0,0"/>
              <v:stroke on="f"/>
              <v:imagedata o:title=""/>
              <o:lock v:ext="edit" aspectratio="f"/>
              <v:textbox>
                <w:txbxContent>
                  <w:p w14:paraId="6857967F">
                    <w:pPr>
                      <w:rPr>
                        <w:sz w:val="18"/>
                        <w:szCs w:val="18"/>
                      </w:rPr>
                    </w:pPr>
                    <w:r>
                      <w:rPr>
                        <w:rFonts w:hint="eastAsia"/>
                        <w:sz w:val="18"/>
                        <w:szCs w:val="18"/>
                      </w:rPr>
                      <w:t>28200m</w:t>
                    </w:r>
                    <w:r>
                      <w:rPr>
                        <w:rFonts w:hint="eastAsia"/>
                        <w:sz w:val="18"/>
                        <w:szCs w:val="18"/>
                        <w:vertAlign w:val="superscript"/>
                      </w:rPr>
                      <w:t>3</w:t>
                    </w:r>
                    <w:r>
                      <w:rPr>
                        <w:rFonts w:hint="eastAsia"/>
                        <w:sz w:val="18"/>
                        <w:szCs w:val="18"/>
                      </w:rPr>
                      <w:t>/h</w:t>
                    </w:r>
                  </w:p>
                </w:txbxContent>
              </v:textbox>
            </v:shape>
          </v:group>
        </w:pict>
      </w:r>
    </w:p>
    <w:p w14:paraId="6CFE750E">
      <w:pPr>
        <w:pStyle w:val="8"/>
        <w:adjustRightInd w:val="0"/>
        <w:snapToGrid w:val="0"/>
        <w:spacing w:line="360" w:lineRule="auto"/>
        <w:jc w:val="center"/>
        <w:rPr>
          <w:b/>
          <w:bCs/>
          <w:color w:val="000000"/>
          <w:szCs w:val="21"/>
        </w:rPr>
      </w:pPr>
    </w:p>
    <w:p w14:paraId="41269259"/>
    <w:p w14:paraId="37DA8EE4"/>
    <w:p w14:paraId="033AAACB"/>
    <w:p w14:paraId="4D27015E"/>
    <w:p w14:paraId="68C9AAB8"/>
    <w:p w14:paraId="65C3FB6F"/>
    <w:p w14:paraId="14E1D121">
      <w:r>
        <w:pict>
          <v:group id="_x0000_s4438" o:spid="_x0000_s4438" o:spt="203" style="position:absolute;left:0pt;margin-left:54pt;margin-top:0.15pt;height:107.65pt;width:538.05pt;mso-position-horizontal-relative:char;mso-position-vertical-relative:line;z-index:251666432;mso-width-relative:page;mso-height-relative:page;" coordorigin="1617,8747" coordsize="10761,2153" editas="canvas">
            <o:lock v:ext="edit"/>
            <v:shape id="_x0000_s4439" o:spid="_x0000_s4439" o:spt="75" type="#_x0000_t75" style="position:absolute;left:1617;top:8747;height:2153;width:10761;" filled="f" o:preferrelative="f" stroked="f" coordsize="21600,21600">
              <v:path/>
              <v:fill on="f" focussize="0,0"/>
              <v:stroke on="f" joinstyle="miter"/>
              <v:imagedata o:title=""/>
              <o:lock v:ext="edit" text="t" aspectratio="t"/>
            </v:shape>
            <v:shape id="_x0000_s4440" o:spid="_x0000_s4440" o:spt="202" type="#_x0000_t202" style="position:absolute;left:4050;top:10167;height:468;width:3180;" fillcolor="#9CBEE0" filled="f" coordsize="21600,21600">
              <v:path/>
              <v:fill on="f" color2="#BBD5F0" focussize="0,0"/>
              <v:stroke joinstyle="miter"/>
              <v:imagedata o:title=""/>
              <o:lock v:ext="edit"/>
              <v:textbox>
                <w:txbxContent>
                  <w:p w14:paraId="5D5EC35B">
                    <w:r>
                      <w:rPr>
                        <w:rFonts w:hint="eastAsia"/>
                      </w:rPr>
                      <w:t>碱喷淋塔+二级活性炭吸附装置</w:t>
                    </w:r>
                  </w:p>
                </w:txbxContent>
              </v:textbox>
            </v:shape>
            <v:line id="_x0000_s4441" o:spid="_x0000_s4441" o:spt="20" style="position:absolute;left:9309;top:9967;height:2;width:1116;" coordsize="21600,21600">
              <v:path arrowok="t"/>
              <v:fill focussize="0,0"/>
              <v:stroke endarrow="block"/>
              <v:imagedata o:title=""/>
              <o:lock v:ext="edit"/>
            </v:line>
            <v:shape id="_x0000_s4442" o:spid="_x0000_s4442" o:spt="202" type="#_x0000_t202" style="position:absolute;left:8157;top:9777;height:412;width:1152;" fillcolor="#9CBEE0" filled="f" coordsize="21600,21600">
              <v:path/>
              <v:fill on="f" color2="#BBD5F0" focussize="0,0"/>
              <v:stroke joinstyle="miter"/>
              <v:imagedata o:title=""/>
              <o:lock v:ext="edit"/>
              <v:textbox>
                <w:txbxContent>
                  <w:p w14:paraId="5E4F2EAC">
                    <w:pPr>
                      <w:ind w:firstLine="105" w:firstLineChars="50"/>
                    </w:pPr>
                    <w:r>
                      <w:rPr>
                        <w:rFonts w:hint="eastAsia"/>
                      </w:rPr>
                      <w:t>排风管</w:t>
                    </w:r>
                  </w:p>
                </w:txbxContent>
              </v:textbox>
            </v:shape>
            <v:shape id="_x0000_s4443" o:spid="_x0000_s4443" o:spt="202" type="#_x0000_t202" style="position:absolute;left:10425;top:9777;height:469;width:1953;" fillcolor="#9CBEE0" filled="f" coordsize="21600,21600">
              <v:path/>
              <v:fill on="f" color2="#BBD5F0" focussize="0,0"/>
              <v:stroke joinstyle="miter"/>
              <v:imagedata o:title=""/>
              <o:lock v:ext="edit"/>
              <v:textbox>
                <w:txbxContent>
                  <w:p w14:paraId="6652C1AE">
                    <w:pPr>
                      <w:jc w:val="center"/>
                    </w:pPr>
                    <w:r>
                      <w:rPr>
                        <w:rFonts w:hint="eastAsia"/>
                      </w:rPr>
                      <w:t>15m高3#排气筒</w:t>
                    </w:r>
                  </w:p>
                </w:txbxContent>
              </v:textbox>
            </v:shape>
            <v:shape id="_x0000_s4444" o:spid="_x0000_s4444" o:spt="202" type="#_x0000_t202" style="position:absolute;left:1617;top:8998;height:468;width:1620;" fillcolor="#9CBEE0" filled="f" coordsize="21600,21600">
              <v:path/>
              <v:fill on="f" color2="#BBD5F0" focussize="0,0"/>
              <v:stroke joinstyle="miter"/>
              <v:imagedata o:title=""/>
              <o:lock v:ext="edit"/>
              <v:textbox>
                <w:txbxContent>
                  <w:p w14:paraId="55754893">
                    <w:pPr>
                      <w:jc w:val="center"/>
                    </w:pPr>
                    <w:r>
                      <w:rPr>
                        <w:rFonts w:hint="eastAsia"/>
                      </w:rPr>
                      <w:t>硫化废气</w:t>
                    </w:r>
                  </w:p>
                </w:txbxContent>
              </v:textbox>
            </v:shape>
            <v:shape id="_x0000_s4445" o:spid="_x0000_s4445" o:spt="202" type="#_x0000_t202" style="position:absolute;left:1617;top:10246;height:444;width:1621;" fillcolor="#9CBEE0" filled="f" coordsize="21600,21600">
              <v:path/>
              <v:fill on="f" color2="#BBD5F0" focussize="0,0"/>
              <v:stroke joinstyle="miter"/>
              <v:imagedata o:title=""/>
              <o:lock v:ext="edit"/>
              <v:textbox>
                <w:txbxContent>
                  <w:p w14:paraId="3541AD02">
                    <w:pPr>
                      <w:jc w:val="center"/>
                    </w:pPr>
                    <w:r>
                      <w:rPr>
                        <w:rFonts w:hint="eastAsia"/>
                      </w:rPr>
                      <w:t>二次硫化废气</w:t>
                    </w:r>
                  </w:p>
                </w:txbxContent>
              </v:textbox>
            </v:shape>
            <v:line id="_x0000_s4446" o:spid="_x0000_s4446" o:spt="20" style="position:absolute;left:3238;top:10464;flip:y;height:1;width:813;" coordsize="21600,21600">
              <v:path arrowok="t"/>
              <v:fill focussize="0,0"/>
              <v:stroke weight="0pt" endarrow="block"/>
              <v:imagedata o:title=""/>
              <o:lock v:ext="edit"/>
            </v:line>
            <v:shape id="_x0000_s4447" o:spid="_x0000_s4447" o:spt="202" type="#_x0000_t202" style="position:absolute;left:3237;top:10075;height:468;width:900;" filled="f" stroked="f" coordsize="21600,21600">
              <v:path/>
              <v:fill on="f" focussize="0,0"/>
              <v:stroke on="f" joinstyle="miter"/>
              <v:imagedata o:title=""/>
              <o:lock v:ext="edit"/>
              <v:textbox>
                <w:txbxContent>
                  <w:p w14:paraId="01115480">
                    <w:pPr>
                      <w:rPr>
                        <w:sz w:val="18"/>
                        <w:szCs w:val="18"/>
                      </w:rPr>
                    </w:pPr>
                    <w:r>
                      <w:rPr>
                        <w:rFonts w:hint="eastAsia"/>
                        <w:sz w:val="18"/>
                        <w:szCs w:val="18"/>
                      </w:rPr>
                      <w:t>集气罩</w:t>
                    </w:r>
                  </w:p>
                </w:txbxContent>
              </v:textbox>
            </v:shape>
            <v:line id="_x0000_s4448" o:spid="_x0000_s4448" o:spt="20" style="position:absolute;left:3237;top:9294;flip:y;height:1;width:813;" coordsize="21600,21600">
              <v:path arrowok="t"/>
              <v:fill focussize="0,0"/>
              <v:stroke weight="0pt" endarrow="block"/>
              <v:imagedata o:title=""/>
              <o:lock v:ext="edit"/>
            </v:line>
            <v:shape id="_x0000_s4449" o:spid="_x0000_s4449" o:spt="202" type="#_x0000_t202" style="position:absolute;left:3237;top:8903;height:468;width:900;" filled="f" stroked="f" coordsize="21600,21600">
              <v:path/>
              <v:fill on="f" focussize="0,0"/>
              <v:stroke on="f" joinstyle="miter"/>
              <v:imagedata o:title=""/>
              <o:lock v:ext="edit"/>
              <v:textbox>
                <w:txbxContent>
                  <w:p w14:paraId="2B6D7EA5">
                    <w:pPr>
                      <w:rPr>
                        <w:sz w:val="18"/>
                        <w:szCs w:val="18"/>
                      </w:rPr>
                    </w:pPr>
                    <w:r>
                      <w:rPr>
                        <w:rFonts w:hint="eastAsia"/>
                        <w:sz w:val="18"/>
                        <w:szCs w:val="18"/>
                      </w:rPr>
                      <w:t>集气罩</w:t>
                    </w:r>
                  </w:p>
                </w:txbxContent>
              </v:textbox>
            </v:shape>
            <v:shape id="_x0000_s4450" o:spid="_x0000_s4450" o:spt="202" type="#_x0000_t202" style="position:absolute;left:4051;top:8998;height:468;width:3180;" fillcolor="#9CBEE0" filled="f" coordsize="21600,21600">
              <v:path/>
              <v:fill on="f" color2="#BBD5F0" focussize="0,0"/>
              <v:stroke joinstyle="miter"/>
              <v:imagedata o:title=""/>
              <o:lock v:ext="edit"/>
              <v:textbox>
                <w:txbxContent>
                  <w:p w14:paraId="09D831E7">
                    <w:r>
                      <w:rPr>
                        <w:rFonts w:hint="eastAsia"/>
                      </w:rPr>
                      <w:t>碱喷淋塔+二级活性炭吸附装置</w:t>
                    </w:r>
                  </w:p>
                </w:txbxContent>
              </v:textbox>
            </v:shape>
            <v:line id="_x0000_s4451" o:spid="_x0000_s4451" o:spt="20" style="position:absolute;left:7230;top:9214;flip:y;height:1;width:360;" coordsize="21600,21600">
              <v:path arrowok="t"/>
              <v:fill focussize="0,0"/>
              <v:stroke weight="0pt"/>
              <v:imagedata o:title=""/>
              <o:lock v:ext="edit"/>
            </v:line>
            <v:line id="_x0000_s4452" o:spid="_x0000_s4452" o:spt="20" style="position:absolute;left:7257;top:10344;flip:y;height:1;width:360;" coordsize="21600,21600">
              <v:path arrowok="t"/>
              <v:fill focussize="0,0"/>
              <v:stroke weight="0pt"/>
              <v:imagedata o:title=""/>
              <o:lock v:ext="edit"/>
            </v:line>
            <v:line id="_x0000_s4453" o:spid="_x0000_s4453" o:spt="20" style="position:absolute;left:7589;top:9214;height:1130;width:1;" coordsize="21600,21600">
              <v:path arrowok="t"/>
              <v:fill focussize="0,0"/>
              <v:stroke weight="0pt"/>
              <v:imagedata o:title=""/>
              <o:lock v:ext="edit"/>
            </v:line>
            <v:line id="_x0000_s4454" o:spid="_x0000_s4454" o:spt="20" style="position:absolute;left:7617;top:9967;height:1;width:540;" coordsize="21600,21600">
              <v:path arrowok="t"/>
              <v:fill focussize="0,0"/>
              <v:stroke endarrow="block"/>
              <v:imagedata o:title=""/>
              <o:lock v:ext="edit"/>
            </v:line>
            <v:shape id="_x0000_s4455" o:spid="_x0000_s4455" o:spt="202" type="#_x0000_t202" style="position:absolute;left:7257;top:8827;height:467;width:1275;" filled="f" stroked="f" coordsize="21600,21600">
              <v:path/>
              <v:fill on="f" focussize="0,0"/>
              <v:stroke on="f" joinstyle="miter"/>
              <v:imagedata o:title=""/>
              <o:lock v:ext="edit"/>
              <v:textbox>
                <w:txbxContent>
                  <w:p w14:paraId="1247EE1B">
                    <w:pPr>
                      <w:rPr>
                        <w:sz w:val="18"/>
                        <w:szCs w:val="18"/>
                      </w:rPr>
                    </w:pPr>
                    <w:r>
                      <w:rPr>
                        <w:rFonts w:hint="eastAsia"/>
                        <w:sz w:val="18"/>
                        <w:szCs w:val="18"/>
                      </w:rPr>
                      <w:t>45000m</w:t>
                    </w:r>
                    <w:r>
                      <w:rPr>
                        <w:rFonts w:hint="eastAsia"/>
                        <w:sz w:val="18"/>
                        <w:szCs w:val="18"/>
                        <w:vertAlign w:val="superscript"/>
                      </w:rPr>
                      <w:t>3</w:t>
                    </w:r>
                    <w:r>
                      <w:rPr>
                        <w:rFonts w:hint="eastAsia"/>
                        <w:sz w:val="18"/>
                        <w:szCs w:val="18"/>
                      </w:rPr>
                      <w:t>/h</w:t>
                    </w:r>
                  </w:p>
                </w:txbxContent>
              </v:textbox>
            </v:shape>
            <v:shape id="_x0000_s4456" o:spid="_x0000_s4456" o:spt="202" type="#_x0000_t202" style="position:absolute;left:9309;top:9622;height:453;width:1296;" filled="f" stroked="f" coordsize="21600,21600">
              <v:path/>
              <v:fill on="f" focussize="0,0"/>
              <v:stroke on="f" joinstyle="miter"/>
              <v:imagedata o:title=""/>
              <o:lock v:ext="edit"/>
              <v:textbox>
                <w:txbxContent>
                  <w:p w14:paraId="7704E3AF">
                    <w:pPr>
                      <w:rPr>
                        <w:sz w:val="18"/>
                        <w:szCs w:val="18"/>
                      </w:rPr>
                    </w:pPr>
                    <w:r>
                      <w:rPr>
                        <w:rFonts w:hint="eastAsia"/>
                        <w:sz w:val="18"/>
                        <w:szCs w:val="18"/>
                      </w:rPr>
                      <w:t>63000m</w:t>
                    </w:r>
                    <w:r>
                      <w:rPr>
                        <w:rFonts w:hint="eastAsia"/>
                        <w:sz w:val="18"/>
                        <w:szCs w:val="18"/>
                        <w:vertAlign w:val="superscript"/>
                      </w:rPr>
                      <w:t>3</w:t>
                    </w:r>
                    <w:r>
                      <w:rPr>
                        <w:rFonts w:hint="eastAsia"/>
                        <w:sz w:val="18"/>
                        <w:szCs w:val="18"/>
                      </w:rPr>
                      <w:t>/h</w:t>
                    </w:r>
                  </w:p>
                </w:txbxContent>
              </v:textbox>
            </v:shape>
            <v:shape id="_x0000_s4457" o:spid="_x0000_s4457" o:spt="202" type="#_x0000_t202" style="position:absolute;left:7257;top:10345;height:467;width:1275;" filled="f" stroked="f" coordsize="21600,21600">
              <v:path/>
              <v:fill on="f" focussize="0,0"/>
              <v:stroke on="f" joinstyle="miter"/>
              <v:imagedata o:title=""/>
              <o:lock v:ext="edit"/>
              <v:textbox>
                <w:txbxContent>
                  <w:p w14:paraId="75031136">
                    <w:pPr>
                      <w:rPr>
                        <w:sz w:val="18"/>
                        <w:szCs w:val="18"/>
                      </w:rPr>
                    </w:pPr>
                    <w:r>
                      <w:rPr>
                        <w:rFonts w:hint="eastAsia"/>
                        <w:sz w:val="18"/>
                        <w:szCs w:val="18"/>
                      </w:rPr>
                      <w:t>18000m</w:t>
                    </w:r>
                    <w:r>
                      <w:rPr>
                        <w:rFonts w:hint="eastAsia"/>
                        <w:sz w:val="18"/>
                        <w:szCs w:val="18"/>
                        <w:vertAlign w:val="superscript"/>
                      </w:rPr>
                      <w:t>3</w:t>
                    </w:r>
                    <w:r>
                      <w:rPr>
                        <w:rFonts w:hint="eastAsia"/>
                        <w:sz w:val="18"/>
                        <w:szCs w:val="18"/>
                      </w:rPr>
                      <w:t>/h</w:t>
                    </w:r>
                  </w:p>
                </w:txbxContent>
              </v:textbox>
            </v:shape>
          </v:group>
        </w:pict>
      </w:r>
    </w:p>
    <w:p w14:paraId="13362F09"/>
    <w:p w14:paraId="709B6E3E"/>
    <w:p w14:paraId="2910442E"/>
    <w:p w14:paraId="7F8EDF0D"/>
    <w:p w14:paraId="075AB6C1"/>
    <w:p w14:paraId="0E4E6CF6"/>
    <w:p w14:paraId="52262E62"/>
    <w:p w14:paraId="461A14F9"/>
    <w:p w14:paraId="40BB576E"/>
    <w:p w14:paraId="43F7EDE3">
      <w:r>
        <w:pict>
          <v:group id="_x0000_s4458" o:spid="_x0000_s4458" o:spt="203" style="position:absolute;left:0pt;margin-left:86.5pt;margin-top:1.25pt;height:54.6pt;width:490.4pt;mso-position-horizontal-relative:char;mso-position-vertical-relative:line;z-index:251673600;mso-width-relative:page;mso-height-relative:page;" coordorigin="1617,9466" coordsize="9808,1092" editas="canvas">
            <o:lock v:ext="edit"/>
            <v:shape id="_x0000_s4459" o:spid="_x0000_s4459" o:spt="75" type="#_x0000_t75" style="position:absolute;left:1617;top:9466;height:1092;width:9808;" filled="f" o:preferrelative="f" stroked="f" coordsize="21600,21600">
              <v:path/>
              <v:fill on="f" focussize="0,0"/>
              <v:stroke on="f" joinstyle="miter"/>
              <v:imagedata o:title=""/>
              <o:lock v:ext="edit" text="t" aspectratio="t"/>
            </v:shape>
            <v:shape id="_x0000_s4460" o:spid="_x0000_s4460" o:spt="202" type="#_x0000_t202" style="position:absolute;left:3417;top:9747;height:546;width:3133;" fillcolor="#9CBEE0" filled="f" coordsize="21600,21600">
              <v:path/>
              <v:fill on="f" color2="#BBD5F0" focussize="0,0"/>
              <v:stroke joinstyle="miter"/>
              <v:imagedata o:title=""/>
              <o:lock v:ext="edit"/>
              <v:textbox>
                <w:txbxContent>
                  <w:p w14:paraId="71B90FC1">
                    <w:pPr>
                      <w:jc w:val="center"/>
                    </w:pPr>
                    <w:r>
                      <w:rPr>
                        <w:rFonts w:hint="eastAsia"/>
                      </w:rPr>
                      <w:t>各自配套的脉冲反吹除尘装置</w:t>
                    </w:r>
                  </w:p>
                </w:txbxContent>
              </v:textbox>
            </v:shape>
            <v:line id="_x0000_s4461" o:spid="_x0000_s4461" o:spt="20" style="position:absolute;left:6550;top:9934;flip:y;height:2;width:1366;" coordsize="21600,21600">
              <v:path arrowok="t"/>
              <v:fill focussize="0,0"/>
              <v:stroke endarrow="block"/>
              <v:imagedata o:title=""/>
              <o:lock v:ext="edit"/>
            </v:line>
            <v:line id="_x0000_s4462" o:spid="_x0000_s4462" o:spt="20" style="position:absolute;left:8996;top:9935;height:1;width:541;" coordsize="21600,21600">
              <v:path arrowok="t"/>
              <v:fill focussize="0,0"/>
              <v:stroke endarrow="block"/>
              <v:imagedata o:title=""/>
              <o:lock v:ext="edit"/>
            </v:line>
            <v:shape id="_x0000_s4463" o:spid="_x0000_s4463" o:spt="202" type="#_x0000_t202" style="position:absolute;left:7916;top:9778;height:412;width:1080;" fillcolor="#9CBEE0" filled="f" coordsize="21600,21600">
              <v:path/>
              <v:fill on="f" color2="#BBD5F0" focussize="0,0"/>
              <v:stroke joinstyle="miter"/>
              <v:imagedata o:title=""/>
              <o:lock v:ext="edit"/>
              <v:textbox>
                <w:txbxContent>
                  <w:p w14:paraId="38DB79E1">
                    <w:pPr>
                      <w:ind w:firstLine="105" w:firstLineChars="50"/>
                    </w:pPr>
                    <w:r>
                      <w:rPr>
                        <w:rFonts w:hint="eastAsia"/>
                      </w:rPr>
                      <w:t>排风管</w:t>
                    </w:r>
                  </w:p>
                </w:txbxContent>
              </v:textbox>
            </v:shape>
            <v:shape id="_x0000_s4464" o:spid="_x0000_s4464" o:spt="202" type="#_x0000_t202" style="position:absolute;left:9537;top:9747;height:443;width:1800;" fillcolor="#9CBEE0" filled="f" coordsize="21600,21600">
              <v:path/>
              <v:fill on="f" color2="#BBD5F0" focussize="0,0"/>
              <v:stroke joinstyle="miter"/>
              <v:imagedata o:title=""/>
              <o:lock v:ext="edit"/>
              <v:textbox>
                <w:txbxContent>
                  <w:p w14:paraId="19F0C213">
                    <w:r>
                      <w:rPr>
                        <w:rFonts w:hint="eastAsia"/>
                      </w:rPr>
                      <w:t>15m高5#排气筒</w:t>
                    </w:r>
                  </w:p>
                </w:txbxContent>
              </v:textbox>
            </v:shape>
            <v:shape id="_x0000_s4465" o:spid="_x0000_s4465" o:spt="202" type="#_x0000_t202" style="position:absolute;left:1617;top:9646;height:780;width:1260;" fillcolor="#9CBEE0" filled="f" coordsize="21600,21600">
              <v:path/>
              <v:fill on="f" color2="#BBD5F0" focussize="0,0"/>
              <v:stroke joinstyle="miter"/>
              <v:imagedata o:title=""/>
              <o:lock v:ext="edit"/>
              <v:textbox>
                <w:txbxContent>
                  <w:p w14:paraId="6EDB5C6E">
                    <w:pPr>
                      <w:jc w:val="center"/>
                    </w:pPr>
                    <w:r>
                      <w:rPr>
                        <w:rFonts w:hint="eastAsia"/>
                      </w:rPr>
                      <w:t>抛丸/喷砂粉尘</w:t>
                    </w:r>
                  </w:p>
                </w:txbxContent>
              </v:textbox>
            </v:shape>
            <v:line id="_x0000_s4466" o:spid="_x0000_s4466" o:spt="20" style="position:absolute;left:2877;top:9934;flip:y;height:1;width:360;" coordsize="21600,21600">
              <v:path arrowok="t"/>
              <v:fill focussize="0,0"/>
              <v:stroke weight="0pt"/>
              <v:imagedata o:title=""/>
              <o:lock v:ext="edit"/>
            </v:line>
            <v:line id="_x0000_s4467" o:spid="_x0000_s4467" o:spt="20" style="position:absolute;left:3237;top:9934;height:1;width:180;" coordsize="21600,21600">
              <v:path arrowok="t"/>
              <v:fill focussize="0,0"/>
              <v:stroke weight="0pt" endarrow="block"/>
              <v:imagedata o:title=""/>
              <o:lock v:ext="edit"/>
            </v:line>
            <v:shape id="_x0000_s4468" o:spid="_x0000_s4468" o:spt="202" type="#_x0000_t202" style="position:absolute;left:2877;top:9566;height:624;width:1620;" filled="f" stroked="f" coordsize="21600,21600">
              <v:path/>
              <v:fill on="f" focussize="0,0"/>
              <v:stroke on="f" joinstyle="miter"/>
              <v:imagedata o:title=""/>
              <o:lock v:ext="edit"/>
              <v:textbox>
                <w:txbxContent>
                  <w:p w14:paraId="44D9D68D">
                    <w:pPr>
                      <w:rPr>
                        <w:sz w:val="18"/>
                        <w:szCs w:val="18"/>
                      </w:rPr>
                    </w:pPr>
                    <w:r>
                      <w:rPr>
                        <w:rFonts w:hint="eastAsia"/>
                        <w:sz w:val="18"/>
                        <w:szCs w:val="18"/>
                      </w:rPr>
                      <w:t>管道</w:t>
                    </w:r>
                  </w:p>
                </w:txbxContent>
              </v:textbox>
            </v:shape>
            <v:shape id="_x0000_s4469" o:spid="_x0000_s4469" o:spt="202" type="#_x0000_t202" style="position:absolute;left:6550;top:9566;height:467;width:1275;" filled="f" stroked="f" coordsize="21600,21600">
              <v:path/>
              <v:fill on="f" focussize="0,0"/>
              <v:stroke on="f" joinstyle="miter"/>
              <v:imagedata o:title=""/>
              <o:lock v:ext="edit"/>
              <v:textbox>
                <w:txbxContent>
                  <w:p w14:paraId="3C9919BC">
                    <w:pPr>
                      <w:rPr>
                        <w:sz w:val="18"/>
                        <w:szCs w:val="18"/>
                      </w:rPr>
                    </w:pPr>
                    <w:r>
                      <w:rPr>
                        <w:rFonts w:hint="eastAsia"/>
                        <w:sz w:val="18"/>
                        <w:szCs w:val="18"/>
                      </w:rPr>
                      <w:t>13500m</w:t>
                    </w:r>
                    <w:r>
                      <w:rPr>
                        <w:rFonts w:hint="eastAsia"/>
                        <w:sz w:val="18"/>
                        <w:szCs w:val="18"/>
                        <w:vertAlign w:val="superscript"/>
                      </w:rPr>
                      <w:t>3</w:t>
                    </w:r>
                    <w:r>
                      <w:rPr>
                        <w:rFonts w:hint="eastAsia"/>
                        <w:sz w:val="18"/>
                        <w:szCs w:val="18"/>
                      </w:rPr>
                      <w:t>/h</w:t>
                    </w:r>
                  </w:p>
                </w:txbxContent>
              </v:textbox>
            </v:shape>
          </v:group>
        </w:pict>
      </w:r>
    </w:p>
    <w:p w14:paraId="5A7DDD19"/>
    <w:p w14:paraId="71DA86AA"/>
    <w:p w14:paraId="2B2F1381"/>
    <w:p w14:paraId="7034AD38"/>
    <w:p w14:paraId="49300BF5"/>
    <w:p w14:paraId="36A64F7B"/>
    <w:p w14:paraId="6650A297">
      <w:r>
        <w:pict>
          <v:group id="_x0000_s4470" o:spid="_x0000_s4470" o:spt="203" style="position:absolute;left:0pt;margin-left:91pt;margin-top:2.35pt;height:80.1pt;width:424.4pt;mso-position-horizontal-relative:char;mso-position-vertical-relative:line;z-index:251667456;mso-width-relative:page;mso-height-relative:page;" coordorigin="1517,9268" coordsize="8488,1602" editas="canvas">
            <o:lock v:ext="edit"/>
            <v:shape id="_x0000_s4471" o:spid="_x0000_s4471" o:spt="75" type="#_x0000_t75" style="position:absolute;left:1517;top:9268;height:1602;width:8488;" filled="f" o:preferrelative="f" stroked="f" coordsize="21600,21600">
              <v:path/>
              <v:fill on="f" focussize="0,0"/>
              <v:stroke on="f" joinstyle="miter"/>
              <v:imagedata o:title=""/>
              <o:lock v:ext="edit" text="t" aspectratio="t"/>
            </v:shape>
            <v:line id="_x0000_s4472" o:spid="_x0000_s4472" o:spt="20" style="position:absolute;left:3237;top:10152;height:1;width:900;" coordsize="21600,21600">
              <v:path arrowok="t"/>
              <v:fill focussize="0,0"/>
              <v:stroke endarrow="block"/>
              <v:imagedata o:title=""/>
              <o:lock v:ext="edit"/>
            </v:line>
            <v:shape id="_x0000_s4473" o:spid="_x0000_s4473" o:spt="202" type="#_x0000_t202" style="position:absolute;left:4137;top:9785;height:674;width:1440;" fillcolor="#9CBEE0" filled="f" coordsize="21600,21600">
              <v:path/>
              <v:fill on="f" color2="#BBD5F0" focussize="0,0"/>
              <v:stroke joinstyle="miter"/>
              <v:imagedata o:title=""/>
              <o:lock v:ext="edit"/>
              <v:textbox>
                <w:txbxContent>
                  <w:p w14:paraId="1DF12FDE">
                    <w:pPr>
                      <w:jc w:val="center"/>
                      <w:rPr>
                        <w:color w:val="000000"/>
                        <w:szCs w:val="21"/>
                      </w:rPr>
                    </w:pPr>
                    <w:r>
                      <w:rPr>
                        <w:rFonts w:hint="eastAsia"/>
                        <w:color w:val="000000"/>
                        <w:szCs w:val="21"/>
                      </w:rPr>
                      <w:t>二级活性炭吸附装置</w:t>
                    </w:r>
                  </w:p>
                </w:txbxContent>
              </v:textbox>
            </v:shape>
            <v:line id="_x0000_s4474" o:spid="_x0000_s4474" o:spt="20" style="position:absolute;left:5577;top:10063;height:1;width:948;" coordsize="21600,21600">
              <v:path arrowok="t"/>
              <v:fill focussize="0,0"/>
              <v:stroke endarrow="block"/>
              <v:imagedata o:title=""/>
              <o:lock v:ext="edit"/>
            </v:line>
            <v:line id="_x0000_s4475" o:spid="_x0000_s4475" o:spt="20" style="position:absolute;left:7664;top:10061;height:1;width:541;" coordsize="21600,21600">
              <v:path arrowok="t"/>
              <v:fill focussize="0,0"/>
              <v:stroke endarrow="block"/>
              <v:imagedata o:title=""/>
              <o:lock v:ext="edit"/>
            </v:line>
            <v:shape id="_x0000_s4476" o:spid="_x0000_s4476" o:spt="202" type="#_x0000_t202" style="position:absolute;left:6525;top:9885;height:412;width:1139;" fillcolor="#9CBEE0" filled="f" coordsize="21600,21600">
              <v:path/>
              <v:fill on="f" color2="#BBD5F0" focussize="0,0"/>
              <v:stroke joinstyle="miter"/>
              <v:imagedata o:title=""/>
              <o:lock v:ext="edit"/>
              <v:textbox>
                <w:txbxContent>
                  <w:p w14:paraId="19265EE3">
                    <w:pPr>
                      <w:ind w:firstLine="105" w:firstLineChars="50"/>
                    </w:pPr>
                    <w:r>
                      <w:rPr>
                        <w:rFonts w:hint="eastAsia"/>
                      </w:rPr>
                      <w:t>排风管</w:t>
                    </w:r>
                  </w:p>
                </w:txbxContent>
              </v:textbox>
            </v:shape>
            <v:shape id="_x0000_s4477" o:spid="_x0000_s4477" o:spt="202" type="#_x0000_t202" style="position:absolute;left:8205;top:9854;height:443;width:1800;" fillcolor="#9CBEE0" filled="f" coordsize="21600,21600">
              <v:path/>
              <v:fill on="f" color2="#BBD5F0" focussize="0,0"/>
              <v:stroke joinstyle="miter"/>
              <v:imagedata o:title=""/>
              <o:lock v:ext="edit"/>
              <v:textbox>
                <w:txbxContent>
                  <w:p w14:paraId="5D5FC61B">
                    <w:r>
                      <w:rPr>
                        <w:rFonts w:hint="eastAsia"/>
                      </w:rPr>
                      <w:t>15m高6#排气筒</w:t>
                    </w:r>
                  </w:p>
                </w:txbxContent>
              </v:textbox>
            </v:shape>
            <v:shape id="_x0000_s4478" o:spid="_x0000_s4478" o:spt="202" type="#_x0000_t202" style="position:absolute;left:1617;top:9466;height:787;width:1260;" fillcolor="#9CBEE0" filled="f" coordsize="21600,21600">
              <v:path/>
              <v:fill on="f" color2="#BBD5F0" focussize="0,0"/>
              <v:stroke joinstyle="miter"/>
              <v:imagedata o:title=""/>
              <o:lock v:ext="edit"/>
              <v:textbox>
                <w:txbxContent>
                  <w:p w14:paraId="7781DD48">
                    <w:pPr>
                      <w:jc w:val="center"/>
                    </w:pPr>
                    <w:r>
                      <w:rPr>
                        <w:rFonts w:hint="eastAsia"/>
                        <w:szCs w:val="21"/>
                      </w:rPr>
                      <w:t>喷、浸、涂胶</w:t>
                    </w:r>
                    <w:r>
                      <w:rPr>
                        <w:szCs w:val="21"/>
                      </w:rPr>
                      <w:t>废气</w:t>
                    </w:r>
                  </w:p>
                </w:txbxContent>
              </v:textbox>
            </v:shape>
            <v:shape id="_x0000_s4479" o:spid="_x0000_s4479" o:spt="202" type="#_x0000_t202" style="position:absolute;left:1617;top:10409;height:461;width:1260;" fillcolor="#9CBEE0" filled="f" coordsize="21600,21600">
              <v:path/>
              <v:fill on="f" color2="#BBD5F0" focussize="0,0"/>
              <v:stroke joinstyle="miter"/>
              <v:imagedata o:title=""/>
              <o:lock v:ext="edit"/>
              <v:textbox>
                <w:txbxContent>
                  <w:p w14:paraId="1343105C">
                    <w:pPr>
                      <w:jc w:val="center"/>
                    </w:pPr>
                    <w:r>
                      <w:rPr>
                        <w:rFonts w:hint="eastAsia"/>
                      </w:rPr>
                      <w:t>干燥废气</w:t>
                    </w:r>
                  </w:p>
                </w:txbxContent>
              </v:textbox>
            </v:shape>
            <v:line id="_x0000_s4480" o:spid="_x0000_s4480" o:spt="20" style="position:absolute;left:2877;top:9622;flip:y;height:1;width:360;" coordsize="21600,21600">
              <v:path arrowok="t"/>
              <v:fill focussize="0,0"/>
              <v:stroke weight="0pt"/>
              <v:imagedata o:title=""/>
              <o:lock v:ext="edit"/>
            </v:line>
            <v:line id="_x0000_s4481" o:spid="_x0000_s4481" o:spt="20" style="position:absolute;left:2877;top:10558;height:0;width:360;" coordsize="21600,21600">
              <v:path arrowok="t"/>
              <v:fill focussize="0,0"/>
              <v:stroke weight="0pt"/>
              <v:imagedata o:title=""/>
              <o:lock v:ext="edit"/>
            </v:line>
            <v:line id="_x0000_s4482" o:spid="_x0000_s4482" o:spt="20" style="position:absolute;left:3237;top:9622;height:936;width:0;" coordsize="21600,21600">
              <v:path arrowok="t"/>
              <v:fill focussize="0,0"/>
              <v:stroke weight="0pt"/>
              <v:imagedata o:title=""/>
              <o:lock v:ext="edit"/>
            </v:line>
            <v:shape id="_x0000_s4483" o:spid="_x0000_s4483" o:spt="202" type="#_x0000_t202" style="position:absolute;left:3237;top:9785;height:468;width:900;" filled="f" stroked="f" coordsize="21600,21600">
              <v:path/>
              <v:fill on="f" focussize="0,0"/>
              <v:stroke on="f" joinstyle="miter"/>
              <v:imagedata o:title=""/>
              <o:lock v:ext="edit"/>
              <v:textbox>
                <w:txbxContent>
                  <w:p w14:paraId="40486972">
                    <w:pPr>
                      <w:rPr>
                        <w:sz w:val="18"/>
                        <w:szCs w:val="18"/>
                      </w:rPr>
                    </w:pPr>
                    <w:r>
                      <w:rPr>
                        <w:rFonts w:hint="eastAsia"/>
                        <w:sz w:val="18"/>
                        <w:szCs w:val="18"/>
                      </w:rPr>
                      <w:t>集气罩</w:t>
                    </w:r>
                  </w:p>
                </w:txbxContent>
              </v:textbox>
            </v:shape>
            <v:shape id="_x0000_s4484" o:spid="_x0000_s4484" o:spt="202" type="#_x0000_t202" style="position:absolute;left:5472;top:9686;height:467;width:1275;" filled="f" stroked="f" coordsize="21600,21600">
              <v:path/>
              <v:fill on="f" focussize="0,0"/>
              <v:stroke on="f" joinstyle="miter"/>
              <v:imagedata o:title=""/>
              <o:lock v:ext="edit"/>
              <v:textbox>
                <w:txbxContent>
                  <w:p w14:paraId="44765AB2">
                    <w:pPr>
                      <w:rPr>
                        <w:sz w:val="18"/>
                        <w:szCs w:val="18"/>
                      </w:rPr>
                    </w:pPr>
                    <w:r>
                      <w:rPr>
                        <w:rFonts w:hint="eastAsia"/>
                        <w:sz w:val="18"/>
                        <w:szCs w:val="18"/>
                      </w:rPr>
                      <w:t>50000m</w:t>
                    </w:r>
                    <w:r>
                      <w:rPr>
                        <w:rFonts w:hint="eastAsia"/>
                        <w:sz w:val="18"/>
                        <w:szCs w:val="18"/>
                        <w:vertAlign w:val="superscript"/>
                      </w:rPr>
                      <w:t>3</w:t>
                    </w:r>
                    <w:r>
                      <w:rPr>
                        <w:rFonts w:hint="eastAsia"/>
                        <w:sz w:val="18"/>
                        <w:szCs w:val="18"/>
                      </w:rPr>
                      <w:t>/h</w:t>
                    </w:r>
                  </w:p>
                </w:txbxContent>
              </v:textbox>
            </v:shape>
          </v:group>
        </w:pict>
      </w:r>
    </w:p>
    <w:p w14:paraId="47DD01C6"/>
    <w:p w14:paraId="719C3878"/>
    <w:p w14:paraId="3D29D857"/>
    <w:p w14:paraId="44458BD2"/>
    <w:p w14:paraId="44FB50F8"/>
    <w:p w14:paraId="42BB3C62"/>
    <w:p w14:paraId="0355ACDF">
      <w:r>
        <w:rPr>
          <w:rFonts w:ascii="宋体" w:hAnsi="宋体" w:cs="宋体"/>
          <w:kern w:val="0"/>
          <w:sz w:val="24"/>
        </w:rPr>
        <w:pict>
          <v:group id="_x0000_s4485" o:spid="_x0000_s4485" o:spt="203" style="position:absolute;left:0pt;margin-left:44.1pt;margin-top:4.8pt;height:123.7pt;width:547.65pt;mso-position-horizontal-relative:char;mso-position-vertical-relative:line;z-index:251672576;mso-width-relative:page;mso-height-relative:page;" coordorigin="1437,9186" coordsize="10953,2474" editas="canvas">
            <o:lock v:ext="edit"/>
            <v:shape id="_x0000_s4486" o:spid="_x0000_s4486" o:spt="75" type="#_x0000_t75" style="position:absolute;left:1437;top:9186;height:2474;width:10953;" filled="f" o:preferrelative="f" stroked="f" coordsize="21600,21600">
              <v:path/>
              <v:fill on="f" focussize="0,0"/>
              <v:stroke on="f" weight="0pt" joinstyle="miter"/>
              <v:imagedata o:title=""/>
              <o:lock v:ext="edit" aspectratio="t"/>
            </v:shape>
            <v:line id="_x0000_s4487" o:spid="_x0000_s4487" o:spt="20" style="position:absolute;left:3417;top:9933;flip:y;height:1;width:720;" coordsize="21600,21600">
              <v:path arrowok="t"/>
              <v:fill focussize="0,0"/>
              <v:stroke endarrow="block"/>
              <v:imagedata o:title=""/>
              <o:lock v:ext="edit"/>
            </v:line>
            <v:line id="_x0000_s4488" o:spid="_x0000_s4488" o:spt="20" style="position:absolute;left:7629;top:9969;height:1;width:915;" coordsize="21600,21600">
              <v:path arrowok="t"/>
              <v:fill focussize="0,0"/>
              <v:stroke endarrow="block"/>
              <v:imagedata o:title=""/>
              <o:lock v:ext="edit"/>
            </v:line>
            <v:line id="_x0000_s4489" o:spid="_x0000_s4489" o:spt="20" style="position:absolute;left:9690;top:9967;height:1;width:360;" coordsize="21600,21600">
              <v:path arrowok="t"/>
              <v:fill focussize="0,0"/>
              <v:stroke endarrow="block"/>
              <v:imagedata o:title=""/>
              <o:lock v:ext="edit"/>
            </v:line>
            <v:shape id="_x0000_s4490" o:spid="_x0000_s4490" o:spt="202" type="#_x0000_t202" style="position:absolute;left:8610;top:9739;height:468;width:1080;" fillcolor="#9CBEE0" filled="f" coordsize="21600,21600">
              <v:path/>
              <v:fill on="f" color2="#BBD5F0" focussize="0,0"/>
              <v:stroke joinstyle="miter"/>
              <v:imagedata o:title=""/>
              <o:lock v:ext="edit"/>
              <v:textbox>
                <w:txbxContent>
                  <w:p w14:paraId="4D9BA401">
                    <w:pPr>
                      <w:ind w:firstLine="105" w:firstLineChars="50"/>
                    </w:pPr>
                    <w:r>
                      <w:rPr>
                        <w:rFonts w:hint="eastAsia"/>
                      </w:rPr>
                      <w:t>排风管</w:t>
                    </w:r>
                  </w:p>
                </w:txbxContent>
              </v:textbox>
            </v:shape>
            <v:shape id="_x0000_s4491" o:spid="_x0000_s4491" o:spt="202" type="#_x0000_t202" style="position:absolute;left:10050;top:9774;height:433;width:2340;" fillcolor="#9CBEE0" filled="f" coordsize="21600,21600">
              <v:path/>
              <v:fill on="f" color2="#BBD5F0" focussize="0,0"/>
              <v:stroke joinstyle="miter"/>
              <v:imagedata o:title=""/>
              <o:lock v:ext="edit"/>
              <v:textbox>
                <w:txbxContent>
                  <w:p w14:paraId="032329E7">
                    <w:pPr>
                      <w:jc w:val="center"/>
                    </w:pPr>
                    <w:r>
                      <w:t>15m</w:t>
                    </w:r>
                    <w:r>
                      <w:rPr>
                        <w:rFonts w:hint="eastAsia"/>
                      </w:rPr>
                      <w:t>高7</w:t>
                    </w:r>
                    <w:r>
                      <w:t>#</w:t>
                    </w:r>
                    <w:r>
                      <w:rPr>
                        <w:rFonts w:hint="eastAsia"/>
                      </w:rPr>
                      <w:t>排气筒</w:t>
                    </w:r>
                  </w:p>
                </w:txbxContent>
              </v:textbox>
            </v:shape>
            <v:shape id="_x0000_s4492" o:spid="_x0000_s4492" o:spt="202" type="#_x0000_t202" style="position:absolute;left:4137;top:9654;height:553;width:3492;" fillcolor="#9CBEE0" filled="f" coordsize="21600,21600">
              <v:path/>
              <v:fill on="f" color2="#BBD5F0" focussize="0,0"/>
              <v:stroke joinstyle="miter"/>
              <v:imagedata o:title=""/>
              <o:lock v:ext="edit"/>
              <v:textbox>
                <w:txbxContent>
                  <w:p w14:paraId="4478AECD">
                    <w:pPr>
                      <w:ind w:firstLine="105" w:firstLineChars="50"/>
                      <w:rPr>
                        <w:color w:val="000000"/>
                        <w:szCs w:val="21"/>
                      </w:rPr>
                    </w:pPr>
                    <w:r>
                      <w:rPr>
                        <w:rFonts w:hint="eastAsia"/>
                        <w:color w:val="000000"/>
                        <w:szCs w:val="21"/>
                      </w:rPr>
                      <w:t>布袋除尘器</w:t>
                    </w:r>
                    <w:r>
                      <w:rPr>
                        <w:color w:val="000000"/>
                        <w:szCs w:val="21"/>
                      </w:rPr>
                      <w:t>+</w:t>
                    </w:r>
                    <w:r>
                      <w:rPr>
                        <w:rFonts w:hint="eastAsia"/>
                        <w:color w:val="000000"/>
                        <w:szCs w:val="21"/>
                      </w:rPr>
                      <w:t>二级活性炭吸附装置</w:t>
                    </w:r>
                  </w:p>
                </w:txbxContent>
              </v:textbox>
            </v:shape>
            <v:shape id="_x0000_s4493" o:spid="_x0000_s4493" o:spt="202" type="#_x0000_t202" style="position:absolute;left:1977;top:9774;height:468;width:1260;" fillcolor="#9CBEE0" filled="f" coordsize="21600,21600">
              <v:path/>
              <v:fill on="f" color2="#BBD5F0" focussize="0,0"/>
              <v:stroke joinstyle="miter"/>
              <v:imagedata o:title=""/>
              <o:lock v:ext="edit"/>
              <v:textbox>
                <w:txbxContent>
                  <w:p w14:paraId="43C22E9F">
                    <w:r>
                      <w:rPr>
                        <w:rFonts w:hint="eastAsia"/>
                      </w:rPr>
                      <w:t>混炼废气</w:t>
                    </w:r>
                  </w:p>
                </w:txbxContent>
              </v:textbox>
            </v:shape>
            <v:line id="_x0000_s4494" o:spid="_x0000_s4494" o:spt="20" style="position:absolute;left:3237;top:9498;height:1;width:180;" coordsize="21600,21600">
              <v:path arrowok="t"/>
              <v:fill focussize="0,0"/>
              <v:stroke weight="0pt"/>
              <v:imagedata o:title=""/>
              <o:lock v:ext="edit"/>
            </v:line>
            <v:line id="_x0000_s4495" o:spid="_x0000_s4495" o:spt="20" style="position:absolute;left:3417;top:9498;height:1728;width:1;" coordsize="21600,21600">
              <v:path arrowok="t"/>
              <v:fill focussize="0,0"/>
              <v:stroke weight="0pt"/>
              <v:imagedata o:title=""/>
              <o:lock v:ext="edit"/>
            </v:line>
            <v:line id="_x0000_s4496" o:spid="_x0000_s4496" o:spt="20" style="position:absolute;left:3237;top:10746;height:0;width:180;" coordsize="21600,21600">
              <v:path arrowok="t"/>
              <v:fill focussize="0,0"/>
              <v:stroke weight="0pt"/>
              <v:imagedata o:title=""/>
              <o:lock v:ext="edit"/>
            </v:line>
            <v:line id="_x0000_s4497" o:spid="_x0000_s4497" o:spt="20" style="position:absolute;left:3237;top:9930;height:1;width:180;" coordsize="21600,21600">
              <v:path arrowok="t"/>
              <v:fill focussize="0,0"/>
              <v:stroke weight="0pt"/>
              <v:imagedata o:title=""/>
              <o:lock v:ext="edit"/>
            </v:line>
            <v:shape id="_x0000_s4498" o:spid="_x0000_s4498" o:spt="202" type="#_x0000_t202" style="position:absolute;left:1977;top:10398;height:468;width:1260;" fillcolor="#9CBEE0" filled="f" coordsize="21600,21600">
              <v:path/>
              <v:fill on="f" color2="#BBD5F0" focussize="0,0"/>
              <v:stroke joinstyle="miter"/>
              <v:imagedata o:title=""/>
              <o:lock v:ext="edit"/>
              <v:textbox>
                <w:txbxContent>
                  <w:p w14:paraId="7F81C2DC">
                    <w:r>
                      <w:rPr>
                        <w:rFonts w:hint="eastAsia"/>
                      </w:rPr>
                      <w:t>返炼废气</w:t>
                    </w:r>
                  </w:p>
                </w:txbxContent>
              </v:textbox>
            </v:shape>
            <v:shape id="_x0000_s4499" o:spid="_x0000_s4499" o:spt="202" type="#_x0000_t202" style="position:absolute;left:1554;top:9186;height:468;width:1683;" fillcolor="#9CBEE0" filled="f" coordsize="21600,21600">
              <v:path/>
              <v:fill on="f" color2="#BBD5F0" focussize="0,0"/>
              <v:stroke joinstyle="miter"/>
              <v:imagedata o:title=""/>
              <o:lock v:ext="edit"/>
              <v:textbox>
                <w:txbxContent>
                  <w:p w14:paraId="39B56E6A">
                    <w:r>
                      <w:rPr>
                        <w:rFonts w:hint="eastAsia"/>
                      </w:rPr>
                      <w:t>配料</w:t>
                    </w:r>
                    <w:r>
                      <w:t>/</w:t>
                    </w:r>
                    <w:r>
                      <w:rPr>
                        <w:rFonts w:hint="eastAsia"/>
                      </w:rPr>
                      <w:t>密炼粉尘</w:t>
                    </w:r>
                  </w:p>
                </w:txbxContent>
              </v:textbox>
            </v:shape>
            <v:shape id="_x0000_s4500" o:spid="_x0000_s4500" o:spt="202" type="#_x0000_t202" style="position:absolute;left:3342;top:9502;height:468;width:900;" filled="f" stroked="f" coordsize="21600,21600">
              <v:path/>
              <v:fill on="f" focussize="0,0"/>
              <v:stroke on="f" joinstyle="miter"/>
              <v:imagedata o:title=""/>
              <o:lock v:ext="edit"/>
              <v:textbox>
                <w:txbxContent>
                  <w:p w14:paraId="493CE94B">
                    <w:pPr>
                      <w:rPr>
                        <w:sz w:val="18"/>
                        <w:szCs w:val="18"/>
                      </w:rPr>
                    </w:pPr>
                    <w:r>
                      <w:rPr>
                        <w:rFonts w:hint="eastAsia"/>
                        <w:sz w:val="18"/>
                        <w:szCs w:val="18"/>
                      </w:rPr>
                      <w:t>集气罩</w:t>
                    </w:r>
                  </w:p>
                </w:txbxContent>
              </v:textbox>
            </v:shape>
            <v:shape id="_x0000_s4501" o:spid="_x0000_s4501" o:spt="202" type="#_x0000_t202" style="position:absolute;left:1977;top:11041;height:468;width:1260;" fillcolor="#9CBEE0" filled="f" coordsize="21600,21600">
              <v:path/>
              <v:fill on="f" color2="#BBD5F0" focussize="0,0"/>
              <v:stroke joinstyle="miter"/>
              <v:imagedata o:title=""/>
              <o:lock v:ext="edit"/>
              <v:textbox>
                <w:txbxContent>
                  <w:p w14:paraId="67ECBAD6">
                    <w:r>
                      <w:rPr>
                        <w:rFonts w:hint="eastAsia"/>
                      </w:rPr>
                      <w:t>挤出废气</w:t>
                    </w:r>
                  </w:p>
                </w:txbxContent>
              </v:textbox>
            </v:shape>
            <v:line id="_x0000_s4502" o:spid="_x0000_s4502" o:spt="20" style="position:absolute;left:3237;top:11225;height:1;width:180;" coordsize="21600,21600">
              <v:path arrowok="t"/>
              <v:fill focussize="0,0"/>
              <v:stroke weight="0pt"/>
              <v:imagedata o:title=""/>
              <o:lock v:ext="edit"/>
            </v:line>
            <v:shape id="_x0000_s4503" o:spid="_x0000_s4503" o:spt="202" type="#_x0000_t202" style="position:absolute;left:7527;top:9503;height:467;width:1275;" filled="f" stroked="f" coordsize="21600,21600">
              <v:path/>
              <v:fill on="f" focussize="0,0"/>
              <v:stroke on="f" joinstyle="miter"/>
              <v:imagedata o:title=""/>
              <o:lock v:ext="edit"/>
              <v:textbox>
                <w:txbxContent>
                  <w:p w14:paraId="44EE6A2C">
                    <w:pPr>
                      <w:rPr>
                        <w:sz w:val="18"/>
                        <w:szCs w:val="18"/>
                      </w:rPr>
                    </w:pPr>
                    <w:r>
                      <w:rPr>
                        <w:rFonts w:hint="eastAsia"/>
                        <w:sz w:val="18"/>
                        <w:szCs w:val="18"/>
                      </w:rPr>
                      <w:t>360</w:t>
                    </w:r>
                    <w:r>
                      <w:rPr>
                        <w:sz w:val="18"/>
                        <w:szCs w:val="18"/>
                      </w:rPr>
                      <w:t>00m</w:t>
                    </w:r>
                    <w:r>
                      <w:rPr>
                        <w:sz w:val="18"/>
                        <w:szCs w:val="18"/>
                        <w:vertAlign w:val="superscript"/>
                      </w:rPr>
                      <w:t>3</w:t>
                    </w:r>
                    <w:r>
                      <w:rPr>
                        <w:sz w:val="18"/>
                        <w:szCs w:val="18"/>
                      </w:rPr>
                      <w:t>/h</w:t>
                    </w:r>
                  </w:p>
                </w:txbxContent>
              </v:textbox>
            </v:shape>
          </v:group>
        </w:pict>
      </w:r>
    </w:p>
    <w:p w14:paraId="0ED965FE"/>
    <w:p w14:paraId="16FB60F4"/>
    <w:p w14:paraId="47F3D7E4"/>
    <w:p w14:paraId="66FA16A5"/>
    <w:p w14:paraId="4E237A34"/>
    <w:p w14:paraId="7288E0D0"/>
    <w:p w14:paraId="16E1B573"/>
    <w:p w14:paraId="533BD124"/>
    <w:p w14:paraId="01BCCC4A"/>
    <w:p w14:paraId="2B085067"/>
    <w:p w14:paraId="6381C6CC">
      <w:r>
        <w:pict>
          <v:group id="_x0000_s4504" o:spid="_x0000_s4504" o:spt="203" style="position:absolute;left:0pt;margin-left:52.2pt;margin-top:0.95pt;height:123.7pt;width:547.65pt;mso-position-horizontal-relative:char;mso-position-vertical-relative:line;z-index:251674624;mso-width-relative:page;mso-height-relative:page;" coordorigin="1437,9186" coordsize="10953,2474" editas="canvas">
            <o:lock v:ext="edit"/>
            <v:shape id="_x0000_s4505" o:spid="_x0000_s4505" o:spt="75" type="#_x0000_t75" style="position:absolute;left:1437;top:9186;height:2474;width:10953;" filled="f" o:preferrelative="f" stroked="f" coordsize="21600,21600">
              <v:path/>
              <v:fill on="f" focussize="0,0"/>
              <v:stroke on="f" weight="0pt" joinstyle="miter"/>
              <v:imagedata o:title=""/>
              <o:lock v:ext="edit" aspectratio="t"/>
            </v:shape>
            <v:line id="_x0000_s4506" o:spid="_x0000_s4506" o:spt="20" style="position:absolute;left:3417;top:9933;flip:y;height:1;width:720;" coordsize="21600,21600">
              <v:path arrowok="t"/>
              <v:fill focussize="0,0"/>
              <v:stroke endarrow="block"/>
              <v:imagedata o:title=""/>
              <o:lock v:ext="edit"/>
            </v:line>
            <v:line id="_x0000_s4507" o:spid="_x0000_s4507" o:spt="20" style="position:absolute;left:7629;top:9969;height:1;width:915;" coordsize="21600,21600">
              <v:path arrowok="t"/>
              <v:fill focussize="0,0"/>
              <v:stroke endarrow="block"/>
              <v:imagedata o:title=""/>
              <o:lock v:ext="edit"/>
            </v:line>
            <v:line id="_x0000_s4508" o:spid="_x0000_s4508" o:spt="20" style="position:absolute;left:9690;top:9967;height:1;width:360;" coordsize="21600,21600">
              <v:path arrowok="t"/>
              <v:fill focussize="0,0"/>
              <v:stroke endarrow="block"/>
              <v:imagedata o:title=""/>
              <o:lock v:ext="edit"/>
            </v:line>
            <v:shape id="_x0000_s4509" o:spid="_x0000_s4509" o:spt="202" type="#_x0000_t202" style="position:absolute;left:8610;top:9739;height:468;width:1080;" fillcolor="#9CBEE0" filled="f" coordsize="21600,21600">
              <v:path/>
              <v:fill on="f" color2="#BBD5F0" focussize="0,0"/>
              <v:stroke joinstyle="miter"/>
              <v:imagedata o:title=""/>
              <o:lock v:ext="edit"/>
              <v:textbox>
                <w:txbxContent>
                  <w:p w14:paraId="536656A2">
                    <w:pPr>
                      <w:ind w:firstLine="105" w:firstLineChars="50"/>
                    </w:pPr>
                    <w:r>
                      <w:rPr>
                        <w:rFonts w:hint="eastAsia"/>
                      </w:rPr>
                      <w:t>排风管</w:t>
                    </w:r>
                  </w:p>
                </w:txbxContent>
              </v:textbox>
            </v:shape>
            <v:shape id="_x0000_s4510" o:spid="_x0000_s4510" o:spt="202" type="#_x0000_t202" style="position:absolute;left:10050;top:9774;height:433;width:2340;" fillcolor="#9CBEE0" filled="f" coordsize="21600,21600">
              <v:path/>
              <v:fill on="f" color2="#BBD5F0" focussize="0,0"/>
              <v:stroke joinstyle="miter"/>
              <v:imagedata o:title=""/>
              <o:lock v:ext="edit"/>
              <v:textbox>
                <w:txbxContent>
                  <w:p w14:paraId="585460D5">
                    <w:pPr>
                      <w:jc w:val="center"/>
                    </w:pPr>
                    <w:r>
                      <w:t>15m</w:t>
                    </w:r>
                    <w:r>
                      <w:rPr>
                        <w:rFonts w:hint="eastAsia"/>
                      </w:rPr>
                      <w:t>高8</w:t>
                    </w:r>
                    <w:r>
                      <w:t>#</w:t>
                    </w:r>
                    <w:r>
                      <w:rPr>
                        <w:rFonts w:hint="eastAsia"/>
                      </w:rPr>
                      <w:t>排气筒</w:t>
                    </w:r>
                  </w:p>
                </w:txbxContent>
              </v:textbox>
            </v:shape>
            <v:shape id="_x0000_s4511" o:spid="_x0000_s4511" o:spt="202" type="#_x0000_t202" style="position:absolute;left:4137;top:9654;height:553;width:3492;" fillcolor="#9CBEE0" filled="f" coordsize="21600,21600">
              <v:path/>
              <v:fill on="f" color2="#BBD5F0" focussize="0,0"/>
              <v:stroke joinstyle="miter"/>
              <v:imagedata o:title=""/>
              <o:lock v:ext="edit"/>
              <v:textbox>
                <w:txbxContent>
                  <w:p w14:paraId="766D52E6">
                    <w:pPr>
                      <w:ind w:firstLine="105" w:firstLineChars="50"/>
                      <w:rPr>
                        <w:color w:val="000000"/>
                        <w:szCs w:val="21"/>
                      </w:rPr>
                    </w:pPr>
                    <w:r>
                      <w:rPr>
                        <w:rFonts w:hint="eastAsia"/>
                        <w:color w:val="000000"/>
                        <w:szCs w:val="21"/>
                      </w:rPr>
                      <w:t>布袋除尘器</w:t>
                    </w:r>
                    <w:r>
                      <w:rPr>
                        <w:color w:val="000000"/>
                        <w:szCs w:val="21"/>
                      </w:rPr>
                      <w:t>+</w:t>
                    </w:r>
                    <w:r>
                      <w:rPr>
                        <w:rFonts w:hint="eastAsia"/>
                        <w:color w:val="000000"/>
                        <w:szCs w:val="21"/>
                      </w:rPr>
                      <w:t>二级活性炭吸附装置</w:t>
                    </w:r>
                  </w:p>
                </w:txbxContent>
              </v:textbox>
            </v:shape>
            <v:shape id="_x0000_s4512" o:spid="_x0000_s4512" o:spt="202" type="#_x0000_t202" style="position:absolute;left:1977;top:9774;height:468;width:1260;" fillcolor="#9CBEE0" filled="f" coordsize="21600,21600">
              <v:path/>
              <v:fill on="f" color2="#BBD5F0" focussize="0,0"/>
              <v:stroke joinstyle="miter"/>
              <v:imagedata o:title=""/>
              <o:lock v:ext="edit"/>
              <v:textbox>
                <w:txbxContent>
                  <w:p w14:paraId="43A6B1A0">
                    <w:r>
                      <w:rPr>
                        <w:rFonts w:hint="eastAsia"/>
                      </w:rPr>
                      <w:t>混炼废气</w:t>
                    </w:r>
                  </w:p>
                </w:txbxContent>
              </v:textbox>
            </v:shape>
            <v:line id="_x0000_s4513" o:spid="_x0000_s4513" o:spt="20" style="position:absolute;left:3237;top:9498;height:1;width:180;" coordsize="21600,21600">
              <v:path arrowok="t"/>
              <v:fill focussize="0,0"/>
              <v:stroke weight="0pt"/>
              <v:imagedata o:title=""/>
              <o:lock v:ext="edit"/>
            </v:line>
            <v:line id="_x0000_s4514" o:spid="_x0000_s4514" o:spt="20" style="position:absolute;left:3417;top:9498;height:1728;width:1;" coordsize="21600,21600">
              <v:path arrowok="t"/>
              <v:fill focussize="0,0"/>
              <v:stroke weight="0pt"/>
              <v:imagedata o:title=""/>
              <o:lock v:ext="edit"/>
            </v:line>
            <v:line id="_x0000_s4515" o:spid="_x0000_s4515" o:spt="20" style="position:absolute;left:3237;top:10746;height:0;width:180;" coordsize="21600,21600">
              <v:path arrowok="t"/>
              <v:fill focussize="0,0"/>
              <v:stroke weight="0pt"/>
              <v:imagedata o:title=""/>
              <o:lock v:ext="edit"/>
            </v:line>
            <v:line id="_x0000_s4516" o:spid="_x0000_s4516" o:spt="20" style="position:absolute;left:3237;top:9930;height:1;width:180;" coordsize="21600,21600">
              <v:path arrowok="t"/>
              <v:fill focussize="0,0"/>
              <v:stroke weight="0pt"/>
              <v:imagedata o:title=""/>
              <o:lock v:ext="edit"/>
            </v:line>
            <v:shape id="_x0000_s4517" o:spid="_x0000_s4517" o:spt="202" type="#_x0000_t202" style="position:absolute;left:1977;top:10398;height:468;width:1260;" fillcolor="#9CBEE0" filled="f" coordsize="21600,21600">
              <v:path/>
              <v:fill on="f" color2="#BBD5F0" focussize="0,0"/>
              <v:stroke joinstyle="miter"/>
              <v:imagedata o:title=""/>
              <o:lock v:ext="edit"/>
              <v:textbox>
                <w:txbxContent>
                  <w:p w14:paraId="0DD5533E">
                    <w:r>
                      <w:rPr>
                        <w:rFonts w:hint="eastAsia"/>
                      </w:rPr>
                      <w:t>返炼废气</w:t>
                    </w:r>
                  </w:p>
                </w:txbxContent>
              </v:textbox>
            </v:shape>
            <v:shape id="_x0000_s4518" o:spid="_x0000_s4518" o:spt="202" type="#_x0000_t202" style="position:absolute;left:1554;top:9186;height:468;width:1683;" fillcolor="#9CBEE0" filled="f" coordsize="21600,21600">
              <v:path/>
              <v:fill on="f" color2="#BBD5F0" focussize="0,0"/>
              <v:stroke joinstyle="miter"/>
              <v:imagedata o:title=""/>
              <o:lock v:ext="edit"/>
              <v:textbox>
                <w:txbxContent>
                  <w:p w14:paraId="3AC61502">
                    <w:r>
                      <w:rPr>
                        <w:rFonts w:hint="eastAsia"/>
                      </w:rPr>
                      <w:t>配料</w:t>
                    </w:r>
                    <w:r>
                      <w:t>/</w:t>
                    </w:r>
                    <w:r>
                      <w:rPr>
                        <w:rFonts w:hint="eastAsia"/>
                      </w:rPr>
                      <w:t>密炼粉尘</w:t>
                    </w:r>
                  </w:p>
                </w:txbxContent>
              </v:textbox>
            </v:shape>
            <v:shape id="_x0000_s4519" o:spid="_x0000_s4519" o:spt="202" type="#_x0000_t202" style="position:absolute;left:3342;top:9502;height:468;width:900;" filled="f" stroked="f" coordsize="21600,21600">
              <v:path/>
              <v:fill on="f" focussize="0,0"/>
              <v:stroke on="f" joinstyle="miter"/>
              <v:imagedata o:title=""/>
              <o:lock v:ext="edit"/>
              <v:textbox>
                <w:txbxContent>
                  <w:p w14:paraId="78AB85B4">
                    <w:pPr>
                      <w:rPr>
                        <w:sz w:val="18"/>
                        <w:szCs w:val="18"/>
                      </w:rPr>
                    </w:pPr>
                    <w:r>
                      <w:rPr>
                        <w:rFonts w:hint="eastAsia"/>
                        <w:sz w:val="18"/>
                        <w:szCs w:val="18"/>
                      </w:rPr>
                      <w:t>集气罩</w:t>
                    </w:r>
                  </w:p>
                </w:txbxContent>
              </v:textbox>
            </v:shape>
            <v:shape id="_x0000_s4520" o:spid="_x0000_s4520" o:spt="202" type="#_x0000_t202" style="position:absolute;left:1977;top:11041;height:468;width:1260;" fillcolor="#9CBEE0" filled="f" coordsize="21600,21600">
              <v:path/>
              <v:fill on="f" color2="#BBD5F0" focussize="0,0"/>
              <v:stroke joinstyle="miter"/>
              <v:imagedata o:title=""/>
              <o:lock v:ext="edit"/>
              <v:textbox>
                <w:txbxContent>
                  <w:p w14:paraId="55211BE8">
                    <w:r>
                      <w:rPr>
                        <w:rFonts w:hint="eastAsia"/>
                      </w:rPr>
                      <w:t>挤出废气</w:t>
                    </w:r>
                  </w:p>
                </w:txbxContent>
              </v:textbox>
            </v:shape>
            <v:line id="_x0000_s4521" o:spid="_x0000_s4521" o:spt="20" style="position:absolute;left:3237;top:11225;height:1;width:180;" coordsize="21600,21600">
              <v:path arrowok="t"/>
              <v:fill focussize="0,0"/>
              <v:stroke weight="0pt"/>
              <v:imagedata o:title=""/>
              <o:lock v:ext="edit"/>
            </v:line>
            <v:shape id="_x0000_s4522" o:spid="_x0000_s4522" o:spt="202" type="#_x0000_t202" style="position:absolute;left:7527;top:9503;height:467;width:1275;" filled="f" stroked="f" coordsize="21600,21600">
              <v:path/>
              <v:fill on="f" focussize="0,0"/>
              <v:stroke on="f" joinstyle="miter"/>
              <v:imagedata o:title=""/>
              <o:lock v:ext="edit"/>
              <v:textbox>
                <w:txbxContent>
                  <w:p w14:paraId="38B5895F">
                    <w:pPr>
                      <w:rPr>
                        <w:sz w:val="18"/>
                        <w:szCs w:val="18"/>
                      </w:rPr>
                    </w:pPr>
                    <w:r>
                      <w:rPr>
                        <w:rFonts w:hint="eastAsia"/>
                        <w:sz w:val="18"/>
                        <w:szCs w:val="18"/>
                      </w:rPr>
                      <w:t>200</w:t>
                    </w:r>
                    <w:r>
                      <w:rPr>
                        <w:sz w:val="18"/>
                        <w:szCs w:val="18"/>
                      </w:rPr>
                      <w:t>00m</w:t>
                    </w:r>
                    <w:r>
                      <w:rPr>
                        <w:sz w:val="18"/>
                        <w:szCs w:val="18"/>
                        <w:vertAlign w:val="superscript"/>
                      </w:rPr>
                      <w:t>3</w:t>
                    </w:r>
                    <w:r>
                      <w:rPr>
                        <w:sz w:val="18"/>
                        <w:szCs w:val="18"/>
                      </w:rPr>
                      <w:t>/h</w:t>
                    </w:r>
                  </w:p>
                </w:txbxContent>
              </v:textbox>
            </v:shape>
          </v:group>
        </w:pict>
      </w:r>
    </w:p>
    <w:p w14:paraId="6D310963"/>
    <w:p w14:paraId="3C19AC85"/>
    <w:p w14:paraId="5506AE28"/>
    <w:p w14:paraId="16FCA235"/>
    <w:p w14:paraId="39FF4643"/>
    <w:p w14:paraId="31747E72"/>
    <w:p w14:paraId="55E5C030"/>
    <w:p w14:paraId="1767C521"/>
    <w:p w14:paraId="7599C515">
      <w:r>
        <w:pict>
          <v:group id="_x0000_s4523" o:spid="_x0000_s4523" o:spt="203" style="position:absolute;left:0pt;margin-left:114.65pt;margin-top:10.7pt;height:80.1pt;width:424.4pt;mso-position-horizontal-relative:char;mso-position-vertical-relative:line;z-index:251668480;mso-width-relative:page;mso-height-relative:page;" coordorigin="1517,9268" coordsize="8488,1602" editas="canvas">
            <o:lock v:ext="edit"/>
            <v:shape id="_x0000_s4524" o:spid="_x0000_s4524" o:spt="75" type="#_x0000_t75" style="position:absolute;left:1517;top:9268;height:1602;width:8488;" filled="f" o:preferrelative="f" stroked="f" coordsize="21600,21600">
              <v:path/>
              <v:fill on="f" focussize="0,0"/>
              <v:stroke on="f" joinstyle="miter"/>
              <v:imagedata o:title=""/>
              <o:lock v:ext="edit" text="t" aspectratio="t"/>
            </v:shape>
            <v:line id="_x0000_s4525" o:spid="_x0000_s4525" o:spt="20" style="position:absolute;left:2877;top:10152;height:1;width:1260;" coordsize="21600,21600">
              <v:path arrowok="t"/>
              <v:fill focussize="0,0"/>
              <v:stroke endarrow="block"/>
              <v:imagedata o:title=""/>
              <o:lock v:ext="edit"/>
            </v:line>
            <v:shape id="_x0000_s4526" o:spid="_x0000_s4526" o:spt="202" type="#_x0000_t202" style="position:absolute;left:4137;top:9785;height:674;width:1440;" fillcolor="#9CBEE0" filled="f" coordsize="21600,21600">
              <v:path/>
              <v:fill on="f" color2="#BBD5F0" focussize="0,0"/>
              <v:stroke joinstyle="miter"/>
              <v:imagedata o:title=""/>
              <o:lock v:ext="edit"/>
              <v:textbox>
                <w:txbxContent>
                  <w:p w14:paraId="685C3D00">
                    <w:pPr>
                      <w:jc w:val="center"/>
                      <w:rPr>
                        <w:color w:val="000000"/>
                        <w:szCs w:val="21"/>
                      </w:rPr>
                    </w:pPr>
                    <w:r>
                      <w:rPr>
                        <w:rFonts w:hint="eastAsia"/>
                        <w:color w:val="000000"/>
                        <w:szCs w:val="21"/>
                      </w:rPr>
                      <w:t>二级活性炭吸附装置</w:t>
                    </w:r>
                  </w:p>
                </w:txbxContent>
              </v:textbox>
            </v:shape>
            <v:line id="_x0000_s4527" o:spid="_x0000_s4527" o:spt="20" style="position:absolute;left:5577;top:10063;height:1;width:948;" coordsize="21600,21600">
              <v:path arrowok="t"/>
              <v:fill focussize="0,0"/>
              <v:stroke endarrow="block"/>
              <v:imagedata o:title=""/>
              <o:lock v:ext="edit"/>
            </v:line>
            <v:line id="_x0000_s4528" o:spid="_x0000_s4528" o:spt="20" style="position:absolute;left:7664;top:10061;height:1;width:541;" coordsize="21600,21600">
              <v:path arrowok="t"/>
              <v:fill focussize="0,0"/>
              <v:stroke endarrow="block"/>
              <v:imagedata o:title=""/>
              <o:lock v:ext="edit"/>
            </v:line>
            <v:shape id="_x0000_s4529" o:spid="_x0000_s4529" o:spt="202" type="#_x0000_t202" style="position:absolute;left:6525;top:9885;height:412;width:1139;" fillcolor="#9CBEE0" filled="f" coordsize="21600,21600">
              <v:path/>
              <v:fill on="f" color2="#BBD5F0" focussize="0,0"/>
              <v:stroke joinstyle="miter"/>
              <v:imagedata o:title=""/>
              <o:lock v:ext="edit"/>
              <v:textbox>
                <w:txbxContent>
                  <w:p w14:paraId="41414280">
                    <w:pPr>
                      <w:ind w:firstLine="105" w:firstLineChars="50"/>
                    </w:pPr>
                    <w:r>
                      <w:rPr>
                        <w:rFonts w:hint="eastAsia"/>
                      </w:rPr>
                      <w:t>排风管</w:t>
                    </w:r>
                  </w:p>
                </w:txbxContent>
              </v:textbox>
            </v:shape>
            <v:shape id="_x0000_s4530" o:spid="_x0000_s4530" o:spt="202" type="#_x0000_t202" style="position:absolute;left:8205;top:9854;height:443;width:1800;" fillcolor="#9CBEE0" filled="f" coordsize="21600,21600">
              <v:path/>
              <v:fill on="f" color2="#BBD5F0" focussize="0,0"/>
              <v:stroke joinstyle="miter"/>
              <v:imagedata o:title=""/>
              <o:lock v:ext="edit"/>
              <v:textbox>
                <w:txbxContent>
                  <w:p w14:paraId="7907FBB4">
                    <w:r>
                      <w:rPr>
                        <w:rFonts w:hint="eastAsia"/>
                      </w:rPr>
                      <w:t>15m高9#排气筒</w:t>
                    </w:r>
                  </w:p>
                </w:txbxContent>
              </v:textbox>
            </v:shape>
            <v:shape id="_x0000_s4531" o:spid="_x0000_s4531" o:spt="202" type="#_x0000_t202" style="position:absolute;left:1617;top:9785;height:787;width:1260;" fillcolor="#9CBEE0" filled="f" coordsize="21600,21600">
              <v:path/>
              <v:fill on="f" color2="#BBD5F0" focussize="0,0"/>
              <v:stroke joinstyle="miter"/>
              <v:imagedata o:title=""/>
              <o:lock v:ext="edit"/>
              <v:textbox>
                <w:txbxContent>
                  <w:p w14:paraId="3C4E0F61">
                    <w:pPr>
                      <w:jc w:val="center"/>
                      <w:rPr>
                        <w:szCs w:val="21"/>
                      </w:rPr>
                    </w:pPr>
                    <w:r>
                      <w:rPr>
                        <w:rFonts w:hint="eastAsia"/>
                        <w:szCs w:val="21"/>
                      </w:rPr>
                      <w:t>电泳后干燥废气</w:t>
                    </w:r>
                  </w:p>
                </w:txbxContent>
              </v:textbox>
            </v:shape>
            <v:shape id="_x0000_s4532" o:spid="_x0000_s4532" o:spt="202" type="#_x0000_t202" style="position:absolute;left:3037;top:9785;height:468;width:900;" filled="f" stroked="f" coordsize="21600,21600">
              <v:path/>
              <v:fill on="f" focussize="0,0"/>
              <v:stroke on="f" joinstyle="miter"/>
              <v:imagedata o:title=""/>
              <o:lock v:ext="edit"/>
              <v:textbox>
                <w:txbxContent>
                  <w:p w14:paraId="69DFC2F1">
                    <w:pPr>
                      <w:rPr>
                        <w:sz w:val="18"/>
                        <w:szCs w:val="18"/>
                      </w:rPr>
                    </w:pPr>
                    <w:r>
                      <w:rPr>
                        <w:rFonts w:hint="eastAsia"/>
                        <w:sz w:val="18"/>
                        <w:szCs w:val="18"/>
                      </w:rPr>
                      <w:t>集气罩</w:t>
                    </w:r>
                  </w:p>
                </w:txbxContent>
              </v:textbox>
            </v:shape>
            <v:shape id="_x0000_s4533" o:spid="_x0000_s4533" o:spt="202" type="#_x0000_t202" style="position:absolute;left:5472;top:9686;height:467;width:1275;" filled="f" stroked="f" coordsize="21600,21600">
              <v:path/>
              <v:fill on="f" focussize="0,0"/>
              <v:stroke on="f" joinstyle="miter"/>
              <v:imagedata o:title=""/>
              <o:lock v:ext="edit"/>
              <v:textbox>
                <w:txbxContent>
                  <w:p w14:paraId="09B74507">
                    <w:pPr>
                      <w:rPr>
                        <w:sz w:val="18"/>
                        <w:szCs w:val="18"/>
                      </w:rPr>
                    </w:pPr>
                    <w:r>
                      <w:rPr>
                        <w:rFonts w:hint="eastAsia"/>
                        <w:sz w:val="18"/>
                        <w:szCs w:val="18"/>
                      </w:rPr>
                      <w:t>22000m</w:t>
                    </w:r>
                    <w:r>
                      <w:rPr>
                        <w:rFonts w:hint="eastAsia"/>
                        <w:sz w:val="18"/>
                        <w:szCs w:val="18"/>
                        <w:vertAlign w:val="superscript"/>
                      </w:rPr>
                      <w:t>3</w:t>
                    </w:r>
                    <w:r>
                      <w:rPr>
                        <w:rFonts w:hint="eastAsia"/>
                        <w:sz w:val="18"/>
                        <w:szCs w:val="18"/>
                      </w:rPr>
                      <w:t>/h</w:t>
                    </w:r>
                  </w:p>
                </w:txbxContent>
              </v:textbox>
            </v:shape>
          </v:group>
        </w:pict>
      </w:r>
    </w:p>
    <w:p w14:paraId="02BA448B"/>
    <w:p w14:paraId="0E031E95"/>
    <w:p w14:paraId="3A83558C"/>
    <w:p w14:paraId="7CFFF3E4"/>
    <w:p w14:paraId="709AE1A4"/>
    <w:p w14:paraId="633F7AE5"/>
    <w:p w14:paraId="49238205"/>
    <w:p w14:paraId="492D6C33">
      <w:pPr>
        <w:jc w:val="center"/>
      </w:pPr>
      <w:r>
        <w:rPr>
          <w:b/>
          <w:bCs/>
          <w:color w:val="000000"/>
        </w:rPr>
        <w:t xml:space="preserve">图4-1  </w:t>
      </w:r>
      <w:r>
        <w:rPr>
          <w:rFonts w:hint="eastAsia"/>
          <w:b/>
          <w:bCs/>
          <w:color w:val="000000"/>
          <w:lang w:val="en-US" w:eastAsia="zh-CN"/>
        </w:rPr>
        <w:t>全厂</w:t>
      </w:r>
      <w:r>
        <w:rPr>
          <w:b/>
          <w:bCs/>
          <w:color w:val="000000"/>
        </w:rPr>
        <w:t>废气处理工艺流程图</w:t>
      </w:r>
      <w:r>
        <w:rPr>
          <w:rFonts w:hint="eastAsia"/>
          <w:b/>
          <w:bCs/>
          <w:color w:val="000000"/>
          <w:lang w:eastAsia="zh-CN"/>
        </w:rPr>
        <w:t>（</w:t>
      </w:r>
      <w:r>
        <w:rPr>
          <w:rFonts w:hint="eastAsia"/>
          <w:b/>
          <w:bCs/>
          <w:color w:val="000000"/>
          <w:lang w:val="en-US" w:eastAsia="zh-CN"/>
        </w:rPr>
        <w:t>包括本项目和扩建项目</w:t>
      </w:r>
      <w:r>
        <w:rPr>
          <w:rFonts w:hint="eastAsia"/>
          <w:b/>
          <w:bCs/>
          <w:color w:val="000000"/>
          <w:lang w:eastAsia="zh-CN"/>
        </w:rPr>
        <w:t>）</w:t>
      </w:r>
    </w:p>
    <w:p w14:paraId="42F14F71">
      <w:pPr>
        <w:pStyle w:val="8"/>
        <w:adjustRightInd w:val="0"/>
        <w:snapToGrid w:val="0"/>
        <w:spacing w:line="360" w:lineRule="auto"/>
        <w:ind w:firstLine="420" w:firstLineChars="200"/>
        <w:rPr>
          <w:b/>
          <w:bCs/>
          <w:szCs w:val="21"/>
        </w:rPr>
      </w:pPr>
      <w:r>
        <w:rPr>
          <w:szCs w:val="21"/>
        </w:rPr>
        <w:t>本次扩建项目有组织废气源强产生及排放情况详见表4-1，无组织废气源强产生及排放情况见表4-2。</w:t>
      </w:r>
    </w:p>
    <w:p w14:paraId="153EA952">
      <w:pPr>
        <w:adjustRightInd w:val="0"/>
        <w:snapToGrid w:val="0"/>
        <w:spacing w:beforeLines="50"/>
        <w:jc w:val="center"/>
        <w:rPr>
          <w:b/>
          <w:bCs/>
          <w:szCs w:val="21"/>
        </w:rPr>
      </w:pPr>
      <w:r>
        <w:rPr>
          <w:b/>
          <w:bCs/>
          <w:szCs w:val="21"/>
        </w:rPr>
        <w:t>表4-</w:t>
      </w:r>
      <w:r>
        <w:rPr>
          <w:rFonts w:hint="eastAsia"/>
          <w:b/>
          <w:bCs/>
          <w:szCs w:val="21"/>
        </w:rPr>
        <w:t>1</w:t>
      </w:r>
      <w:r>
        <w:rPr>
          <w:b/>
          <w:bCs/>
          <w:szCs w:val="21"/>
        </w:rPr>
        <w:t xml:space="preserve">  扩建项目</w:t>
      </w:r>
      <w:r>
        <w:rPr>
          <w:rFonts w:hint="eastAsia"/>
          <w:b/>
          <w:bCs/>
          <w:szCs w:val="21"/>
        </w:rPr>
        <w:t>有</w:t>
      </w:r>
      <w:r>
        <w:rPr>
          <w:b/>
          <w:bCs/>
          <w:szCs w:val="21"/>
        </w:rPr>
        <w:t>组织废气污染源强核算结果一览表</w:t>
      </w:r>
    </w:p>
    <w:tbl>
      <w:tblPr>
        <w:tblStyle w:val="25"/>
        <w:tblW w:w="516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48"/>
        <w:gridCol w:w="649"/>
        <w:gridCol w:w="686"/>
        <w:gridCol w:w="825"/>
        <w:gridCol w:w="962"/>
        <w:gridCol w:w="984"/>
        <w:gridCol w:w="547"/>
        <w:gridCol w:w="563"/>
        <w:gridCol w:w="708"/>
        <w:gridCol w:w="847"/>
        <w:gridCol w:w="976"/>
        <w:gridCol w:w="1134"/>
        <w:gridCol w:w="571"/>
        <w:gridCol w:w="700"/>
        <w:gridCol w:w="500"/>
        <w:gridCol w:w="487"/>
        <w:gridCol w:w="426"/>
        <w:gridCol w:w="823"/>
      </w:tblGrid>
      <w:tr w14:paraId="2AFD5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7" w:type="pct"/>
            <w:gridSpan w:val="2"/>
            <w:tcBorders>
              <w:tl2br w:val="nil"/>
              <w:tr2bl w:val="nil"/>
            </w:tcBorders>
            <w:noWrap/>
            <w:vAlign w:val="center"/>
          </w:tcPr>
          <w:p w14:paraId="69093F61">
            <w:pPr>
              <w:widowControl/>
              <w:snapToGrid w:val="0"/>
              <w:jc w:val="center"/>
              <w:rPr>
                <w:b/>
                <w:bCs/>
                <w:kern w:val="0"/>
                <w:sz w:val="21"/>
                <w:szCs w:val="21"/>
              </w:rPr>
            </w:pPr>
            <w:r>
              <w:rPr>
                <w:rFonts w:hAnsi="宋体"/>
                <w:b/>
                <w:bCs/>
                <w:kern w:val="0"/>
                <w:sz w:val="21"/>
                <w:szCs w:val="21"/>
              </w:rPr>
              <w:t>污染源</w:t>
            </w:r>
          </w:p>
        </w:tc>
        <w:tc>
          <w:tcPr>
            <w:tcW w:w="237" w:type="pct"/>
            <w:vMerge w:val="restart"/>
            <w:tcBorders>
              <w:tl2br w:val="nil"/>
              <w:tr2bl w:val="nil"/>
            </w:tcBorders>
            <w:noWrap/>
            <w:vAlign w:val="center"/>
          </w:tcPr>
          <w:p w14:paraId="0B983F94">
            <w:pPr>
              <w:widowControl/>
              <w:snapToGrid w:val="0"/>
              <w:jc w:val="center"/>
              <w:rPr>
                <w:b/>
                <w:bCs/>
                <w:kern w:val="0"/>
                <w:sz w:val="21"/>
                <w:szCs w:val="21"/>
              </w:rPr>
            </w:pPr>
            <w:r>
              <w:rPr>
                <w:rFonts w:hAnsi="宋体"/>
                <w:b/>
                <w:bCs/>
                <w:kern w:val="0"/>
                <w:sz w:val="21"/>
                <w:szCs w:val="21"/>
              </w:rPr>
              <w:t>工序</w:t>
            </w:r>
          </w:p>
        </w:tc>
        <w:tc>
          <w:tcPr>
            <w:tcW w:w="250" w:type="pct"/>
            <w:vMerge w:val="restart"/>
            <w:tcBorders>
              <w:tl2br w:val="nil"/>
              <w:tr2bl w:val="nil"/>
            </w:tcBorders>
            <w:noWrap/>
            <w:vAlign w:val="center"/>
          </w:tcPr>
          <w:p w14:paraId="00BBB4E8">
            <w:pPr>
              <w:widowControl/>
              <w:snapToGrid w:val="0"/>
              <w:jc w:val="center"/>
              <w:rPr>
                <w:b/>
                <w:bCs/>
                <w:kern w:val="0"/>
                <w:sz w:val="21"/>
                <w:szCs w:val="21"/>
              </w:rPr>
            </w:pPr>
            <w:r>
              <w:rPr>
                <w:rFonts w:hAnsi="宋体"/>
                <w:b/>
                <w:bCs/>
                <w:kern w:val="0"/>
                <w:sz w:val="21"/>
                <w:szCs w:val="21"/>
              </w:rPr>
              <w:t>污染物名称</w:t>
            </w:r>
          </w:p>
        </w:tc>
        <w:tc>
          <w:tcPr>
            <w:tcW w:w="1013" w:type="pct"/>
            <w:gridSpan w:val="3"/>
            <w:tcBorders>
              <w:tl2br w:val="nil"/>
              <w:tr2bl w:val="nil"/>
            </w:tcBorders>
            <w:noWrap/>
            <w:vAlign w:val="center"/>
          </w:tcPr>
          <w:p w14:paraId="669C29C5">
            <w:pPr>
              <w:widowControl/>
              <w:snapToGrid w:val="0"/>
              <w:jc w:val="center"/>
              <w:rPr>
                <w:b/>
                <w:bCs/>
                <w:kern w:val="0"/>
                <w:sz w:val="21"/>
                <w:szCs w:val="21"/>
              </w:rPr>
            </w:pPr>
            <w:r>
              <w:rPr>
                <w:rFonts w:hAnsi="宋体"/>
                <w:b/>
                <w:bCs/>
                <w:kern w:val="0"/>
                <w:sz w:val="21"/>
                <w:szCs w:val="21"/>
              </w:rPr>
              <w:t>产生状况</w:t>
            </w:r>
          </w:p>
        </w:tc>
        <w:tc>
          <w:tcPr>
            <w:tcW w:w="200" w:type="pct"/>
            <w:vMerge w:val="restart"/>
            <w:tcBorders>
              <w:tl2br w:val="nil"/>
              <w:tr2bl w:val="nil"/>
            </w:tcBorders>
            <w:noWrap/>
            <w:vAlign w:val="center"/>
          </w:tcPr>
          <w:p w14:paraId="2D64DFD1">
            <w:pPr>
              <w:widowControl/>
              <w:snapToGrid w:val="0"/>
              <w:jc w:val="center"/>
              <w:rPr>
                <w:b/>
                <w:bCs/>
                <w:kern w:val="0"/>
                <w:sz w:val="21"/>
                <w:szCs w:val="21"/>
              </w:rPr>
            </w:pPr>
            <w:r>
              <w:rPr>
                <w:rFonts w:hAnsi="宋体"/>
                <w:b/>
                <w:bCs/>
                <w:kern w:val="0"/>
                <w:sz w:val="21"/>
                <w:szCs w:val="21"/>
              </w:rPr>
              <w:t>治理措施</w:t>
            </w:r>
          </w:p>
        </w:tc>
        <w:tc>
          <w:tcPr>
            <w:tcW w:w="205" w:type="pct"/>
            <w:vMerge w:val="restart"/>
            <w:tcBorders>
              <w:tl2br w:val="nil"/>
              <w:tr2bl w:val="nil"/>
            </w:tcBorders>
            <w:noWrap/>
            <w:vAlign w:val="center"/>
          </w:tcPr>
          <w:p w14:paraId="75831629">
            <w:pPr>
              <w:widowControl/>
              <w:snapToGrid w:val="0"/>
              <w:jc w:val="center"/>
              <w:rPr>
                <w:b/>
                <w:bCs/>
                <w:kern w:val="0"/>
                <w:sz w:val="21"/>
                <w:szCs w:val="21"/>
              </w:rPr>
            </w:pPr>
            <w:r>
              <w:rPr>
                <w:rFonts w:hAnsi="宋体"/>
                <w:b/>
                <w:bCs/>
                <w:kern w:val="0"/>
                <w:sz w:val="21"/>
                <w:szCs w:val="21"/>
              </w:rPr>
              <w:t>去除率</w:t>
            </w:r>
            <w:r>
              <w:rPr>
                <w:b/>
                <w:bCs/>
                <w:kern w:val="0"/>
                <w:sz w:val="21"/>
                <w:szCs w:val="21"/>
              </w:rPr>
              <w:t>%</w:t>
            </w:r>
          </w:p>
        </w:tc>
        <w:tc>
          <w:tcPr>
            <w:tcW w:w="259" w:type="pct"/>
            <w:vMerge w:val="restart"/>
            <w:tcBorders>
              <w:tl2br w:val="nil"/>
              <w:tr2bl w:val="nil"/>
            </w:tcBorders>
            <w:noWrap/>
            <w:vAlign w:val="center"/>
          </w:tcPr>
          <w:p w14:paraId="13DEC315">
            <w:pPr>
              <w:widowControl/>
              <w:snapToGrid w:val="0"/>
              <w:jc w:val="center"/>
              <w:rPr>
                <w:b/>
                <w:bCs/>
                <w:kern w:val="0"/>
                <w:sz w:val="21"/>
                <w:szCs w:val="21"/>
              </w:rPr>
            </w:pPr>
            <w:r>
              <w:rPr>
                <w:rFonts w:hAnsi="宋体"/>
                <w:b/>
                <w:bCs/>
                <w:kern w:val="0"/>
                <w:sz w:val="21"/>
                <w:szCs w:val="21"/>
              </w:rPr>
              <w:t>污染物名称</w:t>
            </w:r>
          </w:p>
        </w:tc>
        <w:tc>
          <w:tcPr>
            <w:tcW w:w="1081" w:type="pct"/>
            <w:gridSpan w:val="3"/>
            <w:tcBorders>
              <w:tl2br w:val="nil"/>
              <w:tr2bl w:val="nil"/>
            </w:tcBorders>
            <w:noWrap/>
            <w:vAlign w:val="center"/>
          </w:tcPr>
          <w:p w14:paraId="31D0C877">
            <w:pPr>
              <w:widowControl/>
              <w:snapToGrid w:val="0"/>
              <w:jc w:val="center"/>
              <w:rPr>
                <w:b/>
                <w:bCs/>
                <w:kern w:val="0"/>
                <w:sz w:val="21"/>
                <w:szCs w:val="21"/>
              </w:rPr>
            </w:pPr>
            <w:r>
              <w:rPr>
                <w:rFonts w:hAnsi="宋体"/>
                <w:b/>
                <w:bCs/>
                <w:kern w:val="0"/>
                <w:sz w:val="21"/>
                <w:szCs w:val="21"/>
              </w:rPr>
              <w:t>排放状况</w:t>
            </w:r>
          </w:p>
        </w:tc>
        <w:tc>
          <w:tcPr>
            <w:tcW w:w="464" w:type="pct"/>
            <w:gridSpan w:val="2"/>
            <w:tcBorders>
              <w:tl2br w:val="nil"/>
              <w:tr2bl w:val="nil"/>
            </w:tcBorders>
            <w:noWrap/>
            <w:vAlign w:val="center"/>
          </w:tcPr>
          <w:p w14:paraId="412131D5">
            <w:pPr>
              <w:widowControl/>
              <w:snapToGrid w:val="0"/>
              <w:jc w:val="center"/>
              <w:rPr>
                <w:b/>
                <w:bCs/>
                <w:kern w:val="0"/>
                <w:sz w:val="21"/>
                <w:szCs w:val="21"/>
              </w:rPr>
            </w:pPr>
            <w:r>
              <w:rPr>
                <w:rFonts w:hAnsi="宋体"/>
                <w:b/>
                <w:bCs/>
                <w:kern w:val="0"/>
                <w:sz w:val="21"/>
                <w:szCs w:val="21"/>
              </w:rPr>
              <w:t>执行标准</w:t>
            </w:r>
          </w:p>
        </w:tc>
        <w:tc>
          <w:tcPr>
            <w:tcW w:w="516" w:type="pct"/>
            <w:gridSpan w:val="3"/>
            <w:tcBorders>
              <w:tl2br w:val="nil"/>
              <w:tr2bl w:val="nil"/>
            </w:tcBorders>
            <w:noWrap/>
            <w:vAlign w:val="center"/>
          </w:tcPr>
          <w:p w14:paraId="639B9367">
            <w:pPr>
              <w:widowControl/>
              <w:snapToGrid w:val="0"/>
              <w:jc w:val="center"/>
              <w:rPr>
                <w:b/>
                <w:bCs/>
                <w:kern w:val="0"/>
                <w:sz w:val="21"/>
                <w:szCs w:val="21"/>
              </w:rPr>
            </w:pPr>
            <w:r>
              <w:rPr>
                <w:rFonts w:hAnsi="宋体"/>
                <w:b/>
                <w:bCs/>
                <w:kern w:val="0"/>
                <w:sz w:val="21"/>
                <w:szCs w:val="21"/>
              </w:rPr>
              <w:t>排放源参数</w:t>
            </w:r>
          </w:p>
        </w:tc>
        <w:tc>
          <w:tcPr>
            <w:tcW w:w="301" w:type="pct"/>
            <w:vMerge w:val="restart"/>
            <w:tcBorders>
              <w:tl2br w:val="nil"/>
              <w:tr2bl w:val="nil"/>
            </w:tcBorders>
            <w:noWrap/>
            <w:vAlign w:val="center"/>
          </w:tcPr>
          <w:p w14:paraId="36DC0533">
            <w:pPr>
              <w:widowControl/>
              <w:snapToGrid w:val="0"/>
              <w:jc w:val="center"/>
              <w:rPr>
                <w:b/>
                <w:bCs/>
                <w:kern w:val="0"/>
                <w:sz w:val="21"/>
                <w:szCs w:val="21"/>
              </w:rPr>
            </w:pPr>
            <w:r>
              <w:rPr>
                <w:rFonts w:hAnsi="宋体"/>
                <w:b/>
                <w:bCs/>
                <w:kern w:val="0"/>
                <w:sz w:val="21"/>
                <w:szCs w:val="21"/>
              </w:rPr>
              <w:t>排放方式</w:t>
            </w:r>
          </w:p>
        </w:tc>
      </w:tr>
      <w:tr w14:paraId="41892A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 w:type="pct"/>
            <w:vMerge w:val="restart"/>
            <w:tcBorders>
              <w:tl2br w:val="nil"/>
              <w:tr2bl w:val="nil"/>
            </w:tcBorders>
            <w:noWrap/>
            <w:vAlign w:val="center"/>
          </w:tcPr>
          <w:p w14:paraId="7D9A5C2C">
            <w:pPr>
              <w:widowControl/>
              <w:snapToGrid w:val="0"/>
              <w:jc w:val="center"/>
              <w:rPr>
                <w:b/>
                <w:bCs/>
                <w:kern w:val="0"/>
                <w:sz w:val="21"/>
                <w:szCs w:val="21"/>
              </w:rPr>
            </w:pPr>
            <w:r>
              <w:rPr>
                <w:rFonts w:hAnsi="宋体"/>
                <w:b/>
                <w:bCs/>
                <w:kern w:val="0"/>
                <w:sz w:val="21"/>
                <w:szCs w:val="21"/>
              </w:rPr>
              <w:t>排气筒</w:t>
            </w:r>
          </w:p>
        </w:tc>
        <w:tc>
          <w:tcPr>
            <w:tcW w:w="273" w:type="pct"/>
            <w:tcBorders>
              <w:tl2br w:val="nil"/>
              <w:tr2bl w:val="nil"/>
            </w:tcBorders>
            <w:noWrap/>
            <w:vAlign w:val="center"/>
          </w:tcPr>
          <w:p w14:paraId="5704079B">
            <w:pPr>
              <w:widowControl/>
              <w:snapToGrid w:val="0"/>
              <w:jc w:val="center"/>
              <w:rPr>
                <w:b/>
                <w:bCs/>
                <w:kern w:val="0"/>
                <w:sz w:val="21"/>
                <w:szCs w:val="21"/>
              </w:rPr>
            </w:pPr>
            <w:r>
              <w:rPr>
                <w:rFonts w:hAnsi="宋体"/>
                <w:b/>
                <w:bCs/>
                <w:kern w:val="0"/>
                <w:sz w:val="21"/>
                <w:szCs w:val="21"/>
              </w:rPr>
              <w:t>排气量</w:t>
            </w:r>
          </w:p>
        </w:tc>
        <w:tc>
          <w:tcPr>
            <w:tcW w:w="237" w:type="pct"/>
            <w:vMerge w:val="continue"/>
            <w:tcBorders>
              <w:tl2br w:val="nil"/>
              <w:tr2bl w:val="nil"/>
            </w:tcBorders>
            <w:noWrap/>
            <w:vAlign w:val="center"/>
          </w:tcPr>
          <w:p w14:paraId="7F9C08A9">
            <w:pPr>
              <w:widowControl/>
              <w:snapToGrid w:val="0"/>
              <w:jc w:val="left"/>
              <w:rPr>
                <w:kern w:val="0"/>
                <w:sz w:val="21"/>
                <w:szCs w:val="21"/>
              </w:rPr>
            </w:pPr>
          </w:p>
        </w:tc>
        <w:tc>
          <w:tcPr>
            <w:tcW w:w="250" w:type="pct"/>
            <w:vMerge w:val="continue"/>
            <w:tcBorders>
              <w:tl2br w:val="nil"/>
              <w:tr2bl w:val="nil"/>
            </w:tcBorders>
            <w:noWrap/>
            <w:vAlign w:val="center"/>
          </w:tcPr>
          <w:p w14:paraId="1FCC8242">
            <w:pPr>
              <w:widowControl/>
              <w:snapToGrid w:val="0"/>
              <w:jc w:val="left"/>
              <w:rPr>
                <w:kern w:val="0"/>
                <w:sz w:val="21"/>
                <w:szCs w:val="21"/>
              </w:rPr>
            </w:pPr>
          </w:p>
        </w:tc>
        <w:tc>
          <w:tcPr>
            <w:tcW w:w="301" w:type="pct"/>
            <w:tcBorders>
              <w:tl2br w:val="nil"/>
              <w:tr2bl w:val="nil"/>
            </w:tcBorders>
            <w:noWrap/>
            <w:vAlign w:val="center"/>
          </w:tcPr>
          <w:p w14:paraId="0FFB38E8">
            <w:pPr>
              <w:widowControl/>
              <w:snapToGrid w:val="0"/>
              <w:jc w:val="center"/>
              <w:rPr>
                <w:b/>
                <w:bCs/>
                <w:kern w:val="0"/>
                <w:sz w:val="21"/>
                <w:szCs w:val="21"/>
              </w:rPr>
            </w:pPr>
            <w:r>
              <w:rPr>
                <w:rFonts w:hAnsi="宋体"/>
                <w:b/>
                <w:bCs/>
                <w:kern w:val="0"/>
                <w:sz w:val="21"/>
                <w:szCs w:val="21"/>
              </w:rPr>
              <w:t>浓度</w:t>
            </w:r>
          </w:p>
        </w:tc>
        <w:tc>
          <w:tcPr>
            <w:tcW w:w="351" w:type="pct"/>
            <w:tcBorders>
              <w:tl2br w:val="nil"/>
              <w:tr2bl w:val="nil"/>
            </w:tcBorders>
            <w:noWrap/>
            <w:vAlign w:val="center"/>
          </w:tcPr>
          <w:p w14:paraId="7BB0FBCE">
            <w:pPr>
              <w:widowControl/>
              <w:snapToGrid w:val="0"/>
              <w:jc w:val="center"/>
              <w:rPr>
                <w:b/>
                <w:bCs/>
                <w:kern w:val="0"/>
                <w:sz w:val="21"/>
                <w:szCs w:val="21"/>
              </w:rPr>
            </w:pPr>
            <w:r>
              <w:rPr>
                <w:rFonts w:hAnsi="宋体"/>
                <w:b/>
                <w:bCs/>
                <w:kern w:val="0"/>
                <w:sz w:val="21"/>
                <w:szCs w:val="21"/>
              </w:rPr>
              <w:t>速率</w:t>
            </w:r>
          </w:p>
        </w:tc>
        <w:tc>
          <w:tcPr>
            <w:tcW w:w="359" w:type="pct"/>
            <w:tcBorders>
              <w:tl2br w:val="nil"/>
              <w:tr2bl w:val="nil"/>
            </w:tcBorders>
            <w:noWrap/>
            <w:vAlign w:val="center"/>
          </w:tcPr>
          <w:p w14:paraId="50FCAE7D">
            <w:pPr>
              <w:widowControl/>
              <w:snapToGrid w:val="0"/>
              <w:jc w:val="center"/>
              <w:rPr>
                <w:b/>
                <w:bCs/>
                <w:kern w:val="0"/>
                <w:sz w:val="21"/>
                <w:szCs w:val="21"/>
              </w:rPr>
            </w:pPr>
            <w:r>
              <w:rPr>
                <w:rFonts w:hAnsi="宋体"/>
                <w:b/>
                <w:bCs/>
                <w:kern w:val="0"/>
                <w:sz w:val="21"/>
                <w:szCs w:val="21"/>
              </w:rPr>
              <w:t>产生量</w:t>
            </w:r>
          </w:p>
        </w:tc>
        <w:tc>
          <w:tcPr>
            <w:tcW w:w="200" w:type="pct"/>
            <w:vMerge w:val="continue"/>
            <w:tcBorders>
              <w:tl2br w:val="nil"/>
              <w:tr2bl w:val="nil"/>
            </w:tcBorders>
            <w:noWrap/>
            <w:vAlign w:val="center"/>
          </w:tcPr>
          <w:p w14:paraId="55B49120">
            <w:pPr>
              <w:widowControl/>
              <w:snapToGrid w:val="0"/>
              <w:jc w:val="left"/>
              <w:rPr>
                <w:kern w:val="0"/>
                <w:sz w:val="21"/>
                <w:szCs w:val="21"/>
              </w:rPr>
            </w:pPr>
          </w:p>
        </w:tc>
        <w:tc>
          <w:tcPr>
            <w:tcW w:w="205" w:type="pct"/>
            <w:vMerge w:val="continue"/>
            <w:tcBorders>
              <w:tl2br w:val="nil"/>
              <w:tr2bl w:val="nil"/>
            </w:tcBorders>
            <w:noWrap/>
            <w:vAlign w:val="center"/>
          </w:tcPr>
          <w:p w14:paraId="623621D7">
            <w:pPr>
              <w:widowControl/>
              <w:snapToGrid w:val="0"/>
              <w:jc w:val="left"/>
              <w:rPr>
                <w:kern w:val="0"/>
                <w:sz w:val="21"/>
                <w:szCs w:val="21"/>
              </w:rPr>
            </w:pPr>
          </w:p>
        </w:tc>
        <w:tc>
          <w:tcPr>
            <w:tcW w:w="259" w:type="pct"/>
            <w:vMerge w:val="continue"/>
            <w:tcBorders>
              <w:tl2br w:val="nil"/>
              <w:tr2bl w:val="nil"/>
            </w:tcBorders>
            <w:noWrap/>
            <w:vAlign w:val="center"/>
          </w:tcPr>
          <w:p w14:paraId="4B902321">
            <w:pPr>
              <w:widowControl/>
              <w:snapToGrid w:val="0"/>
              <w:jc w:val="left"/>
              <w:rPr>
                <w:kern w:val="0"/>
                <w:sz w:val="21"/>
                <w:szCs w:val="21"/>
              </w:rPr>
            </w:pPr>
          </w:p>
        </w:tc>
        <w:tc>
          <w:tcPr>
            <w:tcW w:w="309" w:type="pct"/>
            <w:tcBorders>
              <w:tl2br w:val="nil"/>
              <w:tr2bl w:val="nil"/>
            </w:tcBorders>
            <w:noWrap/>
            <w:vAlign w:val="center"/>
          </w:tcPr>
          <w:p w14:paraId="3D466FA1">
            <w:pPr>
              <w:widowControl/>
              <w:snapToGrid w:val="0"/>
              <w:jc w:val="center"/>
              <w:rPr>
                <w:b/>
                <w:bCs/>
                <w:kern w:val="0"/>
                <w:sz w:val="21"/>
                <w:szCs w:val="21"/>
              </w:rPr>
            </w:pPr>
            <w:r>
              <w:rPr>
                <w:rFonts w:hAnsi="宋体"/>
                <w:b/>
                <w:bCs/>
                <w:kern w:val="0"/>
                <w:sz w:val="21"/>
                <w:szCs w:val="21"/>
              </w:rPr>
              <w:t>浓度</w:t>
            </w:r>
          </w:p>
        </w:tc>
        <w:tc>
          <w:tcPr>
            <w:tcW w:w="357" w:type="pct"/>
            <w:tcBorders>
              <w:tl2br w:val="nil"/>
              <w:tr2bl w:val="nil"/>
            </w:tcBorders>
            <w:noWrap/>
            <w:vAlign w:val="center"/>
          </w:tcPr>
          <w:p w14:paraId="7552FF30">
            <w:pPr>
              <w:widowControl/>
              <w:snapToGrid w:val="0"/>
              <w:jc w:val="center"/>
              <w:rPr>
                <w:b/>
                <w:bCs/>
                <w:kern w:val="0"/>
                <w:sz w:val="21"/>
                <w:szCs w:val="21"/>
              </w:rPr>
            </w:pPr>
            <w:r>
              <w:rPr>
                <w:rFonts w:hAnsi="宋体"/>
                <w:b/>
                <w:bCs/>
                <w:kern w:val="0"/>
                <w:sz w:val="21"/>
                <w:szCs w:val="21"/>
              </w:rPr>
              <w:t>速率</w:t>
            </w:r>
          </w:p>
        </w:tc>
        <w:tc>
          <w:tcPr>
            <w:tcW w:w="414" w:type="pct"/>
            <w:tcBorders>
              <w:tl2br w:val="nil"/>
              <w:tr2bl w:val="nil"/>
            </w:tcBorders>
            <w:noWrap/>
            <w:vAlign w:val="center"/>
          </w:tcPr>
          <w:p w14:paraId="6D2987E8">
            <w:pPr>
              <w:widowControl/>
              <w:snapToGrid w:val="0"/>
              <w:jc w:val="center"/>
              <w:rPr>
                <w:b/>
                <w:bCs/>
                <w:kern w:val="0"/>
                <w:sz w:val="21"/>
                <w:szCs w:val="21"/>
              </w:rPr>
            </w:pPr>
            <w:r>
              <w:rPr>
                <w:rFonts w:hAnsi="宋体"/>
                <w:b/>
                <w:bCs/>
                <w:kern w:val="0"/>
                <w:sz w:val="21"/>
                <w:szCs w:val="21"/>
              </w:rPr>
              <w:t>排放量</w:t>
            </w:r>
          </w:p>
        </w:tc>
        <w:tc>
          <w:tcPr>
            <w:tcW w:w="208" w:type="pct"/>
            <w:tcBorders>
              <w:tl2br w:val="nil"/>
              <w:tr2bl w:val="nil"/>
            </w:tcBorders>
            <w:noWrap/>
            <w:vAlign w:val="center"/>
          </w:tcPr>
          <w:p w14:paraId="268C2875">
            <w:pPr>
              <w:widowControl/>
              <w:snapToGrid w:val="0"/>
              <w:jc w:val="center"/>
              <w:rPr>
                <w:b/>
                <w:bCs/>
                <w:kern w:val="0"/>
                <w:sz w:val="21"/>
                <w:szCs w:val="21"/>
              </w:rPr>
            </w:pPr>
            <w:r>
              <w:rPr>
                <w:rFonts w:hAnsi="宋体"/>
                <w:b/>
                <w:bCs/>
                <w:kern w:val="0"/>
                <w:sz w:val="21"/>
                <w:szCs w:val="21"/>
              </w:rPr>
              <w:t>浓度</w:t>
            </w:r>
          </w:p>
        </w:tc>
        <w:tc>
          <w:tcPr>
            <w:tcW w:w="256" w:type="pct"/>
            <w:tcBorders>
              <w:tl2br w:val="nil"/>
              <w:tr2bl w:val="nil"/>
            </w:tcBorders>
            <w:noWrap/>
            <w:vAlign w:val="center"/>
          </w:tcPr>
          <w:p w14:paraId="3C6D3F6A">
            <w:pPr>
              <w:widowControl/>
              <w:snapToGrid w:val="0"/>
              <w:jc w:val="center"/>
              <w:rPr>
                <w:b/>
                <w:bCs/>
                <w:kern w:val="0"/>
                <w:sz w:val="21"/>
                <w:szCs w:val="21"/>
              </w:rPr>
            </w:pPr>
            <w:r>
              <w:rPr>
                <w:rFonts w:hAnsi="宋体"/>
                <w:b/>
                <w:bCs/>
                <w:kern w:val="0"/>
                <w:sz w:val="21"/>
                <w:szCs w:val="21"/>
              </w:rPr>
              <w:t>速率</w:t>
            </w:r>
          </w:p>
        </w:tc>
        <w:tc>
          <w:tcPr>
            <w:tcW w:w="182" w:type="pct"/>
            <w:tcBorders>
              <w:tl2br w:val="nil"/>
              <w:tr2bl w:val="nil"/>
            </w:tcBorders>
            <w:noWrap/>
            <w:vAlign w:val="center"/>
          </w:tcPr>
          <w:p w14:paraId="319AF129">
            <w:pPr>
              <w:widowControl/>
              <w:snapToGrid w:val="0"/>
              <w:jc w:val="center"/>
              <w:rPr>
                <w:b/>
                <w:bCs/>
                <w:kern w:val="0"/>
                <w:sz w:val="21"/>
                <w:szCs w:val="21"/>
              </w:rPr>
            </w:pPr>
            <w:r>
              <w:rPr>
                <w:rFonts w:hAnsi="宋体"/>
                <w:b/>
                <w:bCs/>
                <w:kern w:val="0"/>
                <w:sz w:val="21"/>
                <w:szCs w:val="21"/>
              </w:rPr>
              <w:t>高度</w:t>
            </w:r>
          </w:p>
        </w:tc>
        <w:tc>
          <w:tcPr>
            <w:tcW w:w="178" w:type="pct"/>
            <w:tcBorders>
              <w:tl2br w:val="nil"/>
              <w:tr2bl w:val="nil"/>
            </w:tcBorders>
            <w:noWrap/>
            <w:vAlign w:val="center"/>
          </w:tcPr>
          <w:p w14:paraId="5094821E">
            <w:pPr>
              <w:widowControl/>
              <w:snapToGrid w:val="0"/>
              <w:jc w:val="center"/>
              <w:rPr>
                <w:b/>
                <w:bCs/>
                <w:kern w:val="0"/>
                <w:sz w:val="21"/>
                <w:szCs w:val="21"/>
              </w:rPr>
            </w:pPr>
            <w:r>
              <w:rPr>
                <w:rFonts w:hAnsi="宋体"/>
                <w:b/>
                <w:bCs/>
                <w:kern w:val="0"/>
                <w:sz w:val="21"/>
                <w:szCs w:val="21"/>
              </w:rPr>
              <w:t>直径</w:t>
            </w:r>
          </w:p>
        </w:tc>
        <w:tc>
          <w:tcPr>
            <w:tcW w:w="155" w:type="pct"/>
            <w:tcBorders>
              <w:tl2br w:val="nil"/>
              <w:tr2bl w:val="nil"/>
            </w:tcBorders>
            <w:noWrap/>
            <w:vAlign w:val="center"/>
          </w:tcPr>
          <w:p w14:paraId="7B7CC932">
            <w:pPr>
              <w:widowControl/>
              <w:snapToGrid w:val="0"/>
              <w:jc w:val="center"/>
              <w:rPr>
                <w:b/>
                <w:bCs/>
                <w:kern w:val="0"/>
                <w:sz w:val="21"/>
                <w:szCs w:val="21"/>
              </w:rPr>
            </w:pPr>
            <w:r>
              <w:rPr>
                <w:rFonts w:hAnsi="宋体"/>
                <w:b/>
                <w:bCs/>
                <w:kern w:val="0"/>
                <w:sz w:val="21"/>
                <w:szCs w:val="21"/>
              </w:rPr>
              <w:t>温度</w:t>
            </w:r>
          </w:p>
        </w:tc>
        <w:tc>
          <w:tcPr>
            <w:tcW w:w="301" w:type="pct"/>
            <w:vMerge w:val="continue"/>
            <w:tcBorders>
              <w:tl2br w:val="nil"/>
              <w:tr2bl w:val="nil"/>
            </w:tcBorders>
            <w:noWrap/>
            <w:vAlign w:val="center"/>
          </w:tcPr>
          <w:p w14:paraId="7BCE1146">
            <w:pPr>
              <w:widowControl/>
              <w:snapToGrid w:val="0"/>
              <w:jc w:val="left"/>
              <w:rPr>
                <w:kern w:val="0"/>
                <w:sz w:val="21"/>
                <w:szCs w:val="21"/>
              </w:rPr>
            </w:pPr>
          </w:p>
        </w:tc>
      </w:tr>
      <w:tr w14:paraId="039221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6F0E3D33">
            <w:pPr>
              <w:widowControl/>
              <w:snapToGrid w:val="0"/>
              <w:jc w:val="left"/>
              <w:rPr>
                <w:b/>
                <w:bCs/>
                <w:kern w:val="0"/>
                <w:sz w:val="21"/>
                <w:szCs w:val="21"/>
              </w:rPr>
            </w:pPr>
          </w:p>
        </w:tc>
        <w:tc>
          <w:tcPr>
            <w:tcW w:w="273" w:type="pct"/>
            <w:tcBorders>
              <w:tl2br w:val="nil"/>
              <w:tr2bl w:val="nil"/>
            </w:tcBorders>
            <w:noWrap/>
            <w:vAlign w:val="center"/>
          </w:tcPr>
          <w:p w14:paraId="08F645DF">
            <w:pPr>
              <w:widowControl/>
              <w:snapToGrid w:val="0"/>
              <w:jc w:val="center"/>
              <w:rPr>
                <w:b/>
                <w:bCs/>
                <w:kern w:val="0"/>
                <w:sz w:val="21"/>
                <w:szCs w:val="21"/>
              </w:rPr>
            </w:pPr>
            <w:r>
              <w:rPr>
                <w:b/>
                <w:bCs/>
                <w:kern w:val="0"/>
                <w:sz w:val="21"/>
                <w:szCs w:val="21"/>
              </w:rPr>
              <w:t>m</w:t>
            </w:r>
            <w:r>
              <w:rPr>
                <w:b/>
                <w:bCs/>
                <w:kern w:val="0"/>
                <w:sz w:val="21"/>
                <w:szCs w:val="21"/>
                <w:vertAlign w:val="superscript"/>
              </w:rPr>
              <w:t>3</w:t>
            </w:r>
            <w:r>
              <w:rPr>
                <w:b/>
                <w:bCs/>
                <w:kern w:val="0"/>
                <w:sz w:val="21"/>
                <w:szCs w:val="21"/>
              </w:rPr>
              <w:t>/h</w:t>
            </w:r>
          </w:p>
        </w:tc>
        <w:tc>
          <w:tcPr>
            <w:tcW w:w="237" w:type="pct"/>
            <w:vMerge w:val="continue"/>
            <w:tcBorders>
              <w:tl2br w:val="nil"/>
              <w:tr2bl w:val="nil"/>
            </w:tcBorders>
            <w:noWrap/>
            <w:vAlign w:val="center"/>
          </w:tcPr>
          <w:p w14:paraId="4438E5FD">
            <w:pPr>
              <w:widowControl/>
              <w:snapToGrid w:val="0"/>
              <w:jc w:val="left"/>
              <w:rPr>
                <w:kern w:val="0"/>
                <w:sz w:val="21"/>
                <w:szCs w:val="21"/>
              </w:rPr>
            </w:pPr>
          </w:p>
        </w:tc>
        <w:tc>
          <w:tcPr>
            <w:tcW w:w="250" w:type="pct"/>
            <w:vMerge w:val="continue"/>
            <w:tcBorders>
              <w:tl2br w:val="nil"/>
              <w:tr2bl w:val="nil"/>
            </w:tcBorders>
            <w:noWrap/>
            <w:vAlign w:val="center"/>
          </w:tcPr>
          <w:p w14:paraId="4B4E6981">
            <w:pPr>
              <w:widowControl/>
              <w:snapToGrid w:val="0"/>
              <w:jc w:val="left"/>
              <w:rPr>
                <w:kern w:val="0"/>
                <w:sz w:val="21"/>
                <w:szCs w:val="21"/>
              </w:rPr>
            </w:pPr>
          </w:p>
        </w:tc>
        <w:tc>
          <w:tcPr>
            <w:tcW w:w="301" w:type="pct"/>
            <w:tcBorders>
              <w:tl2br w:val="nil"/>
              <w:tr2bl w:val="nil"/>
            </w:tcBorders>
            <w:noWrap/>
            <w:vAlign w:val="center"/>
          </w:tcPr>
          <w:p w14:paraId="062EB7F9">
            <w:pPr>
              <w:widowControl/>
              <w:snapToGrid w:val="0"/>
              <w:jc w:val="center"/>
              <w:rPr>
                <w:b/>
                <w:bCs/>
                <w:kern w:val="0"/>
                <w:sz w:val="21"/>
                <w:szCs w:val="21"/>
              </w:rPr>
            </w:pPr>
            <w:r>
              <w:rPr>
                <w:b/>
                <w:bCs/>
                <w:kern w:val="0"/>
                <w:sz w:val="21"/>
                <w:szCs w:val="21"/>
              </w:rPr>
              <w:t>mg/m</w:t>
            </w:r>
            <w:r>
              <w:rPr>
                <w:b/>
                <w:bCs/>
                <w:kern w:val="0"/>
                <w:sz w:val="21"/>
                <w:szCs w:val="21"/>
                <w:vertAlign w:val="superscript"/>
              </w:rPr>
              <w:t>3</w:t>
            </w:r>
          </w:p>
        </w:tc>
        <w:tc>
          <w:tcPr>
            <w:tcW w:w="351" w:type="pct"/>
            <w:tcBorders>
              <w:tl2br w:val="nil"/>
              <w:tr2bl w:val="nil"/>
            </w:tcBorders>
            <w:noWrap/>
            <w:vAlign w:val="center"/>
          </w:tcPr>
          <w:p w14:paraId="48B458A7">
            <w:pPr>
              <w:widowControl/>
              <w:snapToGrid w:val="0"/>
              <w:jc w:val="center"/>
              <w:rPr>
                <w:b/>
                <w:bCs/>
                <w:kern w:val="0"/>
                <w:sz w:val="21"/>
                <w:szCs w:val="21"/>
              </w:rPr>
            </w:pPr>
            <w:r>
              <w:rPr>
                <w:b/>
                <w:bCs/>
                <w:kern w:val="0"/>
                <w:sz w:val="21"/>
                <w:szCs w:val="21"/>
              </w:rPr>
              <w:t>kg/h</w:t>
            </w:r>
          </w:p>
        </w:tc>
        <w:tc>
          <w:tcPr>
            <w:tcW w:w="359" w:type="pct"/>
            <w:tcBorders>
              <w:tl2br w:val="nil"/>
              <w:tr2bl w:val="nil"/>
            </w:tcBorders>
            <w:noWrap/>
            <w:vAlign w:val="center"/>
          </w:tcPr>
          <w:p w14:paraId="05853023">
            <w:pPr>
              <w:widowControl/>
              <w:snapToGrid w:val="0"/>
              <w:jc w:val="center"/>
              <w:rPr>
                <w:b/>
                <w:bCs/>
                <w:kern w:val="0"/>
                <w:sz w:val="21"/>
                <w:szCs w:val="21"/>
              </w:rPr>
            </w:pPr>
            <w:r>
              <w:rPr>
                <w:b/>
                <w:bCs/>
                <w:kern w:val="0"/>
                <w:sz w:val="21"/>
                <w:szCs w:val="21"/>
              </w:rPr>
              <w:t>t/a</w:t>
            </w:r>
          </w:p>
        </w:tc>
        <w:tc>
          <w:tcPr>
            <w:tcW w:w="200" w:type="pct"/>
            <w:vMerge w:val="continue"/>
            <w:tcBorders>
              <w:tl2br w:val="nil"/>
              <w:tr2bl w:val="nil"/>
            </w:tcBorders>
            <w:noWrap/>
            <w:vAlign w:val="center"/>
          </w:tcPr>
          <w:p w14:paraId="4250A808">
            <w:pPr>
              <w:widowControl/>
              <w:snapToGrid w:val="0"/>
              <w:jc w:val="left"/>
              <w:rPr>
                <w:kern w:val="0"/>
                <w:sz w:val="21"/>
                <w:szCs w:val="21"/>
              </w:rPr>
            </w:pPr>
          </w:p>
        </w:tc>
        <w:tc>
          <w:tcPr>
            <w:tcW w:w="205" w:type="pct"/>
            <w:vMerge w:val="continue"/>
            <w:tcBorders>
              <w:tl2br w:val="nil"/>
              <w:tr2bl w:val="nil"/>
            </w:tcBorders>
            <w:noWrap/>
            <w:vAlign w:val="center"/>
          </w:tcPr>
          <w:p w14:paraId="799CFF33">
            <w:pPr>
              <w:widowControl/>
              <w:snapToGrid w:val="0"/>
              <w:jc w:val="left"/>
              <w:rPr>
                <w:kern w:val="0"/>
                <w:sz w:val="21"/>
                <w:szCs w:val="21"/>
              </w:rPr>
            </w:pPr>
          </w:p>
        </w:tc>
        <w:tc>
          <w:tcPr>
            <w:tcW w:w="259" w:type="pct"/>
            <w:vMerge w:val="continue"/>
            <w:tcBorders>
              <w:tl2br w:val="nil"/>
              <w:tr2bl w:val="nil"/>
            </w:tcBorders>
            <w:noWrap/>
            <w:vAlign w:val="center"/>
          </w:tcPr>
          <w:p w14:paraId="6CC95DE3">
            <w:pPr>
              <w:widowControl/>
              <w:snapToGrid w:val="0"/>
              <w:jc w:val="left"/>
              <w:rPr>
                <w:kern w:val="0"/>
                <w:sz w:val="21"/>
                <w:szCs w:val="21"/>
              </w:rPr>
            </w:pPr>
          </w:p>
        </w:tc>
        <w:tc>
          <w:tcPr>
            <w:tcW w:w="309" w:type="pct"/>
            <w:tcBorders>
              <w:tl2br w:val="nil"/>
              <w:tr2bl w:val="nil"/>
            </w:tcBorders>
            <w:noWrap/>
            <w:vAlign w:val="center"/>
          </w:tcPr>
          <w:p w14:paraId="717C14C6">
            <w:pPr>
              <w:widowControl/>
              <w:snapToGrid w:val="0"/>
              <w:jc w:val="center"/>
              <w:rPr>
                <w:b/>
                <w:bCs/>
                <w:kern w:val="0"/>
                <w:sz w:val="21"/>
                <w:szCs w:val="21"/>
              </w:rPr>
            </w:pPr>
            <w:r>
              <w:rPr>
                <w:b/>
                <w:bCs/>
                <w:kern w:val="0"/>
                <w:sz w:val="21"/>
                <w:szCs w:val="21"/>
              </w:rPr>
              <w:t>mg/m</w:t>
            </w:r>
            <w:r>
              <w:rPr>
                <w:b/>
                <w:bCs/>
                <w:kern w:val="0"/>
                <w:sz w:val="21"/>
                <w:szCs w:val="21"/>
                <w:vertAlign w:val="superscript"/>
              </w:rPr>
              <w:t>3</w:t>
            </w:r>
          </w:p>
        </w:tc>
        <w:tc>
          <w:tcPr>
            <w:tcW w:w="357" w:type="pct"/>
            <w:tcBorders>
              <w:tl2br w:val="nil"/>
              <w:tr2bl w:val="nil"/>
            </w:tcBorders>
            <w:noWrap/>
            <w:vAlign w:val="center"/>
          </w:tcPr>
          <w:p w14:paraId="2BD23010">
            <w:pPr>
              <w:widowControl/>
              <w:snapToGrid w:val="0"/>
              <w:jc w:val="center"/>
              <w:rPr>
                <w:b/>
                <w:bCs/>
                <w:kern w:val="0"/>
                <w:sz w:val="21"/>
                <w:szCs w:val="21"/>
              </w:rPr>
            </w:pPr>
            <w:r>
              <w:rPr>
                <w:b/>
                <w:bCs/>
                <w:kern w:val="0"/>
                <w:sz w:val="21"/>
                <w:szCs w:val="21"/>
              </w:rPr>
              <w:t>kg/h</w:t>
            </w:r>
          </w:p>
        </w:tc>
        <w:tc>
          <w:tcPr>
            <w:tcW w:w="414" w:type="pct"/>
            <w:tcBorders>
              <w:tl2br w:val="nil"/>
              <w:tr2bl w:val="nil"/>
            </w:tcBorders>
            <w:noWrap/>
            <w:vAlign w:val="center"/>
          </w:tcPr>
          <w:p w14:paraId="78297484">
            <w:pPr>
              <w:widowControl/>
              <w:snapToGrid w:val="0"/>
              <w:jc w:val="center"/>
              <w:rPr>
                <w:b/>
                <w:bCs/>
                <w:kern w:val="0"/>
                <w:sz w:val="21"/>
                <w:szCs w:val="21"/>
              </w:rPr>
            </w:pPr>
            <w:r>
              <w:rPr>
                <w:b/>
                <w:bCs/>
                <w:kern w:val="0"/>
                <w:sz w:val="21"/>
                <w:szCs w:val="21"/>
              </w:rPr>
              <w:t>t/a</w:t>
            </w:r>
          </w:p>
        </w:tc>
        <w:tc>
          <w:tcPr>
            <w:tcW w:w="208" w:type="pct"/>
            <w:tcBorders>
              <w:tl2br w:val="nil"/>
              <w:tr2bl w:val="nil"/>
            </w:tcBorders>
            <w:noWrap/>
            <w:vAlign w:val="center"/>
          </w:tcPr>
          <w:p w14:paraId="517DF27E">
            <w:pPr>
              <w:widowControl/>
              <w:snapToGrid w:val="0"/>
              <w:jc w:val="center"/>
              <w:rPr>
                <w:b/>
                <w:bCs/>
                <w:kern w:val="0"/>
                <w:sz w:val="21"/>
                <w:szCs w:val="21"/>
              </w:rPr>
            </w:pPr>
            <w:r>
              <w:rPr>
                <w:b/>
                <w:bCs/>
                <w:kern w:val="0"/>
                <w:sz w:val="21"/>
                <w:szCs w:val="21"/>
              </w:rPr>
              <w:t>mg/m</w:t>
            </w:r>
            <w:r>
              <w:rPr>
                <w:b/>
                <w:bCs/>
                <w:kern w:val="0"/>
                <w:sz w:val="21"/>
                <w:szCs w:val="21"/>
                <w:vertAlign w:val="superscript"/>
              </w:rPr>
              <w:t>3</w:t>
            </w:r>
          </w:p>
        </w:tc>
        <w:tc>
          <w:tcPr>
            <w:tcW w:w="256" w:type="pct"/>
            <w:tcBorders>
              <w:tl2br w:val="nil"/>
              <w:tr2bl w:val="nil"/>
            </w:tcBorders>
            <w:noWrap/>
            <w:vAlign w:val="center"/>
          </w:tcPr>
          <w:p w14:paraId="13B3B083">
            <w:pPr>
              <w:widowControl/>
              <w:snapToGrid w:val="0"/>
              <w:jc w:val="center"/>
              <w:rPr>
                <w:b/>
                <w:bCs/>
                <w:kern w:val="0"/>
                <w:sz w:val="21"/>
                <w:szCs w:val="21"/>
              </w:rPr>
            </w:pPr>
            <w:r>
              <w:rPr>
                <w:b/>
                <w:bCs/>
                <w:kern w:val="0"/>
                <w:sz w:val="21"/>
                <w:szCs w:val="21"/>
              </w:rPr>
              <w:t>kg/h</w:t>
            </w:r>
          </w:p>
        </w:tc>
        <w:tc>
          <w:tcPr>
            <w:tcW w:w="182" w:type="pct"/>
            <w:tcBorders>
              <w:tl2br w:val="nil"/>
              <w:tr2bl w:val="nil"/>
            </w:tcBorders>
            <w:noWrap/>
            <w:vAlign w:val="center"/>
          </w:tcPr>
          <w:p w14:paraId="5FB67041">
            <w:pPr>
              <w:widowControl/>
              <w:snapToGrid w:val="0"/>
              <w:jc w:val="center"/>
              <w:rPr>
                <w:b/>
                <w:bCs/>
                <w:kern w:val="0"/>
                <w:sz w:val="21"/>
                <w:szCs w:val="21"/>
              </w:rPr>
            </w:pPr>
            <w:r>
              <w:rPr>
                <w:b/>
                <w:bCs/>
                <w:kern w:val="0"/>
                <w:sz w:val="21"/>
                <w:szCs w:val="21"/>
              </w:rPr>
              <w:t>m</w:t>
            </w:r>
          </w:p>
        </w:tc>
        <w:tc>
          <w:tcPr>
            <w:tcW w:w="178" w:type="pct"/>
            <w:tcBorders>
              <w:tl2br w:val="nil"/>
              <w:tr2bl w:val="nil"/>
            </w:tcBorders>
            <w:noWrap/>
            <w:vAlign w:val="center"/>
          </w:tcPr>
          <w:p w14:paraId="485594D9">
            <w:pPr>
              <w:widowControl/>
              <w:snapToGrid w:val="0"/>
              <w:jc w:val="center"/>
              <w:rPr>
                <w:b/>
                <w:bCs/>
                <w:kern w:val="0"/>
                <w:sz w:val="21"/>
                <w:szCs w:val="21"/>
              </w:rPr>
            </w:pPr>
            <w:r>
              <w:rPr>
                <w:b/>
                <w:bCs/>
                <w:kern w:val="0"/>
                <w:sz w:val="21"/>
                <w:szCs w:val="21"/>
              </w:rPr>
              <w:t>m</w:t>
            </w:r>
          </w:p>
        </w:tc>
        <w:tc>
          <w:tcPr>
            <w:tcW w:w="155" w:type="pct"/>
            <w:tcBorders>
              <w:tl2br w:val="nil"/>
              <w:tr2bl w:val="nil"/>
            </w:tcBorders>
            <w:noWrap/>
            <w:vAlign w:val="center"/>
          </w:tcPr>
          <w:p w14:paraId="3266E97C">
            <w:pPr>
              <w:widowControl/>
              <w:snapToGrid w:val="0"/>
              <w:jc w:val="center"/>
              <w:rPr>
                <w:b/>
                <w:bCs/>
                <w:kern w:val="0"/>
                <w:sz w:val="21"/>
                <w:szCs w:val="21"/>
              </w:rPr>
            </w:pPr>
            <w:r>
              <w:rPr>
                <w:rFonts w:hAnsi="宋体"/>
                <w:b/>
                <w:bCs/>
                <w:kern w:val="0"/>
                <w:sz w:val="21"/>
                <w:szCs w:val="21"/>
              </w:rPr>
              <w:t>℃</w:t>
            </w:r>
          </w:p>
        </w:tc>
        <w:tc>
          <w:tcPr>
            <w:tcW w:w="301" w:type="pct"/>
            <w:vMerge w:val="continue"/>
            <w:tcBorders>
              <w:tl2br w:val="nil"/>
              <w:tr2bl w:val="nil"/>
            </w:tcBorders>
            <w:noWrap/>
            <w:vAlign w:val="center"/>
          </w:tcPr>
          <w:p w14:paraId="57A47AC5">
            <w:pPr>
              <w:widowControl/>
              <w:snapToGrid w:val="0"/>
              <w:jc w:val="left"/>
              <w:rPr>
                <w:kern w:val="0"/>
                <w:sz w:val="21"/>
                <w:szCs w:val="21"/>
              </w:rPr>
            </w:pPr>
          </w:p>
        </w:tc>
      </w:tr>
      <w:tr w14:paraId="032BF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restart"/>
            <w:tcBorders>
              <w:tl2br w:val="nil"/>
              <w:tr2bl w:val="nil"/>
            </w:tcBorders>
            <w:noWrap/>
            <w:vAlign w:val="center"/>
          </w:tcPr>
          <w:p w14:paraId="5016C184">
            <w:pPr>
              <w:widowControl/>
              <w:snapToGrid w:val="0"/>
              <w:jc w:val="center"/>
              <w:rPr>
                <w:kern w:val="0"/>
                <w:sz w:val="21"/>
                <w:szCs w:val="21"/>
              </w:rPr>
            </w:pPr>
            <w:r>
              <w:rPr>
                <w:rFonts w:hint="eastAsia"/>
                <w:kern w:val="0"/>
                <w:sz w:val="21"/>
                <w:szCs w:val="21"/>
              </w:rPr>
              <w:t>8</w:t>
            </w:r>
            <w:r>
              <w:rPr>
                <w:kern w:val="0"/>
                <w:sz w:val="21"/>
                <w:szCs w:val="21"/>
              </w:rPr>
              <w:t>#</w:t>
            </w:r>
          </w:p>
        </w:tc>
        <w:tc>
          <w:tcPr>
            <w:tcW w:w="273" w:type="pct"/>
            <w:vMerge w:val="restart"/>
            <w:tcBorders>
              <w:tl2br w:val="nil"/>
              <w:tr2bl w:val="nil"/>
            </w:tcBorders>
            <w:noWrap/>
            <w:vAlign w:val="center"/>
          </w:tcPr>
          <w:p w14:paraId="4EBE320F">
            <w:pPr>
              <w:widowControl/>
              <w:snapToGrid w:val="0"/>
              <w:jc w:val="center"/>
              <w:rPr>
                <w:kern w:val="0"/>
                <w:sz w:val="21"/>
                <w:szCs w:val="21"/>
              </w:rPr>
            </w:pPr>
            <w:r>
              <w:rPr>
                <w:kern w:val="0"/>
                <w:sz w:val="21"/>
                <w:szCs w:val="21"/>
              </w:rPr>
              <w:t>2</w:t>
            </w:r>
            <w:r>
              <w:rPr>
                <w:rFonts w:hint="eastAsia"/>
                <w:kern w:val="0"/>
                <w:sz w:val="21"/>
                <w:szCs w:val="21"/>
              </w:rPr>
              <w:t>0</w:t>
            </w:r>
            <w:r>
              <w:rPr>
                <w:kern w:val="0"/>
                <w:sz w:val="21"/>
                <w:szCs w:val="21"/>
              </w:rPr>
              <w:t>000</w:t>
            </w:r>
          </w:p>
        </w:tc>
        <w:tc>
          <w:tcPr>
            <w:tcW w:w="237" w:type="pct"/>
            <w:tcBorders>
              <w:tl2br w:val="nil"/>
              <w:tr2bl w:val="nil"/>
            </w:tcBorders>
            <w:noWrap/>
            <w:vAlign w:val="center"/>
          </w:tcPr>
          <w:p w14:paraId="7664CA41">
            <w:pPr>
              <w:widowControl/>
              <w:snapToGrid w:val="0"/>
              <w:jc w:val="left"/>
              <w:rPr>
                <w:kern w:val="0"/>
                <w:sz w:val="21"/>
                <w:szCs w:val="21"/>
              </w:rPr>
            </w:pPr>
            <w:r>
              <w:rPr>
                <w:rFonts w:hint="eastAsia"/>
                <w:kern w:val="0"/>
                <w:sz w:val="21"/>
                <w:szCs w:val="21"/>
              </w:rPr>
              <w:t>配料</w:t>
            </w:r>
          </w:p>
        </w:tc>
        <w:tc>
          <w:tcPr>
            <w:tcW w:w="250" w:type="pct"/>
            <w:tcBorders>
              <w:tl2br w:val="nil"/>
              <w:tr2bl w:val="nil"/>
            </w:tcBorders>
            <w:noWrap/>
            <w:vAlign w:val="center"/>
          </w:tcPr>
          <w:p w14:paraId="557E6F82">
            <w:pPr>
              <w:widowControl/>
              <w:snapToGrid w:val="0"/>
              <w:jc w:val="left"/>
              <w:rPr>
                <w:kern w:val="0"/>
                <w:sz w:val="21"/>
                <w:szCs w:val="21"/>
              </w:rPr>
            </w:pPr>
            <w:r>
              <w:rPr>
                <w:rFonts w:hAnsi="宋体"/>
                <w:kern w:val="0"/>
                <w:sz w:val="21"/>
                <w:szCs w:val="21"/>
              </w:rPr>
              <w:t>粉尘（含炭黑尘）</w:t>
            </w:r>
          </w:p>
        </w:tc>
        <w:tc>
          <w:tcPr>
            <w:tcW w:w="301" w:type="pct"/>
            <w:tcBorders>
              <w:tl2br w:val="nil"/>
              <w:tr2bl w:val="nil"/>
            </w:tcBorders>
            <w:noWrap/>
            <w:vAlign w:val="center"/>
          </w:tcPr>
          <w:p w14:paraId="4CB6469D">
            <w:pPr>
              <w:snapToGrid w:val="0"/>
              <w:jc w:val="center"/>
              <w:rPr>
                <w:sz w:val="21"/>
                <w:szCs w:val="21"/>
              </w:rPr>
            </w:pPr>
            <w:r>
              <w:rPr>
                <w:sz w:val="21"/>
                <w:szCs w:val="21"/>
              </w:rPr>
              <w:t>2.5</w:t>
            </w:r>
          </w:p>
        </w:tc>
        <w:tc>
          <w:tcPr>
            <w:tcW w:w="351" w:type="pct"/>
            <w:tcBorders>
              <w:tl2br w:val="nil"/>
              <w:tr2bl w:val="nil"/>
            </w:tcBorders>
            <w:noWrap/>
            <w:vAlign w:val="center"/>
          </w:tcPr>
          <w:p w14:paraId="75D9978A">
            <w:pPr>
              <w:snapToGrid w:val="0"/>
              <w:jc w:val="center"/>
              <w:rPr>
                <w:sz w:val="21"/>
                <w:szCs w:val="21"/>
              </w:rPr>
            </w:pPr>
            <w:r>
              <w:rPr>
                <w:sz w:val="21"/>
                <w:szCs w:val="21"/>
              </w:rPr>
              <w:t>0.050</w:t>
            </w:r>
          </w:p>
        </w:tc>
        <w:tc>
          <w:tcPr>
            <w:tcW w:w="359" w:type="pct"/>
            <w:tcBorders>
              <w:tl2br w:val="nil"/>
              <w:tr2bl w:val="nil"/>
            </w:tcBorders>
            <w:noWrap/>
            <w:vAlign w:val="center"/>
          </w:tcPr>
          <w:p w14:paraId="761DE6A0">
            <w:pPr>
              <w:snapToGrid w:val="0"/>
              <w:jc w:val="center"/>
              <w:rPr>
                <w:sz w:val="21"/>
                <w:szCs w:val="21"/>
              </w:rPr>
            </w:pPr>
            <w:r>
              <w:rPr>
                <w:sz w:val="21"/>
                <w:szCs w:val="21"/>
              </w:rPr>
              <w:t>0.36</w:t>
            </w:r>
          </w:p>
        </w:tc>
        <w:tc>
          <w:tcPr>
            <w:tcW w:w="200" w:type="pct"/>
            <w:vMerge w:val="restart"/>
            <w:tcBorders>
              <w:tl2br w:val="nil"/>
              <w:tr2bl w:val="nil"/>
            </w:tcBorders>
            <w:noWrap/>
            <w:vAlign w:val="center"/>
          </w:tcPr>
          <w:p w14:paraId="6139EADB">
            <w:pPr>
              <w:widowControl/>
              <w:snapToGrid w:val="0"/>
              <w:jc w:val="center"/>
              <w:rPr>
                <w:kern w:val="0"/>
                <w:sz w:val="21"/>
                <w:szCs w:val="21"/>
              </w:rPr>
            </w:pPr>
            <w:r>
              <w:rPr>
                <w:rFonts w:hAnsi="宋体"/>
                <w:kern w:val="0"/>
                <w:sz w:val="21"/>
                <w:szCs w:val="21"/>
              </w:rPr>
              <w:t>布袋除尘</w:t>
            </w:r>
            <w:r>
              <w:rPr>
                <w:kern w:val="0"/>
                <w:sz w:val="21"/>
                <w:szCs w:val="21"/>
              </w:rPr>
              <w:t>+</w:t>
            </w:r>
            <w:r>
              <w:rPr>
                <w:rFonts w:hint="eastAsia" w:hAnsi="宋体"/>
                <w:kern w:val="0"/>
                <w:sz w:val="21"/>
                <w:szCs w:val="21"/>
              </w:rPr>
              <w:t>二级</w:t>
            </w:r>
            <w:r>
              <w:rPr>
                <w:rFonts w:hAnsi="宋体"/>
                <w:kern w:val="0"/>
                <w:sz w:val="21"/>
                <w:szCs w:val="21"/>
              </w:rPr>
              <w:t>活性炭吸附装置</w:t>
            </w:r>
          </w:p>
        </w:tc>
        <w:tc>
          <w:tcPr>
            <w:tcW w:w="205" w:type="pct"/>
            <w:vMerge w:val="restart"/>
            <w:tcBorders>
              <w:tl2br w:val="nil"/>
              <w:tr2bl w:val="nil"/>
            </w:tcBorders>
            <w:noWrap/>
            <w:vAlign w:val="center"/>
          </w:tcPr>
          <w:p w14:paraId="637AAA8B">
            <w:pPr>
              <w:widowControl/>
              <w:snapToGrid w:val="0"/>
              <w:jc w:val="center"/>
              <w:rPr>
                <w:kern w:val="0"/>
                <w:sz w:val="21"/>
                <w:szCs w:val="21"/>
              </w:rPr>
            </w:pPr>
            <w:r>
              <w:rPr>
                <w:kern w:val="0"/>
                <w:sz w:val="21"/>
                <w:szCs w:val="21"/>
              </w:rPr>
              <w:t>99</w:t>
            </w:r>
          </w:p>
        </w:tc>
        <w:tc>
          <w:tcPr>
            <w:tcW w:w="259" w:type="pct"/>
            <w:vMerge w:val="restart"/>
            <w:tcBorders>
              <w:tl2br w:val="nil"/>
              <w:tr2bl w:val="nil"/>
            </w:tcBorders>
            <w:noWrap/>
            <w:vAlign w:val="center"/>
          </w:tcPr>
          <w:p w14:paraId="19CCDAB0">
            <w:pPr>
              <w:widowControl/>
              <w:snapToGrid w:val="0"/>
              <w:jc w:val="center"/>
              <w:rPr>
                <w:kern w:val="0"/>
                <w:sz w:val="21"/>
                <w:szCs w:val="21"/>
              </w:rPr>
            </w:pPr>
            <w:r>
              <w:rPr>
                <w:rFonts w:hAnsi="宋体"/>
                <w:kern w:val="0"/>
                <w:sz w:val="21"/>
                <w:szCs w:val="21"/>
              </w:rPr>
              <w:t>粉尘（含炭黑尘）</w:t>
            </w:r>
          </w:p>
        </w:tc>
        <w:tc>
          <w:tcPr>
            <w:tcW w:w="309" w:type="pct"/>
            <w:vMerge w:val="restart"/>
            <w:tcBorders>
              <w:tl2br w:val="nil"/>
              <w:tr2bl w:val="nil"/>
            </w:tcBorders>
            <w:noWrap/>
            <w:vAlign w:val="center"/>
          </w:tcPr>
          <w:p w14:paraId="1C3FE069">
            <w:pPr>
              <w:snapToGrid w:val="0"/>
              <w:jc w:val="center"/>
              <w:rPr>
                <w:sz w:val="21"/>
                <w:szCs w:val="21"/>
              </w:rPr>
            </w:pPr>
            <w:r>
              <w:rPr>
                <w:sz w:val="21"/>
                <w:szCs w:val="21"/>
              </w:rPr>
              <w:t>0.08</w:t>
            </w:r>
          </w:p>
        </w:tc>
        <w:tc>
          <w:tcPr>
            <w:tcW w:w="357" w:type="pct"/>
            <w:vMerge w:val="restart"/>
            <w:tcBorders>
              <w:tl2br w:val="nil"/>
              <w:tr2bl w:val="nil"/>
            </w:tcBorders>
            <w:noWrap/>
            <w:vAlign w:val="center"/>
          </w:tcPr>
          <w:p w14:paraId="04AECD7B">
            <w:pPr>
              <w:snapToGrid w:val="0"/>
              <w:jc w:val="center"/>
              <w:rPr>
                <w:sz w:val="21"/>
                <w:szCs w:val="21"/>
              </w:rPr>
            </w:pPr>
            <w:r>
              <w:rPr>
                <w:sz w:val="21"/>
                <w:szCs w:val="21"/>
              </w:rPr>
              <w:t>0.002</w:t>
            </w:r>
          </w:p>
        </w:tc>
        <w:tc>
          <w:tcPr>
            <w:tcW w:w="414" w:type="pct"/>
            <w:vMerge w:val="restart"/>
            <w:tcBorders>
              <w:tl2br w:val="nil"/>
              <w:tr2bl w:val="nil"/>
            </w:tcBorders>
            <w:noWrap/>
            <w:vAlign w:val="center"/>
          </w:tcPr>
          <w:p w14:paraId="30480324">
            <w:pPr>
              <w:snapToGrid w:val="0"/>
              <w:jc w:val="center"/>
              <w:rPr>
                <w:sz w:val="21"/>
                <w:szCs w:val="21"/>
              </w:rPr>
            </w:pPr>
            <w:r>
              <w:rPr>
                <w:sz w:val="21"/>
                <w:szCs w:val="21"/>
              </w:rPr>
              <w:t>0.011</w:t>
            </w:r>
          </w:p>
        </w:tc>
        <w:tc>
          <w:tcPr>
            <w:tcW w:w="208" w:type="pct"/>
            <w:vMerge w:val="restart"/>
            <w:tcBorders>
              <w:tl2br w:val="nil"/>
              <w:tr2bl w:val="nil"/>
            </w:tcBorders>
            <w:noWrap/>
            <w:vAlign w:val="center"/>
          </w:tcPr>
          <w:p w14:paraId="3EE97F6B">
            <w:pPr>
              <w:widowControl/>
              <w:snapToGrid w:val="0"/>
              <w:jc w:val="center"/>
              <w:rPr>
                <w:kern w:val="0"/>
                <w:sz w:val="21"/>
                <w:szCs w:val="21"/>
              </w:rPr>
            </w:pPr>
            <w:r>
              <w:rPr>
                <w:rFonts w:hint="eastAsia"/>
                <w:kern w:val="0"/>
                <w:sz w:val="21"/>
                <w:szCs w:val="21"/>
              </w:rPr>
              <w:t>12</w:t>
            </w:r>
          </w:p>
        </w:tc>
        <w:tc>
          <w:tcPr>
            <w:tcW w:w="256" w:type="pct"/>
            <w:vMerge w:val="restart"/>
            <w:tcBorders>
              <w:tl2br w:val="nil"/>
              <w:tr2bl w:val="nil"/>
            </w:tcBorders>
            <w:noWrap/>
            <w:vAlign w:val="center"/>
          </w:tcPr>
          <w:p w14:paraId="0D9822F7">
            <w:pPr>
              <w:widowControl/>
              <w:snapToGrid w:val="0"/>
              <w:jc w:val="center"/>
              <w:rPr>
                <w:kern w:val="0"/>
                <w:sz w:val="21"/>
                <w:szCs w:val="21"/>
              </w:rPr>
            </w:pPr>
            <w:r>
              <w:rPr>
                <w:rFonts w:hint="eastAsia"/>
                <w:kern w:val="0"/>
                <w:sz w:val="21"/>
                <w:szCs w:val="21"/>
              </w:rPr>
              <w:t>/</w:t>
            </w:r>
          </w:p>
        </w:tc>
        <w:tc>
          <w:tcPr>
            <w:tcW w:w="182" w:type="pct"/>
            <w:vMerge w:val="restart"/>
            <w:tcBorders>
              <w:tl2br w:val="nil"/>
              <w:tr2bl w:val="nil"/>
            </w:tcBorders>
            <w:noWrap/>
            <w:vAlign w:val="center"/>
          </w:tcPr>
          <w:p w14:paraId="2F33D0C0">
            <w:pPr>
              <w:widowControl/>
              <w:snapToGrid w:val="0"/>
              <w:jc w:val="center"/>
              <w:rPr>
                <w:kern w:val="0"/>
                <w:sz w:val="21"/>
                <w:szCs w:val="21"/>
              </w:rPr>
            </w:pPr>
            <w:r>
              <w:rPr>
                <w:kern w:val="0"/>
                <w:sz w:val="21"/>
                <w:szCs w:val="21"/>
              </w:rPr>
              <w:t>15</w:t>
            </w:r>
          </w:p>
        </w:tc>
        <w:tc>
          <w:tcPr>
            <w:tcW w:w="178" w:type="pct"/>
            <w:vMerge w:val="restart"/>
            <w:tcBorders>
              <w:tl2br w:val="nil"/>
              <w:tr2bl w:val="nil"/>
            </w:tcBorders>
            <w:noWrap/>
            <w:vAlign w:val="center"/>
          </w:tcPr>
          <w:p w14:paraId="45717DF5">
            <w:pPr>
              <w:widowControl/>
              <w:snapToGrid w:val="0"/>
              <w:jc w:val="center"/>
              <w:rPr>
                <w:kern w:val="0"/>
                <w:sz w:val="21"/>
                <w:szCs w:val="21"/>
              </w:rPr>
            </w:pPr>
            <w:r>
              <w:rPr>
                <w:kern w:val="0"/>
                <w:sz w:val="21"/>
                <w:szCs w:val="21"/>
              </w:rPr>
              <w:t>0.</w:t>
            </w:r>
            <w:r>
              <w:rPr>
                <w:rFonts w:hint="eastAsia"/>
                <w:kern w:val="0"/>
                <w:sz w:val="21"/>
                <w:szCs w:val="21"/>
              </w:rPr>
              <w:t>6</w:t>
            </w:r>
          </w:p>
        </w:tc>
        <w:tc>
          <w:tcPr>
            <w:tcW w:w="155" w:type="pct"/>
            <w:vMerge w:val="restart"/>
            <w:tcBorders>
              <w:tl2br w:val="nil"/>
              <w:tr2bl w:val="nil"/>
            </w:tcBorders>
            <w:noWrap/>
            <w:vAlign w:val="center"/>
          </w:tcPr>
          <w:p w14:paraId="7A5A1948">
            <w:pPr>
              <w:widowControl/>
              <w:snapToGrid w:val="0"/>
              <w:jc w:val="center"/>
              <w:rPr>
                <w:kern w:val="0"/>
                <w:sz w:val="21"/>
                <w:szCs w:val="21"/>
              </w:rPr>
            </w:pPr>
            <w:r>
              <w:rPr>
                <w:kern w:val="0"/>
                <w:sz w:val="21"/>
                <w:szCs w:val="21"/>
              </w:rPr>
              <w:t>35</w:t>
            </w:r>
          </w:p>
        </w:tc>
        <w:tc>
          <w:tcPr>
            <w:tcW w:w="301" w:type="pct"/>
            <w:vMerge w:val="restart"/>
            <w:tcBorders>
              <w:tl2br w:val="nil"/>
              <w:tr2bl w:val="nil"/>
            </w:tcBorders>
            <w:noWrap/>
            <w:vAlign w:val="center"/>
          </w:tcPr>
          <w:p w14:paraId="347C4AB0">
            <w:pPr>
              <w:widowControl/>
              <w:snapToGrid w:val="0"/>
              <w:jc w:val="center"/>
              <w:rPr>
                <w:kern w:val="0"/>
                <w:sz w:val="21"/>
                <w:szCs w:val="21"/>
              </w:rPr>
            </w:pPr>
            <w:r>
              <w:rPr>
                <w:rFonts w:hAnsi="宋体"/>
                <w:kern w:val="0"/>
                <w:sz w:val="21"/>
                <w:szCs w:val="21"/>
              </w:rPr>
              <w:t>间歇</w:t>
            </w:r>
            <w:r>
              <w:rPr>
                <w:rFonts w:hint="eastAsia"/>
                <w:kern w:val="0"/>
                <w:sz w:val="21"/>
                <w:szCs w:val="21"/>
              </w:rPr>
              <w:t>72</w:t>
            </w:r>
            <w:r>
              <w:rPr>
                <w:kern w:val="0"/>
                <w:sz w:val="21"/>
                <w:szCs w:val="21"/>
              </w:rPr>
              <w:t>00h</w:t>
            </w:r>
          </w:p>
        </w:tc>
      </w:tr>
      <w:tr w14:paraId="4F159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0C9D8BA9">
            <w:pPr>
              <w:widowControl/>
              <w:snapToGrid w:val="0"/>
              <w:jc w:val="center"/>
              <w:rPr>
                <w:kern w:val="0"/>
                <w:sz w:val="21"/>
                <w:szCs w:val="21"/>
              </w:rPr>
            </w:pPr>
          </w:p>
        </w:tc>
        <w:tc>
          <w:tcPr>
            <w:tcW w:w="273" w:type="pct"/>
            <w:vMerge w:val="continue"/>
            <w:tcBorders>
              <w:tl2br w:val="nil"/>
              <w:tr2bl w:val="nil"/>
            </w:tcBorders>
            <w:noWrap/>
            <w:vAlign w:val="center"/>
          </w:tcPr>
          <w:p w14:paraId="5CD2B23C">
            <w:pPr>
              <w:widowControl/>
              <w:snapToGrid w:val="0"/>
              <w:jc w:val="center"/>
              <w:rPr>
                <w:kern w:val="0"/>
                <w:sz w:val="21"/>
                <w:szCs w:val="21"/>
              </w:rPr>
            </w:pPr>
          </w:p>
        </w:tc>
        <w:tc>
          <w:tcPr>
            <w:tcW w:w="237" w:type="pct"/>
            <w:vMerge w:val="restart"/>
            <w:tcBorders>
              <w:tl2br w:val="nil"/>
              <w:tr2bl w:val="nil"/>
            </w:tcBorders>
            <w:noWrap/>
            <w:vAlign w:val="center"/>
          </w:tcPr>
          <w:p w14:paraId="1AD9228E">
            <w:pPr>
              <w:widowControl/>
              <w:snapToGrid w:val="0"/>
              <w:jc w:val="center"/>
              <w:rPr>
                <w:kern w:val="0"/>
                <w:sz w:val="21"/>
                <w:szCs w:val="21"/>
              </w:rPr>
            </w:pPr>
            <w:r>
              <w:rPr>
                <w:rFonts w:hAnsi="宋体"/>
                <w:kern w:val="0"/>
                <w:sz w:val="21"/>
                <w:szCs w:val="21"/>
              </w:rPr>
              <w:t>混炼</w:t>
            </w:r>
          </w:p>
        </w:tc>
        <w:tc>
          <w:tcPr>
            <w:tcW w:w="250" w:type="pct"/>
            <w:tcBorders>
              <w:tl2br w:val="nil"/>
              <w:tr2bl w:val="nil"/>
            </w:tcBorders>
            <w:noWrap/>
            <w:vAlign w:val="center"/>
          </w:tcPr>
          <w:p w14:paraId="30EEC9B6">
            <w:pPr>
              <w:widowControl/>
              <w:snapToGrid w:val="0"/>
              <w:jc w:val="center"/>
              <w:rPr>
                <w:kern w:val="0"/>
                <w:sz w:val="21"/>
                <w:szCs w:val="21"/>
              </w:rPr>
            </w:pPr>
            <w:r>
              <w:rPr>
                <w:rFonts w:hAnsi="宋体"/>
                <w:kern w:val="0"/>
                <w:sz w:val="21"/>
                <w:szCs w:val="21"/>
              </w:rPr>
              <w:t>粉尘（含炭黑尘）</w:t>
            </w:r>
          </w:p>
        </w:tc>
        <w:tc>
          <w:tcPr>
            <w:tcW w:w="301" w:type="pct"/>
            <w:tcBorders>
              <w:tl2br w:val="nil"/>
              <w:tr2bl w:val="nil"/>
            </w:tcBorders>
            <w:noWrap/>
            <w:vAlign w:val="center"/>
          </w:tcPr>
          <w:p w14:paraId="70FC9431">
            <w:pPr>
              <w:snapToGrid w:val="0"/>
              <w:jc w:val="center"/>
              <w:rPr>
                <w:sz w:val="21"/>
                <w:szCs w:val="21"/>
              </w:rPr>
            </w:pPr>
            <w:r>
              <w:rPr>
                <w:sz w:val="21"/>
                <w:szCs w:val="21"/>
              </w:rPr>
              <w:t>4.25</w:t>
            </w:r>
          </w:p>
        </w:tc>
        <w:tc>
          <w:tcPr>
            <w:tcW w:w="351" w:type="pct"/>
            <w:tcBorders>
              <w:tl2br w:val="nil"/>
              <w:tr2bl w:val="nil"/>
            </w:tcBorders>
            <w:noWrap/>
            <w:vAlign w:val="center"/>
          </w:tcPr>
          <w:p w14:paraId="5A50E1E8">
            <w:pPr>
              <w:snapToGrid w:val="0"/>
              <w:jc w:val="center"/>
              <w:rPr>
                <w:sz w:val="21"/>
                <w:szCs w:val="21"/>
              </w:rPr>
            </w:pPr>
            <w:r>
              <w:rPr>
                <w:sz w:val="21"/>
                <w:szCs w:val="21"/>
              </w:rPr>
              <w:t>0.085</w:t>
            </w:r>
          </w:p>
        </w:tc>
        <w:tc>
          <w:tcPr>
            <w:tcW w:w="359" w:type="pct"/>
            <w:tcBorders>
              <w:tl2br w:val="nil"/>
              <w:tr2bl w:val="nil"/>
            </w:tcBorders>
            <w:noWrap/>
            <w:vAlign w:val="center"/>
          </w:tcPr>
          <w:p w14:paraId="620A95F2">
            <w:pPr>
              <w:snapToGrid w:val="0"/>
              <w:jc w:val="center"/>
              <w:rPr>
                <w:sz w:val="21"/>
                <w:szCs w:val="21"/>
              </w:rPr>
            </w:pPr>
            <w:r>
              <w:rPr>
                <w:sz w:val="21"/>
                <w:szCs w:val="21"/>
              </w:rPr>
              <w:t>0.612</w:t>
            </w:r>
          </w:p>
        </w:tc>
        <w:tc>
          <w:tcPr>
            <w:tcW w:w="200" w:type="pct"/>
            <w:vMerge w:val="continue"/>
            <w:tcBorders>
              <w:tl2br w:val="nil"/>
              <w:tr2bl w:val="nil"/>
            </w:tcBorders>
            <w:noWrap/>
            <w:vAlign w:val="center"/>
          </w:tcPr>
          <w:p w14:paraId="4C890CA3">
            <w:pPr>
              <w:widowControl/>
              <w:snapToGrid w:val="0"/>
              <w:jc w:val="center"/>
              <w:rPr>
                <w:kern w:val="0"/>
                <w:sz w:val="21"/>
                <w:szCs w:val="21"/>
              </w:rPr>
            </w:pPr>
          </w:p>
        </w:tc>
        <w:tc>
          <w:tcPr>
            <w:tcW w:w="205" w:type="pct"/>
            <w:vMerge w:val="continue"/>
            <w:tcBorders>
              <w:tl2br w:val="nil"/>
              <w:tr2bl w:val="nil"/>
            </w:tcBorders>
            <w:noWrap/>
            <w:vAlign w:val="center"/>
          </w:tcPr>
          <w:p w14:paraId="3177F816">
            <w:pPr>
              <w:widowControl/>
              <w:snapToGrid w:val="0"/>
              <w:jc w:val="center"/>
              <w:rPr>
                <w:kern w:val="0"/>
                <w:sz w:val="21"/>
                <w:szCs w:val="21"/>
              </w:rPr>
            </w:pPr>
          </w:p>
        </w:tc>
        <w:tc>
          <w:tcPr>
            <w:tcW w:w="259" w:type="pct"/>
            <w:vMerge w:val="continue"/>
            <w:tcBorders>
              <w:tl2br w:val="nil"/>
              <w:tr2bl w:val="nil"/>
            </w:tcBorders>
            <w:noWrap/>
            <w:vAlign w:val="center"/>
          </w:tcPr>
          <w:p w14:paraId="5CEBBAB6">
            <w:pPr>
              <w:widowControl/>
              <w:snapToGrid w:val="0"/>
              <w:jc w:val="center"/>
              <w:rPr>
                <w:kern w:val="0"/>
                <w:sz w:val="21"/>
                <w:szCs w:val="21"/>
              </w:rPr>
            </w:pPr>
          </w:p>
        </w:tc>
        <w:tc>
          <w:tcPr>
            <w:tcW w:w="309" w:type="pct"/>
            <w:vMerge w:val="continue"/>
            <w:tcBorders>
              <w:tl2br w:val="nil"/>
              <w:tr2bl w:val="nil"/>
            </w:tcBorders>
            <w:noWrap/>
            <w:vAlign w:val="center"/>
          </w:tcPr>
          <w:p w14:paraId="699790BD">
            <w:pPr>
              <w:widowControl/>
              <w:snapToGrid w:val="0"/>
              <w:jc w:val="center"/>
              <w:rPr>
                <w:kern w:val="0"/>
                <w:sz w:val="21"/>
                <w:szCs w:val="21"/>
              </w:rPr>
            </w:pPr>
          </w:p>
        </w:tc>
        <w:tc>
          <w:tcPr>
            <w:tcW w:w="357" w:type="pct"/>
            <w:vMerge w:val="continue"/>
            <w:tcBorders>
              <w:tl2br w:val="nil"/>
              <w:tr2bl w:val="nil"/>
            </w:tcBorders>
            <w:noWrap/>
            <w:vAlign w:val="center"/>
          </w:tcPr>
          <w:p w14:paraId="16EB635E">
            <w:pPr>
              <w:widowControl/>
              <w:snapToGrid w:val="0"/>
              <w:jc w:val="center"/>
              <w:rPr>
                <w:kern w:val="0"/>
                <w:sz w:val="21"/>
                <w:szCs w:val="21"/>
              </w:rPr>
            </w:pPr>
          </w:p>
        </w:tc>
        <w:tc>
          <w:tcPr>
            <w:tcW w:w="414" w:type="pct"/>
            <w:vMerge w:val="continue"/>
            <w:tcBorders>
              <w:tl2br w:val="nil"/>
              <w:tr2bl w:val="nil"/>
            </w:tcBorders>
            <w:noWrap/>
            <w:vAlign w:val="center"/>
          </w:tcPr>
          <w:p w14:paraId="556F5F58">
            <w:pPr>
              <w:widowControl/>
              <w:snapToGrid w:val="0"/>
              <w:jc w:val="center"/>
              <w:rPr>
                <w:kern w:val="0"/>
                <w:sz w:val="21"/>
                <w:szCs w:val="21"/>
              </w:rPr>
            </w:pPr>
          </w:p>
        </w:tc>
        <w:tc>
          <w:tcPr>
            <w:tcW w:w="208" w:type="pct"/>
            <w:vMerge w:val="continue"/>
            <w:tcBorders>
              <w:tl2br w:val="nil"/>
              <w:tr2bl w:val="nil"/>
            </w:tcBorders>
            <w:noWrap/>
            <w:vAlign w:val="center"/>
          </w:tcPr>
          <w:p w14:paraId="6A62E2D1">
            <w:pPr>
              <w:widowControl/>
              <w:snapToGrid w:val="0"/>
              <w:jc w:val="center"/>
              <w:rPr>
                <w:kern w:val="0"/>
                <w:sz w:val="21"/>
                <w:szCs w:val="21"/>
              </w:rPr>
            </w:pPr>
          </w:p>
        </w:tc>
        <w:tc>
          <w:tcPr>
            <w:tcW w:w="256" w:type="pct"/>
            <w:vMerge w:val="continue"/>
            <w:tcBorders>
              <w:tl2br w:val="nil"/>
              <w:tr2bl w:val="nil"/>
            </w:tcBorders>
            <w:noWrap/>
            <w:vAlign w:val="center"/>
          </w:tcPr>
          <w:p w14:paraId="27B298AF">
            <w:pPr>
              <w:widowControl/>
              <w:snapToGrid w:val="0"/>
              <w:jc w:val="center"/>
              <w:rPr>
                <w:kern w:val="0"/>
                <w:sz w:val="21"/>
                <w:szCs w:val="21"/>
              </w:rPr>
            </w:pPr>
          </w:p>
        </w:tc>
        <w:tc>
          <w:tcPr>
            <w:tcW w:w="182" w:type="pct"/>
            <w:vMerge w:val="continue"/>
            <w:tcBorders>
              <w:tl2br w:val="nil"/>
              <w:tr2bl w:val="nil"/>
            </w:tcBorders>
            <w:noWrap/>
            <w:vAlign w:val="center"/>
          </w:tcPr>
          <w:p w14:paraId="36C6F149">
            <w:pPr>
              <w:widowControl/>
              <w:snapToGrid w:val="0"/>
              <w:jc w:val="center"/>
              <w:rPr>
                <w:kern w:val="0"/>
                <w:sz w:val="21"/>
                <w:szCs w:val="21"/>
              </w:rPr>
            </w:pPr>
          </w:p>
        </w:tc>
        <w:tc>
          <w:tcPr>
            <w:tcW w:w="178" w:type="pct"/>
            <w:vMerge w:val="continue"/>
            <w:tcBorders>
              <w:tl2br w:val="nil"/>
              <w:tr2bl w:val="nil"/>
            </w:tcBorders>
            <w:noWrap/>
            <w:vAlign w:val="center"/>
          </w:tcPr>
          <w:p w14:paraId="5230DC0D">
            <w:pPr>
              <w:widowControl/>
              <w:snapToGrid w:val="0"/>
              <w:jc w:val="center"/>
              <w:rPr>
                <w:kern w:val="0"/>
                <w:sz w:val="21"/>
                <w:szCs w:val="21"/>
              </w:rPr>
            </w:pPr>
          </w:p>
        </w:tc>
        <w:tc>
          <w:tcPr>
            <w:tcW w:w="155" w:type="pct"/>
            <w:vMerge w:val="continue"/>
            <w:tcBorders>
              <w:tl2br w:val="nil"/>
              <w:tr2bl w:val="nil"/>
            </w:tcBorders>
            <w:noWrap/>
            <w:vAlign w:val="center"/>
          </w:tcPr>
          <w:p w14:paraId="55A23E97">
            <w:pPr>
              <w:widowControl/>
              <w:snapToGrid w:val="0"/>
              <w:jc w:val="center"/>
              <w:rPr>
                <w:kern w:val="0"/>
                <w:sz w:val="21"/>
                <w:szCs w:val="21"/>
              </w:rPr>
            </w:pPr>
          </w:p>
        </w:tc>
        <w:tc>
          <w:tcPr>
            <w:tcW w:w="301" w:type="pct"/>
            <w:vMerge w:val="continue"/>
            <w:tcBorders>
              <w:tl2br w:val="nil"/>
              <w:tr2bl w:val="nil"/>
            </w:tcBorders>
            <w:noWrap/>
            <w:vAlign w:val="center"/>
          </w:tcPr>
          <w:p w14:paraId="2D7D01B1">
            <w:pPr>
              <w:widowControl/>
              <w:snapToGrid w:val="0"/>
              <w:jc w:val="center"/>
              <w:rPr>
                <w:kern w:val="0"/>
                <w:sz w:val="21"/>
                <w:szCs w:val="21"/>
              </w:rPr>
            </w:pPr>
          </w:p>
        </w:tc>
      </w:tr>
      <w:tr w14:paraId="1F4BAA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0A7AB2CD">
            <w:pPr>
              <w:widowControl/>
              <w:snapToGrid w:val="0"/>
              <w:jc w:val="center"/>
              <w:rPr>
                <w:kern w:val="0"/>
                <w:sz w:val="21"/>
                <w:szCs w:val="21"/>
              </w:rPr>
            </w:pPr>
          </w:p>
        </w:tc>
        <w:tc>
          <w:tcPr>
            <w:tcW w:w="273" w:type="pct"/>
            <w:vMerge w:val="continue"/>
            <w:tcBorders>
              <w:tl2br w:val="nil"/>
              <w:tr2bl w:val="nil"/>
            </w:tcBorders>
            <w:noWrap/>
            <w:vAlign w:val="center"/>
          </w:tcPr>
          <w:p w14:paraId="0D7115D0">
            <w:pPr>
              <w:widowControl/>
              <w:snapToGrid w:val="0"/>
              <w:jc w:val="left"/>
              <w:rPr>
                <w:kern w:val="0"/>
                <w:sz w:val="21"/>
                <w:szCs w:val="21"/>
              </w:rPr>
            </w:pPr>
          </w:p>
        </w:tc>
        <w:tc>
          <w:tcPr>
            <w:tcW w:w="237" w:type="pct"/>
            <w:vMerge w:val="continue"/>
            <w:tcBorders>
              <w:tl2br w:val="nil"/>
              <w:tr2bl w:val="nil"/>
            </w:tcBorders>
            <w:noWrap/>
            <w:vAlign w:val="center"/>
          </w:tcPr>
          <w:p w14:paraId="78C3E149">
            <w:pPr>
              <w:widowControl/>
              <w:snapToGrid w:val="0"/>
              <w:jc w:val="left"/>
              <w:rPr>
                <w:kern w:val="0"/>
                <w:sz w:val="21"/>
                <w:szCs w:val="21"/>
              </w:rPr>
            </w:pPr>
          </w:p>
        </w:tc>
        <w:tc>
          <w:tcPr>
            <w:tcW w:w="250" w:type="pct"/>
            <w:tcBorders>
              <w:tl2br w:val="nil"/>
              <w:tr2bl w:val="nil"/>
            </w:tcBorders>
            <w:noWrap/>
            <w:vAlign w:val="center"/>
          </w:tcPr>
          <w:p w14:paraId="42E5050D">
            <w:pPr>
              <w:widowControl/>
              <w:snapToGrid w:val="0"/>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1" w:type="pct"/>
            <w:tcBorders>
              <w:tl2br w:val="nil"/>
              <w:tr2bl w:val="nil"/>
            </w:tcBorders>
            <w:noWrap/>
            <w:vAlign w:val="center"/>
          </w:tcPr>
          <w:p w14:paraId="3537727A">
            <w:pPr>
              <w:snapToGrid w:val="0"/>
              <w:jc w:val="center"/>
              <w:rPr>
                <w:sz w:val="21"/>
                <w:szCs w:val="21"/>
              </w:rPr>
            </w:pPr>
            <w:r>
              <w:rPr>
                <w:sz w:val="21"/>
                <w:szCs w:val="21"/>
              </w:rPr>
              <w:t>0.15</w:t>
            </w:r>
          </w:p>
        </w:tc>
        <w:tc>
          <w:tcPr>
            <w:tcW w:w="351" w:type="pct"/>
            <w:tcBorders>
              <w:tl2br w:val="nil"/>
              <w:tr2bl w:val="nil"/>
            </w:tcBorders>
            <w:noWrap/>
            <w:vAlign w:val="center"/>
          </w:tcPr>
          <w:p w14:paraId="43F78265">
            <w:pPr>
              <w:snapToGrid w:val="0"/>
              <w:jc w:val="center"/>
              <w:rPr>
                <w:sz w:val="21"/>
                <w:szCs w:val="21"/>
              </w:rPr>
            </w:pPr>
            <w:r>
              <w:rPr>
                <w:sz w:val="21"/>
                <w:szCs w:val="21"/>
              </w:rPr>
              <w:t>0.003</w:t>
            </w:r>
          </w:p>
        </w:tc>
        <w:tc>
          <w:tcPr>
            <w:tcW w:w="359" w:type="pct"/>
            <w:tcBorders>
              <w:tl2br w:val="nil"/>
              <w:tr2bl w:val="nil"/>
            </w:tcBorders>
            <w:noWrap/>
            <w:vAlign w:val="center"/>
          </w:tcPr>
          <w:p w14:paraId="759D97F7">
            <w:pPr>
              <w:snapToGrid w:val="0"/>
              <w:jc w:val="center"/>
              <w:rPr>
                <w:sz w:val="21"/>
                <w:szCs w:val="21"/>
              </w:rPr>
            </w:pPr>
            <w:r>
              <w:rPr>
                <w:sz w:val="21"/>
                <w:szCs w:val="21"/>
              </w:rPr>
              <w:t>0.022</w:t>
            </w:r>
          </w:p>
        </w:tc>
        <w:tc>
          <w:tcPr>
            <w:tcW w:w="200" w:type="pct"/>
            <w:vMerge w:val="continue"/>
            <w:tcBorders>
              <w:tl2br w:val="nil"/>
              <w:tr2bl w:val="nil"/>
            </w:tcBorders>
            <w:noWrap/>
            <w:vAlign w:val="center"/>
          </w:tcPr>
          <w:p w14:paraId="122D5B47">
            <w:pPr>
              <w:widowControl/>
              <w:snapToGrid w:val="0"/>
              <w:jc w:val="center"/>
              <w:rPr>
                <w:kern w:val="0"/>
                <w:sz w:val="21"/>
                <w:szCs w:val="21"/>
              </w:rPr>
            </w:pPr>
          </w:p>
        </w:tc>
        <w:tc>
          <w:tcPr>
            <w:tcW w:w="205" w:type="pct"/>
            <w:vMerge w:val="restart"/>
            <w:tcBorders>
              <w:tl2br w:val="nil"/>
              <w:tr2bl w:val="nil"/>
            </w:tcBorders>
            <w:noWrap/>
            <w:vAlign w:val="center"/>
          </w:tcPr>
          <w:p w14:paraId="47BC8254">
            <w:pPr>
              <w:widowControl/>
              <w:snapToGrid w:val="0"/>
              <w:jc w:val="center"/>
              <w:rPr>
                <w:kern w:val="0"/>
                <w:sz w:val="21"/>
                <w:szCs w:val="21"/>
              </w:rPr>
            </w:pPr>
            <w:r>
              <w:rPr>
                <w:kern w:val="0"/>
                <w:sz w:val="21"/>
                <w:szCs w:val="21"/>
              </w:rPr>
              <w:t>90</w:t>
            </w:r>
          </w:p>
        </w:tc>
        <w:tc>
          <w:tcPr>
            <w:tcW w:w="259" w:type="pct"/>
            <w:vMerge w:val="restart"/>
            <w:tcBorders>
              <w:tl2br w:val="nil"/>
              <w:tr2bl w:val="nil"/>
            </w:tcBorders>
            <w:noWrap/>
            <w:vAlign w:val="center"/>
          </w:tcPr>
          <w:p w14:paraId="73CAD429">
            <w:pPr>
              <w:widowControl/>
              <w:snapToGrid w:val="0"/>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9" w:type="pct"/>
            <w:vMerge w:val="restart"/>
            <w:tcBorders>
              <w:tl2br w:val="nil"/>
              <w:tr2bl w:val="nil"/>
            </w:tcBorders>
            <w:noWrap/>
            <w:vAlign w:val="center"/>
          </w:tcPr>
          <w:p w14:paraId="0B51AE65">
            <w:pPr>
              <w:snapToGrid w:val="0"/>
              <w:jc w:val="center"/>
              <w:rPr>
                <w:sz w:val="21"/>
                <w:szCs w:val="21"/>
              </w:rPr>
            </w:pPr>
            <w:r>
              <w:rPr>
                <w:sz w:val="21"/>
                <w:szCs w:val="21"/>
              </w:rPr>
              <w:t>0.09</w:t>
            </w:r>
          </w:p>
        </w:tc>
        <w:tc>
          <w:tcPr>
            <w:tcW w:w="357" w:type="pct"/>
            <w:vMerge w:val="restart"/>
            <w:tcBorders>
              <w:tl2br w:val="nil"/>
              <w:tr2bl w:val="nil"/>
            </w:tcBorders>
            <w:noWrap/>
            <w:vAlign w:val="center"/>
          </w:tcPr>
          <w:p w14:paraId="3B88ADEF">
            <w:pPr>
              <w:snapToGrid w:val="0"/>
              <w:jc w:val="center"/>
              <w:rPr>
                <w:sz w:val="21"/>
                <w:szCs w:val="21"/>
              </w:rPr>
            </w:pPr>
            <w:r>
              <w:rPr>
                <w:sz w:val="21"/>
                <w:szCs w:val="21"/>
              </w:rPr>
              <w:t>0.002</w:t>
            </w:r>
          </w:p>
        </w:tc>
        <w:tc>
          <w:tcPr>
            <w:tcW w:w="414" w:type="pct"/>
            <w:vMerge w:val="restart"/>
            <w:tcBorders>
              <w:tl2br w:val="nil"/>
              <w:tr2bl w:val="nil"/>
            </w:tcBorders>
            <w:noWrap/>
            <w:vAlign w:val="center"/>
          </w:tcPr>
          <w:p w14:paraId="2CD28927">
            <w:pPr>
              <w:snapToGrid w:val="0"/>
              <w:jc w:val="center"/>
              <w:rPr>
                <w:sz w:val="21"/>
                <w:szCs w:val="21"/>
              </w:rPr>
            </w:pPr>
            <w:r>
              <w:rPr>
                <w:sz w:val="21"/>
                <w:szCs w:val="21"/>
              </w:rPr>
              <w:t>0.013</w:t>
            </w:r>
          </w:p>
        </w:tc>
        <w:tc>
          <w:tcPr>
            <w:tcW w:w="208" w:type="pct"/>
            <w:vMerge w:val="restart"/>
            <w:tcBorders>
              <w:tl2br w:val="nil"/>
              <w:tr2bl w:val="nil"/>
            </w:tcBorders>
            <w:noWrap/>
            <w:vAlign w:val="center"/>
          </w:tcPr>
          <w:p w14:paraId="3F56BD58">
            <w:pPr>
              <w:widowControl/>
              <w:snapToGrid w:val="0"/>
              <w:jc w:val="center"/>
              <w:rPr>
                <w:kern w:val="0"/>
                <w:sz w:val="21"/>
                <w:szCs w:val="21"/>
              </w:rPr>
            </w:pPr>
            <w:r>
              <w:rPr>
                <w:rFonts w:hint="eastAsia"/>
                <w:kern w:val="0"/>
                <w:sz w:val="21"/>
                <w:szCs w:val="21"/>
              </w:rPr>
              <w:t>/</w:t>
            </w:r>
          </w:p>
        </w:tc>
        <w:tc>
          <w:tcPr>
            <w:tcW w:w="256" w:type="pct"/>
            <w:vMerge w:val="restart"/>
            <w:tcBorders>
              <w:tl2br w:val="nil"/>
              <w:tr2bl w:val="nil"/>
            </w:tcBorders>
            <w:noWrap/>
            <w:vAlign w:val="center"/>
          </w:tcPr>
          <w:p w14:paraId="1B120BC3">
            <w:pPr>
              <w:widowControl/>
              <w:snapToGrid w:val="0"/>
              <w:jc w:val="center"/>
              <w:rPr>
                <w:kern w:val="0"/>
                <w:sz w:val="21"/>
                <w:szCs w:val="21"/>
              </w:rPr>
            </w:pPr>
            <w:r>
              <w:rPr>
                <w:rFonts w:hint="eastAsia"/>
                <w:kern w:val="0"/>
                <w:sz w:val="21"/>
                <w:szCs w:val="21"/>
              </w:rPr>
              <w:t>0.33</w:t>
            </w:r>
          </w:p>
        </w:tc>
        <w:tc>
          <w:tcPr>
            <w:tcW w:w="182" w:type="pct"/>
            <w:vMerge w:val="continue"/>
            <w:tcBorders>
              <w:tl2br w:val="nil"/>
              <w:tr2bl w:val="nil"/>
            </w:tcBorders>
            <w:noWrap/>
            <w:vAlign w:val="center"/>
          </w:tcPr>
          <w:p w14:paraId="592CB850">
            <w:pPr>
              <w:widowControl/>
              <w:snapToGrid w:val="0"/>
              <w:jc w:val="left"/>
              <w:rPr>
                <w:kern w:val="0"/>
                <w:sz w:val="21"/>
                <w:szCs w:val="21"/>
              </w:rPr>
            </w:pPr>
          </w:p>
        </w:tc>
        <w:tc>
          <w:tcPr>
            <w:tcW w:w="178" w:type="pct"/>
            <w:vMerge w:val="continue"/>
            <w:tcBorders>
              <w:tl2br w:val="nil"/>
              <w:tr2bl w:val="nil"/>
            </w:tcBorders>
            <w:noWrap/>
            <w:vAlign w:val="center"/>
          </w:tcPr>
          <w:p w14:paraId="72C04126">
            <w:pPr>
              <w:widowControl/>
              <w:snapToGrid w:val="0"/>
              <w:jc w:val="left"/>
              <w:rPr>
                <w:kern w:val="0"/>
                <w:sz w:val="21"/>
                <w:szCs w:val="21"/>
              </w:rPr>
            </w:pPr>
          </w:p>
        </w:tc>
        <w:tc>
          <w:tcPr>
            <w:tcW w:w="155" w:type="pct"/>
            <w:vMerge w:val="continue"/>
            <w:tcBorders>
              <w:tl2br w:val="nil"/>
              <w:tr2bl w:val="nil"/>
            </w:tcBorders>
            <w:noWrap/>
            <w:vAlign w:val="center"/>
          </w:tcPr>
          <w:p w14:paraId="0B08EB72">
            <w:pPr>
              <w:widowControl/>
              <w:snapToGrid w:val="0"/>
              <w:jc w:val="left"/>
              <w:rPr>
                <w:kern w:val="0"/>
                <w:sz w:val="21"/>
                <w:szCs w:val="21"/>
              </w:rPr>
            </w:pPr>
          </w:p>
        </w:tc>
        <w:tc>
          <w:tcPr>
            <w:tcW w:w="301" w:type="pct"/>
            <w:vMerge w:val="continue"/>
            <w:tcBorders>
              <w:tl2br w:val="nil"/>
              <w:tr2bl w:val="nil"/>
            </w:tcBorders>
            <w:noWrap/>
            <w:vAlign w:val="center"/>
          </w:tcPr>
          <w:p w14:paraId="66C61701">
            <w:pPr>
              <w:widowControl/>
              <w:snapToGrid w:val="0"/>
              <w:jc w:val="left"/>
              <w:rPr>
                <w:kern w:val="0"/>
                <w:sz w:val="21"/>
                <w:szCs w:val="21"/>
              </w:rPr>
            </w:pPr>
          </w:p>
        </w:tc>
      </w:tr>
      <w:tr w14:paraId="7BAF5D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514B7415">
            <w:pPr>
              <w:widowControl/>
              <w:snapToGrid w:val="0"/>
              <w:jc w:val="center"/>
              <w:rPr>
                <w:kern w:val="0"/>
                <w:sz w:val="21"/>
                <w:szCs w:val="21"/>
              </w:rPr>
            </w:pPr>
          </w:p>
        </w:tc>
        <w:tc>
          <w:tcPr>
            <w:tcW w:w="273" w:type="pct"/>
            <w:vMerge w:val="continue"/>
            <w:tcBorders>
              <w:tl2br w:val="nil"/>
              <w:tr2bl w:val="nil"/>
            </w:tcBorders>
            <w:noWrap/>
            <w:vAlign w:val="center"/>
          </w:tcPr>
          <w:p w14:paraId="02664A63">
            <w:pPr>
              <w:widowControl/>
              <w:snapToGrid w:val="0"/>
              <w:jc w:val="left"/>
              <w:rPr>
                <w:kern w:val="0"/>
                <w:sz w:val="21"/>
                <w:szCs w:val="21"/>
              </w:rPr>
            </w:pPr>
          </w:p>
        </w:tc>
        <w:tc>
          <w:tcPr>
            <w:tcW w:w="237" w:type="pct"/>
            <w:vMerge w:val="continue"/>
            <w:tcBorders>
              <w:tl2br w:val="nil"/>
              <w:tr2bl w:val="nil"/>
            </w:tcBorders>
            <w:noWrap/>
            <w:vAlign w:val="center"/>
          </w:tcPr>
          <w:p w14:paraId="6334F4AD">
            <w:pPr>
              <w:widowControl/>
              <w:snapToGrid w:val="0"/>
              <w:jc w:val="left"/>
              <w:rPr>
                <w:kern w:val="0"/>
                <w:sz w:val="21"/>
                <w:szCs w:val="21"/>
              </w:rPr>
            </w:pPr>
          </w:p>
        </w:tc>
        <w:tc>
          <w:tcPr>
            <w:tcW w:w="250" w:type="pct"/>
            <w:tcBorders>
              <w:tl2br w:val="nil"/>
              <w:tr2bl w:val="nil"/>
            </w:tcBorders>
            <w:noWrap/>
            <w:vAlign w:val="center"/>
          </w:tcPr>
          <w:p w14:paraId="55D11A41">
            <w:pPr>
              <w:widowControl/>
              <w:snapToGrid w:val="0"/>
              <w:jc w:val="center"/>
              <w:rPr>
                <w:rFonts w:hAnsi="宋体"/>
                <w:kern w:val="0"/>
                <w:sz w:val="21"/>
                <w:szCs w:val="21"/>
              </w:rPr>
            </w:pPr>
            <w:r>
              <w:rPr>
                <w:rFonts w:hAnsi="宋体"/>
                <w:kern w:val="0"/>
                <w:sz w:val="21"/>
                <w:szCs w:val="21"/>
              </w:rPr>
              <w:t>非甲烷</w:t>
            </w:r>
          </w:p>
          <w:p w14:paraId="1DF7FF9B">
            <w:pPr>
              <w:widowControl/>
              <w:snapToGrid w:val="0"/>
              <w:jc w:val="center"/>
              <w:rPr>
                <w:kern w:val="0"/>
                <w:sz w:val="21"/>
                <w:szCs w:val="21"/>
              </w:rPr>
            </w:pPr>
            <w:r>
              <w:rPr>
                <w:rFonts w:hAnsi="宋体"/>
                <w:kern w:val="0"/>
                <w:sz w:val="21"/>
                <w:szCs w:val="21"/>
              </w:rPr>
              <w:t>总烃</w:t>
            </w:r>
          </w:p>
        </w:tc>
        <w:tc>
          <w:tcPr>
            <w:tcW w:w="301" w:type="pct"/>
            <w:tcBorders>
              <w:tl2br w:val="nil"/>
              <w:tr2bl w:val="nil"/>
            </w:tcBorders>
            <w:noWrap/>
            <w:vAlign w:val="center"/>
          </w:tcPr>
          <w:p w14:paraId="6ABFC198">
            <w:pPr>
              <w:snapToGrid w:val="0"/>
              <w:jc w:val="center"/>
              <w:rPr>
                <w:sz w:val="21"/>
                <w:szCs w:val="21"/>
              </w:rPr>
            </w:pPr>
            <w:r>
              <w:rPr>
                <w:sz w:val="21"/>
                <w:szCs w:val="21"/>
              </w:rPr>
              <w:t>6.47</w:t>
            </w:r>
          </w:p>
        </w:tc>
        <w:tc>
          <w:tcPr>
            <w:tcW w:w="351" w:type="pct"/>
            <w:tcBorders>
              <w:tl2br w:val="nil"/>
              <w:tr2bl w:val="nil"/>
            </w:tcBorders>
            <w:noWrap/>
            <w:vAlign w:val="center"/>
          </w:tcPr>
          <w:p w14:paraId="62DFE14E">
            <w:pPr>
              <w:snapToGrid w:val="0"/>
              <w:jc w:val="center"/>
              <w:rPr>
                <w:sz w:val="21"/>
                <w:szCs w:val="21"/>
              </w:rPr>
            </w:pPr>
            <w:r>
              <w:rPr>
                <w:sz w:val="21"/>
                <w:szCs w:val="21"/>
              </w:rPr>
              <w:t>0.129</w:t>
            </w:r>
          </w:p>
        </w:tc>
        <w:tc>
          <w:tcPr>
            <w:tcW w:w="359" w:type="pct"/>
            <w:tcBorders>
              <w:tl2br w:val="nil"/>
              <w:tr2bl w:val="nil"/>
            </w:tcBorders>
            <w:noWrap/>
            <w:vAlign w:val="center"/>
          </w:tcPr>
          <w:p w14:paraId="4537A4A5">
            <w:pPr>
              <w:snapToGrid w:val="0"/>
              <w:jc w:val="center"/>
              <w:rPr>
                <w:sz w:val="21"/>
                <w:szCs w:val="21"/>
              </w:rPr>
            </w:pPr>
            <w:r>
              <w:rPr>
                <w:sz w:val="21"/>
                <w:szCs w:val="21"/>
              </w:rPr>
              <w:t>0.932</w:t>
            </w:r>
          </w:p>
        </w:tc>
        <w:tc>
          <w:tcPr>
            <w:tcW w:w="200" w:type="pct"/>
            <w:vMerge w:val="continue"/>
            <w:tcBorders>
              <w:tl2br w:val="nil"/>
              <w:tr2bl w:val="nil"/>
            </w:tcBorders>
            <w:noWrap/>
            <w:vAlign w:val="center"/>
          </w:tcPr>
          <w:p w14:paraId="432995E5">
            <w:pPr>
              <w:widowControl/>
              <w:snapToGrid w:val="0"/>
              <w:jc w:val="center"/>
              <w:rPr>
                <w:kern w:val="0"/>
                <w:sz w:val="21"/>
                <w:szCs w:val="21"/>
              </w:rPr>
            </w:pPr>
          </w:p>
        </w:tc>
        <w:tc>
          <w:tcPr>
            <w:tcW w:w="205" w:type="pct"/>
            <w:vMerge w:val="continue"/>
            <w:tcBorders>
              <w:tl2br w:val="nil"/>
              <w:tr2bl w:val="nil"/>
            </w:tcBorders>
            <w:noWrap/>
            <w:vAlign w:val="center"/>
          </w:tcPr>
          <w:p w14:paraId="7AE1150D">
            <w:pPr>
              <w:widowControl/>
              <w:snapToGrid w:val="0"/>
              <w:jc w:val="center"/>
              <w:rPr>
                <w:kern w:val="0"/>
                <w:sz w:val="21"/>
                <w:szCs w:val="21"/>
              </w:rPr>
            </w:pPr>
          </w:p>
        </w:tc>
        <w:tc>
          <w:tcPr>
            <w:tcW w:w="259" w:type="pct"/>
            <w:vMerge w:val="continue"/>
            <w:tcBorders>
              <w:tl2br w:val="nil"/>
              <w:tr2bl w:val="nil"/>
            </w:tcBorders>
            <w:noWrap/>
            <w:vAlign w:val="center"/>
          </w:tcPr>
          <w:p w14:paraId="776F9F4D">
            <w:pPr>
              <w:widowControl/>
              <w:snapToGrid w:val="0"/>
              <w:jc w:val="center"/>
              <w:rPr>
                <w:kern w:val="0"/>
                <w:sz w:val="21"/>
                <w:szCs w:val="21"/>
              </w:rPr>
            </w:pPr>
          </w:p>
        </w:tc>
        <w:tc>
          <w:tcPr>
            <w:tcW w:w="309" w:type="pct"/>
            <w:vMerge w:val="continue"/>
            <w:tcBorders>
              <w:tl2br w:val="nil"/>
              <w:tr2bl w:val="nil"/>
            </w:tcBorders>
            <w:noWrap/>
            <w:vAlign w:val="center"/>
          </w:tcPr>
          <w:p w14:paraId="2C3AD5F5">
            <w:pPr>
              <w:widowControl/>
              <w:snapToGrid w:val="0"/>
              <w:jc w:val="center"/>
              <w:rPr>
                <w:kern w:val="0"/>
                <w:sz w:val="21"/>
                <w:szCs w:val="21"/>
              </w:rPr>
            </w:pPr>
          </w:p>
        </w:tc>
        <w:tc>
          <w:tcPr>
            <w:tcW w:w="357" w:type="pct"/>
            <w:vMerge w:val="continue"/>
            <w:tcBorders>
              <w:tl2br w:val="nil"/>
              <w:tr2bl w:val="nil"/>
            </w:tcBorders>
            <w:noWrap/>
            <w:vAlign w:val="center"/>
          </w:tcPr>
          <w:p w14:paraId="3EAFC8FC">
            <w:pPr>
              <w:widowControl/>
              <w:snapToGrid w:val="0"/>
              <w:jc w:val="center"/>
              <w:rPr>
                <w:kern w:val="0"/>
                <w:sz w:val="21"/>
                <w:szCs w:val="21"/>
              </w:rPr>
            </w:pPr>
          </w:p>
        </w:tc>
        <w:tc>
          <w:tcPr>
            <w:tcW w:w="414" w:type="pct"/>
            <w:vMerge w:val="continue"/>
            <w:tcBorders>
              <w:tl2br w:val="nil"/>
              <w:tr2bl w:val="nil"/>
            </w:tcBorders>
            <w:noWrap/>
            <w:vAlign w:val="center"/>
          </w:tcPr>
          <w:p w14:paraId="5D60BDA8">
            <w:pPr>
              <w:widowControl/>
              <w:snapToGrid w:val="0"/>
              <w:jc w:val="center"/>
              <w:rPr>
                <w:kern w:val="0"/>
                <w:sz w:val="21"/>
                <w:szCs w:val="21"/>
              </w:rPr>
            </w:pPr>
          </w:p>
        </w:tc>
        <w:tc>
          <w:tcPr>
            <w:tcW w:w="208" w:type="pct"/>
            <w:vMerge w:val="continue"/>
            <w:tcBorders>
              <w:tl2br w:val="nil"/>
              <w:tr2bl w:val="nil"/>
            </w:tcBorders>
            <w:noWrap/>
            <w:vAlign w:val="center"/>
          </w:tcPr>
          <w:p w14:paraId="15930DFD">
            <w:pPr>
              <w:widowControl/>
              <w:snapToGrid w:val="0"/>
              <w:jc w:val="left"/>
              <w:rPr>
                <w:kern w:val="0"/>
                <w:sz w:val="21"/>
                <w:szCs w:val="21"/>
              </w:rPr>
            </w:pPr>
          </w:p>
        </w:tc>
        <w:tc>
          <w:tcPr>
            <w:tcW w:w="256" w:type="pct"/>
            <w:vMerge w:val="continue"/>
            <w:tcBorders>
              <w:tl2br w:val="nil"/>
              <w:tr2bl w:val="nil"/>
            </w:tcBorders>
            <w:noWrap/>
            <w:vAlign w:val="center"/>
          </w:tcPr>
          <w:p w14:paraId="5AF6FB01">
            <w:pPr>
              <w:widowControl/>
              <w:snapToGrid w:val="0"/>
              <w:jc w:val="left"/>
              <w:rPr>
                <w:kern w:val="0"/>
                <w:sz w:val="21"/>
                <w:szCs w:val="21"/>
              </w:rPr>
            </w:pPr>
          </w:p>
        </w:tc>
        <w:tc>
          <w:tcPr>
            <w:tcW w:w="182" w:type="pct"/>
            <w:vMerge w:val="continue"/>
            <w:tcBorders>
              <w:tl2br w:val="nil"/>
              <w:tr2bl w:val="nil"/>
            </w:tcBorders>
            <w:noWrap/>
            <w:vAlign w:val="center"/>
          </w:tcPr>
          <w:p w14:paraId="29B8EB3C">
            <w:pPr>
              <w:widowControl/>
              <w:snapToGrid w:val="0"/>
              <w:jc w:val="left"/>
              <w:rPr>
                <w:kern w:val="0"/>
                <w:sz w:val="21"/>
                <w:szCs w:val="21"/>
              </w:rPr>
            </w:pPr>
          </w:p>
        </w:tc>
        <w:tc>
          <w:tcPr>
            <w:tcW w:w="178" w:type="pct"/>
            <w:vMerge w:val="continue"/>
            <w:tcBorders>
              <w:tl2br w:val="nil"/>
              <w:tr2bl w:val="nil"/>
            </w:tcBorders>
            <w:noWrap/>
            <w:vAlign w:val="center"/>
          </w:tcPr>
          <w:p w14:paraId="266C1299">
            <w:pPr>
              <w:widowControl/>
              <w:snapToGrid w:val="0"/>
              <w:jc w:val="left"/>
              <w:rPr>
                <w:kern w:val="0"/>
                <w:sz w:val="21"/>
                <w:szCs w:val="21"/>
              </w:rPr>
            </w:pPr>
          </w:p>
        </w:tc>
        <w:tc>
          <w:tcPr>
            <w:tcW w:w="155" w:type="pct"/>
            <w:vMerge w:val="continue"/>
            <w:tcBorders>
              <w:tl2br w:val="nil"/>
              <w:tr2bl w:val="nil"/>
            </w:tcBorders>
            <w:noWrap/>
            <w:vAlign w:val="center"/>
          </w:tcPr>
          <w:p w14:paraId="2A3CF030">
            <w:pPr>
              <w:widowControl/>
              <w:snapToGrid w:val="0"/>
              <w:jc w:val="left"/>
              <w:rPr>
                <w:kern w:val="0"/>
                <w:sz w:val="21"/>
                <w:szCs w:val="21"/>
              </w:rPr>
            </w:pPr>
          </w:p>
        </w:tc>
        <w:tc>
          <w:tcPr>
            <w:tcW w:w="301" w:type="pct"/>
            <w:vMerge w:val="continue"/>
            <w:tcBorders>
              <w:tl2br w:val="nil"/>
              <w:tr2bl w:val="nil"/>
            </w:tcBorders>
            <w:noWrap/>
            <w:vAlign w:val="center"/>
          </w:tcPr>
          <w:p w14:paraId="283C143F">
            <w:pPr>
              <w:widowControl/>
              <w:snapToGrid w:val="0"/>
              <w:jc w:val="left"/>
              <w:rPr>
                <w:kern w:val="0"/>
                <w:sz w:val="21"/>
                <w:szCs w:val="21"/>
              </w:rPr>
            </w:pPr>
          </w:p>
        </w:tc>
      </w:tr>
      <w:tr w14:paraId="29A133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38D99A1D">
            <w:pPr>
              <w:widowControl/>
              <w:snapToGrid w:val="0"/>
              <w:jc w:val="center"/>
              <w:rPr>
                <w:kern w:val="0"/>
                <w:sz w:val="21"/>
                <w:szCs w:val="21"/>
              </w:rPr>
            </w:pPr>
          </w:p>
        </w:tc>
        <w:tc>
          <w:tcPr>
            <w:tcW w:w="273" w:type="pct"/>
            <w:vMerge w:val="continue"/>
            <w:tcBorders>
              <w:tl2br w:val="nil"/>
              <w:tr2bl w:val="nil"/>
            </w:tcBorders>
            <w:noWrap/>
            <w:vAlign w:val="center"/>
          </w:tcPr>
          <w:p w14:paraId="3B7BD934">
            <w:pPr>
              <w:widowControl/>
              <w:snapToGrid w:val="0"/>
              <w:jc w:val="left"/>
              <w:rPr>
                <w:kern w:val="0"/>
                <w:sz w:val="21"/>
                <w:szCs w:val="21"/>
              </w:rPr>
            </w:pPr>
          </w:p>
        </w:tc>
        <w:tc>
          <w:tcPr>
            <w:tcW w:w="237" w:type="pct"/>
            <w:vMerge w:val="restart"/>
            <w:tcBorders>
              <w:tl2br w:val="nil"/>
              <w:tr2bl w:val="nil"/>
            </w:tcBorders>
            <w:noWrap/>
            <w:vAlign w:val="center"/>
          </w:tcPr>
          <w:p w14:paraId="2963774A">
            <w:pPr>
              <w:widowControl/>
              <w:snapToGrid w:val="0"/>
              <w:jc w:val="center"/>
              <w:rPr>
                <w:kern w:val="0"/>
                <w:sz w:val="21"/>
                <w:szCs w:val="21"/>
              </w:rPr>
            </w:pPr>
            <w:r>
              <w:rPr>
                <w:rFonts w:hAnsi="宋体"/>
                <w:kern w:val="0"/>
                <w:sz w:val="21"/>
                <w:szCs w:val="21"/>
              </w:rPr>
              <w:t>返炼</w:t>
            </w:r>
          </w:p>
        </w:tc>
        <w:tc>
          <w:tcPr>
            <w:tcW w:w="250" w:type="pct"/>
            <w:tcBorders>
              <w:tl2br w:val="nil"/>
              <w:tr2bl w:val="nil"/>
            </w:tcBorders>
            <w:noWrap/>
            <w:vAlign w:val="center"/>
          </w:tcPr>
          <w:p w14:paraId="7E56611A">
            <w:pPr>
              <w:widowControl/>
              <w:snapToGrid w:val="0"/>
              <w:jc w:val="center"/>
              <w:rPr>
                <w:kern w:val="0"/>
                <w:sz w:val="21"/>
                <w:szCs w:val="21"/>
              </w:rPr>
            </w:pPr>
            <w:r>
              <w:rPr>
                <w:rFonts w:hAnsi="宋体"/>
                <w:kern w:val="0"/>
                <w:sz w:val="21"/>
                <w:szCs w:val="21"/>
              </w:rPr>
              <w:t>粉尘（含炭黑尘）</w:t>
            </w:r>
          </w:p>
        </w:tc>
        <w:tc>
          <w:tcPr>
            <w:tcW w:w="301" w:type="pct"/>
            <w:tcBorders>
              <w:tl2br w:val="nil"/>
              <w:tr2bl w:val="nil"/>
            </w:tcBorders>
            <w:noWrap/>
            <w:vAlign w:val="center"/>
          </w:tcPr>
          <w:p w14:paraId="4A67C34F">
            <w:pPr>
              <w:snapToGrid w:val="0"/>
              <w:jc w:val="center"/>
              <w:rPr>
                <w:sz w:val="21"/>
                <w:szCs w:val="21"/>
              </w:rPr>
            </w:pPr>
            <w:r>
              <w:rPr>
                <w:sz w:val="21"/>
                <w:szCs w:val="21"/>
              </w:rPr>
              <w:t>0.99</w:t>
            </w:r>
          </w:p>
        </w:tc>
        <w:tc>
          <w:tcPr>
            <w:tcW w:w="351" w:type="pct"/>
            <w:tcBorders>
              <w:tl2br w:val="nil"/>
              <w:tr2bl w:val="nil"/>
            </w:tcBorders>
            <w:noWrap/>
            <w:vAlign w:val="center"/>
          </w:tcPr>
          <w:p w14:paraId="3B508CAD">
            <w:pPr>
              <w:snapToGrid w:val="0"/>
              <w:jc w:val="center"/>
              <w:rPr>
                <w:sz w:val="21"/>
                <w:szCs w:val="21"/>
              </w:rPr>
            </w:pPr>
            <w:r>
              <w:rPr>
                <w:sz w:val="21"/>
                <w:szCs w:val="21"/>
              </w:rPr>
              <w:t>0.020</w:t>
            </w:r>
          </w:p>
        </w:tc>
        <w:tc>
          <w:tcPr>
            <w:tcW w:w="359" w:type="pct"/>
            <w:tcBorders>
              <w:tl2br w:val="nil"/>
              <w:tr2bl w:val="nil"/>
            </w:tcBorders>
            <w:noWrap/>
            <w:vAlign w:val="center"/>
          </w:tcPr>
          <w:p w14:paraId="226102BE">
            <w:pPr>
              <w:snapToGrid w:val="0"/>
              <w:jc w:val="center"/>
              <w:rPr>
                <w:sz w:val="21"/>
                <w:szCs w:val="21"/>
              </w:rPr>
            </w:pPr>
            <w:r>
              <w:rPr>
                <w:sz w:val="21"/>
                <w:szCs w:val="21"/>
              </w:rPr>
              <w:t>0.142</w:t>
            </w:r>
          </w:p>
        </w:tc>
        <w:tc>
          <w:tcPr>
            <w:tcW w:w="200" w:type="pct"/>
            <w:vMerge w:val="continue"/>
            <w:tcBorders>
              <w:tl2br w:val="nil"/>
              <w:tr2bl w:val="nil"/>
            </w:tcBorders>
            <w:noWrap/>
            <w:vAlign w:val="center"/>
          </w:tcPr>
          <w:p w14:paraId="6E1038E7">
            <w:pPr>
              <w:widowControl/>
              <w:snapToGrid w:val="0"/>
              <w:jc w:val="center"/>
              <w:rPr>
                <w:kern w:val="0"/>
                <w:sz w:val="21"/>
                <w:szCs w:val="21"/>
              </w:rPr>
            </w:pPr>
          </w:p>
        </w:tc>
        <w:tc>
          <w:tcPr>
            <w:tcW w:w="205" w:type="pct"/>
            <w:vMerge w:val="restart"/>
            <w:tcBorders>
              <w:tl2br w:val="nil"/>
              <w:tr2bl w:val="nil"/>
            </w:tcBorders>
            <w:noWrap/>
            <w:vAlign w:val="center"/>
          </w:tcPr>
          <w:p w14:paraId="14A1ABD5">
            <w:pPr>
              <w:widowControl/>
              <w:snapToGrid w:val="0"/>
              <w:jc w:val="center"/>
              <w:rPr>
                <w:kern w:val="0"/>
                <w:sz w:val="21"/>
                <w:szCs w:val="21"/>
              </w:rPr>
            </w:pPr>
            <w:r>
              <w:rPr>
                <w:kern w:val="0"/>
                <w:sz w:val="21"/>
                <w:szCs w:val="21"/>
              </w:rPr>
              <w:t>90</w:t>
            </w:r>
          </w:p>
        </w:tc>
        <w:tc>
          <w:tcPr>
            <w:tcW w:w="259" w:type="pct"/>
            <w:vMerge w:val="restart"/>
            <w:tcBorders>
              <w:tl2br w:val="nil"/>
              <w:tr2bl w:val="nil"/>
            </w:tcBorders>
            <w:noWrap/>
            <w:vAlign w:val="center"/>
          </w:tcPr>
          <w:p w14:paraId="11E918FB">
            <w:pPr>
              <w:widowControl/>
              <w:snapToGrid w:val="0"/>
              <w:jc w:val="center"/>
              <w:rPr>
                <w:kern w:val="0"/>
                <w:sz w:val="21"/>
                <w:szCs w:val="21"/>
              </w:rPr>
            </w:pPr>
            <w:r>
              <w:rPr>
                <w:rFonts w:hAnsi="宋体"/>
                <w:kern w:val="0"/>
                <w:sz w:val="21"/>
                <w:szCs w:val="21"/>
              </w:rPr>
              <w:t>非甲烷总烃</w:t>
            </w:r>
          </w:p>
        </w:tc>
        <w:tc>
          <w:tcPr>
            <w:tcW w:w="309" w:type="pct"/>
            <w:vMerge w:val="restart"/>
            <w:tcBorders>
              <w:tl2br w:val="nil"/>
              <w:tr2bl w:val="nil"/>
            </w:tcBorders>
            <w:noWrap/>
            <w:vAlign w:val="center"/>
          </w:tcPr>
          <w:p w14:paraId="739ADF36">
            <w:pPr>
              <w:snapToGrid w:val="0"/>
              <w:jc w:val="center"/>
              <w:rPr>
                <w:sz w:val="21"/>
                <w:szCs w:val="21"/>
              </w:rPr>
            </w:pPr>
            <w:r>
              <w:rPr>
                <w:sz w:val="21"/>
                <w:szCs w:val="21"/>
              </w:rPr>
              <w:t>0.89</w:t>
            </w:r>
          </w:p>
        </w:tc>
        <w:tc>
          <w:tcPr>
            <w:tcW w:w="357" w:type="pct"/>
            <w:vMerge w:val="restart"/>
            <w:tcBorders>
              <w:tl2br w:val="nil"/>
              <w:tr2bl w:val="nil"/>
            </w:tcBorders>
            <w:noWrap/>
            <w:vAlign w:val="center"/>
          </w:tcPr>
          <w:p w14:paraId="214137BE">
            <w:pPr>
              <w:snapToGrid w:val="0"/>
              <w:jc w:val="center"/>
              <w:rPr>
                <w:sz w:val="21"/>
                <w:szCs w:val="21"/>
              </w:rPr>
            </w:pPr>
            <w:r>
              <w:rPr>
                <w:sz w:val="21"/>
                <w:szCs w:val="21"/>
              </w:rPr>
              <w:t>0.018</w:t>
            </w:r>
          </w:p>
        </w:tc>
        <w:tc>
          <w:tcPr>
            <w:tcW w:w="414" w:type="pct"/>
            <w:vMerge w:val="restart"/>
            <w:tcBorders>
              <w:tl2br w:val="nil"/>
              <w:tr2bl w:val="nil"/>
            </w:tcBorders>
            <w:noWrap/>
            <w:vAlign w:val="center"/>
          </w:tcPr>
          <w:p w14:paraId="02F1BBC8">
            <w:pPr>
              <w:snapToGrid w:val="0"/>
              <w:jc w:val="center"/>
              <w:rPr>
                <w:sz w:val="21"/>
                <w:szCs w:val="21"/>
              </w:rPr>
            </w:pPr>
            <w:r>
              <w:rPr>
                <w:sz w:val="21"/>
                <w:szCs w:val="21"/>
              </w:rPr>
              <w:t>0.128</w:t>
            </w:r>
          </w:p>
        </w:tc>
        <w:tc>
          <w:tcPr>
            <w:tcW w:w="208" w:type="pct"/>
            <w:vMerge w:val="restart"/>
            <w:tcBorders>
              <w:tl2br w:val="nil"/>
              <w:tr2bl w:val="nil"/>
            </w:tcBorders>
            <w:noWrap/>
            <w:vAlign w:val="center"/>
          </w:tcPr>
          <w:p w14:paraId="5C32453D">
            <w:pPr>
              <w:widowControl/>
              <w:snapToGrid w:val="0"/>
              <w:jc w:val="center"/>
              <w:rPr>
                <w:kern w:val="0"/>
                <w:sz w:val="21"/>
                <w:szCs w:val="21"/>
              </w:rPr>
            </w:pPr>
            <w:r>
              <w:rPr>
                <w:rFonts w:hint="eastAsia"/>
                <w:kern w:val="0"/>
                <w:sz w:val="21"/>
                <w:szCs w:val="21"/>
              </w:rPr>
              <w:t>10</w:t>
            </w:r>
          </w:p>
        </w:tc>
        <w:tc>
          <w:tcPr>
            <w:tcW w:w="256" w:type="pct"/>
            <w:vMerge w:val="restart"/>
            <w:tcBorders>
              <w:tl2br w:val="nil"/>
              <w:tr2bl w:val="nil"/>
            </w:tcBorders>
            <w:noWrap/>
            <w:vAlign w:val="center"/>
          </w:tcPr>
          <w:p w14:paraId="7256AFC1">
            <w:pPr>
              <w:widowControl/>
              <w:snapToGrid w:val="0"/>
              <w:jc w:val="center"/>
              <w:rPr>
                <w:kern w:val="0"/>
                <w:sz w:val="21"/>
                <w:szCs w:val="21"/>
              </w:rPr>
            </w:pPr>
            <w:r>
              <w:rPr>
                <w:rFonts w:hint="eastAsia"/>
                <w:kern w:val="0"/>
                <w:sz w:val="21"/>
                <w:szCs w:val="21"/>
              </w:rPr>
              <w:t>/</w:t>
            </w:r>
          </w:p>
        </w:tc>
        <w:tc>
          <w:tcPr>
            <w:tcW w:w="182" w:type="pct"/>
            <w:vMerge w:val="continue"/>
            <w:tcBorders>
              <w:tl2br w:val="nil"/>
              <w:tr2bl w:val="nil"/>
            </w:tcBorders>
            <w:noWrap/>
            <w:vAlign w:val="center"/>
          </w:tcPr>
          <w:p w14:paraId="4426403F">
            <w:pPr>
              <w:widowControl/>
              <w:snapToGrid w:val="0"/>
              <w:jc w:val="left"/>
              <w:rPr>
                <w:kern w:val="0"/>
                <w:sz w:val="21"/>
                <w:szCs w:val="21"/>
              </w:rPr>
            </w:pPr>
          </w:p>
        </w:tc>
        <w:tc>
          <w:tcPr>
            <w:tcW w:w="178" w:type="pct"/>
            <w:vMerge w:val="continue"/>
            <w:tcBorders>
              <w:tl2br w:val="nil"/>
              <w:tr2bl w:val="nil"/>
            </w:tcBorders>
            <w:noWrap/>
            <w:vAlign w:val="center"/>
          </w:tcPr>
          <w:p w14:paraId="53966836">
            <w:pPr>
              <w:widowControl/>
              <w:snapToGrid w:val="0"/>
              <w:jc w:val="left"/>
              <w:rPr>
                <w:kern w:val="0"/>
                <w:sz w:val="21"/>
                <w:szCs w:val="21"/>
              </w:rPr>
            </w:pPr>
          </w:p>
        </w:tc>
        <w:tc>
          <w:tcPr>
            <w:tcW w:w="155" w:type="pct"/>
            <w:vMerge w:val="continue"/>
            <w:tcBorders>
              <w:tl2br w:val="nil"/>
              <w:tr2bl w:val="nil"/>
            </w:tcBorders>
            <w:noWrap/>
            <w:vAlign w:val="center"/>
          </w:tcPr>
          <w:p w14:paraId="793AEA75">
            <w:pPr>
              <w:widowControl/>
              <w:snapToGrid w:val="0"/>
              <w:jc w:val="left"/>
              <w:rPr>
                <w:kern w:val="0"/>
                <w:sz w:val="21"/>
                <w:szCs w:val="21"/>
              </w:rPr>
            </w:pPr>
          </w:p>
        </w:tc>
        <w:tc>
          <w:tcPr>
            <w:tcW w:w="301" w:type="pct"/>
            <w:vMerge w:val="continue"/>
            <w:tcBorders>
              <w:tl2br w:val="nil"/>
              <w:tr2bl w:val="nil"/>
            </w:tcBorders>
            <w:noWrap/>
            <w:vAlign w:val="center"/>
          </w:tcPr>
          <w:p w14:paraId="319A6C1C">
            <w:pPr>
              <w:widowControl/>
              <w:snapToGrid w:val="0"/>
              <w:jc w:val="left"/>
              <w:rPr>
                <w:kern w:val="0"/>
                <w:sz w:val="21"/>
                <w:szCs w:val="21"/>
              </w:rPr>
            </w:pPr>
          </w:p>
        </w:tc>
      </w:tr>
      <w:tr w14:paraId="1328FD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0D14BC66">
            <w:pPr>
              <w:widowControl/>
              <w:snapToGrid w:val="0"/>
              <w:jc w:val="center"/>
              <w:rPr>
                <w:kern w:val="0"/>
                <w:sz w:val="21"/>
                <w:szCs w:val="21"/>
              </w:rPr>
            </w:pPr>
          </w:p>
        </w:tc>
        <w:tc>
          <w:tcPr>
            <w:tcW w:w="273" w:type="pct"/>
            <w:vMerge w:val="continue"/>
            <w:tcBorders>
              <w:tl2br w:val="nil"/>
              <w:tr2bl w:val="nil"/>
            </w:tcBorders>
            <w:noWrap/>
            <w:vAlign w:val="center"/>
          </w:tcPr>
          <w:p w14:paraId="551C58F2">
            <w:pPr>
              <w:widowControl/>
              <w:snapToGrid w:val="0"/>
              <w:jc w:val="left"/>
              <w:rPr>
                <w:kern w:val="0"/>
                <w:sz w:val="21"/>
                <w:szCs w:val="21"/>
              </w:rPr>
            </w:pPr>
          </w:p>
        </w:tc>
        <w:tc>
          <w:tcPr>
            <w:tcW w:w="237" w:type="pct"/>
            <w:vMerge w:val="continue"/>
            <w:tcBorders>
              <w:tl2br w:val="nil"/>
              <w:tr2bl w:val="nil"/>
            </w:tcBorders>
            <w:noWrap/>
            <w:vAlign w:val="center"/>
          </w:tcPr>
          <w:p w14:paraId="610DC158">
            <w:pPr>
              <w:widowControl/>
              <w:snapToGrid w:val="0"/>
              <w:jc w:val="left"/>
              <w:rPr>
                <w:kern w:val="0"/>
                <w:sz w:val="21"/>
                <w:szCs w:val="21"/>
              </w:rPr>
            </w:pPr>
          </w:p>
        </w:tc>
        <w:tc>
          <w:tcPr>
            <w:tcW w:w="250" w:type="pct"/>
            <w:tcBorders>
              <w:tl2br w:val="nil"/>
              <w:tr2bl w:val="nil"/>
            </w:tcBorders>
            <w:noWrap/>
            <w:vAlign w:val="center"/>
          </w:tcPr>
          <w:p w14:paraId="710A21A7">
            <w:pPr>
              <w:widowControl/>
              <w:snapToGrid w:val="0"/>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1" w:type="pct"/>
            <w:tcBorders>
              <w:tl2br w:val="nil"/>
              <w:tr2bl w:val="nil"/>
            </w:tcBorders>
            <w:noWrap/>
            <w:vAlign w:val="center"/>
          </w:tcPr>
          <w:p w14:paraId="0808DD3E">
            <w:pPr>
              <w:snapToGrid w:val="0"/>
              <w:jc w:val="center"/>
              <w:rPr>
                <w:sz w:val="21"/>
                <w:szCs w:val="21"/>
              </w:rPr>
            </w:pPr>
            <w:r>
              <w:rPr>
                <w:sz w:val="21"/>
                <w:szCs w:val="21"/>
              </w:rPr>
              <w:t>0.16</w:t>
            </w:r>
          </w:p>
        </w:tc>
        <w:tc>
          <w:tcPr>
            <w:tcW w:w="351" w:type="pct"/>
            <w:tcBorders>
              <w:tl2br w:val="nil"/>
              <w:tr2bl w:val="nil"/>
            </w:tcBorders>
            <w:noWrap/>
            <w:vAlign w:val="center"/>
          </w:tcPr>
          <w:p w14:paraId="7EEDC1D3">
            <w:pPr>
              <w:snapToGrid w:val="0"/>
              <w:jc w:val="center"/>
              <w:rPr>
                <w:sz w:val="21"/>
                <w:szCs w:val="21"/>
              </w:rPr>
            </w:pPr>
            <w:r>
              <w:rPr>
                <w:sz w:val="21"/>
                <w:szCs w:val="21"/>
              </w:rPr>
              <w:t>0.003</w:t>
            </w:r>
          </w:p>
        </w:tc>
        <w:tc>
          <w:tcPr>
            <w:tcW w:w="359" w:type="pct"/>
            <w:tcBorders>
              <w:tl2br w:val="nil"/>
              <w:tr2bl w:val="nil"/>
            </w:tcBorders>
            <w:noWrap/>
            <w:vAlign w:val="center"/>
          </w:tcPr>
          <w:p w14:paraId="77784DB4">
            <w:pPr>
              <w:snapToGrid w:val="0"/>
              <w:jc w:val="center"/>
              <w:rPr>
                <w:sz w:val="21"/>
                <w:szCs w:val="21"/>
              </w:rPr>
            </w:pPr>
            <w:r>
              <w:rPr>
                <w:sz w:val="21"/>
                <w:szCs w:val="21"/>
              </w:rPr>
              <w:t>0.023</w:t>
            </w:r>
          </w:p>
        </w:tc>
        <w:tc>
          <w:tcPr>
            <w:tcW w:w="200" w:type="pct"/>
            <w:vMerge w:val="continue"/>
            <w:tcBorders>
              <w:tl2br w:val="nil"/>
              <w:tr2bl w:val="nil"/>
            </w:tcBorders>
            <w:noWrap/>
            <w:vAlign w:val="center"/>
          </w:tcPr>
          <w:p w14:paraId="08B9BDDD">
            <w:pPr>
              <w:widowControl/>
              <w:snapToGrid w:val="0"/>
              <w:jc w:val="center"/>
              <w:rPr>
                <w:kern w:val="0"/>
                <w:sz w:val="21"/>
                <w:szCs w:val="21"/>
              </w:rPr>
            </w:pPr>
          </w:p>
        </w:tc>
        <w:tc>
          <w:tcPr>
            <w:tcW w:w="205" w:type="pct"/>
            <w:vMerge w:val="continue"/>
            <w:tcBorders>
              <w:tl2br w:val="nil"/>
              <w:tr2bl w:val="nil"/>
            </w:tcBorders>
            <w:noWrap/>
            <w:vAlign w:val="center"/>
          </w:tcPr>
          <w:p w14:paraId="224D3D49">
            <w:pPr>
              <w:widowControl/>
              <w:snapToGrid w:val="0"/>
              <w:jc w:val="center"/>
              <w:rPr>
                <w:kern w:val="0"/>
                <w:sz w:val="21"/>
                <w:szCs w:val="21"/>
              </w:rPr>
            </w:pPr>
          </w:p>
        </w:tc>
        <w:tc>
          <w:tcPr>
            <w:tcW w:w="259" w:type="pct"/>
            <w:vMerge w:val="continue"/>
            <w:tcBorders>
              <w:tl2br w:val="nil"/>
              <w:tr2bl w:val="nil"/>
            </w:tcBorders>
            <w:noWrap/>
            <w:vAlign w:val="center"/>
          </w:tcPr>
          <w:p w14:paraId="24BCCFCF">
            <w:pPr>
              <w:widowControl/>
              <w:snapToGrid w:val="0"/>
              <w:jc w:val="center"/>
              <w:rPr>
                <w:kern w:val="0"/>
                <w:sz w:val="21"/>
                <w:szCs w:val="21"/>
              </w:rPr>
            </w:pPr>
          </w:p>
        </w:tc>
        <w:tc>
          <w:tcPr>
            <w:tcW w:w="309" w:type="pct"/>
            <w:vMerge w:val="continue"/>
            <w:tcBorders>
              <w:tl2br w:val="nil"/>
              <w:tr2bl w:val="nil"/>
            </w:tcBorders>
            <w:noWrap/>
            <w:vAlign w:val="center"/>
          </w:tcPr>
          <w:p w14:paraId="21F0AC5A">
            <w:pPr>
              <w:widowControl/>
              <w:snapToGrid w:val="0"/>
              <w:jc w:val="center"/>
              <w:rPr>
                <w:kern w:val="0"/>
                <w:sz w:val="21"/>
                <w:szCs w:val="21"/>
              </w:rPr>
            </w:pPr>
          </w:p>
        </w:tc>
        <w:tc>
          <w:tcPr>
            <w:tcW w:w="357" w:type="pct"/>
            <w:vMerge w:val="continue"/>
            <w:tcBorders>
              <w:tl2br w:val="nil"/>
              <w:tr2bl w:val="nil"/>
            </w:tcBorders>
            <w:noWrap/>
            <w:vAlign w:val="center"/>
          </w:tcPr>
          <w:p w14:paraId="5A3F0076">
            <w:pPr>
              <w:widowControl/>
              <w:snapToGrid w:val="0"/>
              <w:jc w:val="center"/>
              <w:rPr>
                <w:kern w:val="0"/>
                <w:sz w:val="21"/>
                <w:szCs w:val="21"/>
              </w:rPr>
            </w:pPr>
          </w:p>
        </w:tc>
        <w:tc>
          <w:tcPr>
            <w:tcW w:w="414" w:type="pct"/>
            <w:vMerge w:val="continue"/>
            <w:tcBorders>
              <w:tl2br w:val="nil"/>
              <w:tr2bl w:val="nil"/>
            </w:tcBorders>
            <w:noWrap/>
            <w:vAlign w:val="center"/>
          </w:tcPr>
          <w:p w14:paraId="1FD2C170">
            <w:pPr>
              <w:widowControl/>
              <w:snapToGrid w:val="0"/>
              <w:jc w:val="center"/>
              <w:rPr>
                <w:kern w:val="0"/>
                <w:sz w:val="21"/>
                <w:szCs w:val="21"/>
              </w:rPr>
            </w:pPr>
          </w:p>
        </w:tc>
        <w:tc>
          <w:tcPr>
            <w:tcW w:w="208" w:type="pct"/>
            <w:vMerge w:val="continue"/>
            <w:tcBorders>
              <w:tl2br w:val="nil"/>
              <w:tr2bl w:val="nil"/>
            </w:tcBorders>
            <w:noWrap/>
            <w:vAlign w:val="center"/>
          </w:tcPr>
          <w:p w14:paraId="2F025B44">
            <w:pPr>
              <w:widowControl/>
              <w:snapToGrid w:val="0"/>
              <w:jc w:val="left"/>
              <w:rPr>
                <w:kern w:val="0"/>
                <w:sz w:val="21"/>
                <w:szCs w:val="21"/>
              </w:rPr>
            </w:pPr>
          </w:p>
        </w:tc>
        <w:tc>
          <w:tcPr>
            <w:tcW w:w="256" w:type="pct"/>
            <w:vMerge w:val="continue"/>
            <w:tcBorders>
              <w:tl2br w:val="nil"/>
              <w:tr2bl w:val="nil"/>
            </w:tcBorders>
            <w:noWrap/>
            <w:vAlign w:val="center"/>
          </w:tcPr>
          <w:p w14:paraId="06F6845C">
            <w:pPr>
              <w:widowControl/>
              <w:snapToGrid w:val="0"/>
              <w:jc w:val="left"/>
              <w:rPr>
                <w:kern w:val="0"/>
                <w:sz w:val="21"/>
                <w:szCs w:val="21"/>
              </w:rPr>
            </w:pPr>
          </w:p>
        </w:tc>
        <w:tc>
          <w:tcPr>
            <w:tcW w:w="182" w:type="pct"/>
            <w:vMerge w:val="continue"/>
            <w:tcBorders>
              <w:tl2br w:val="nil"/>
              <w:tr2bl w:val="nil"/>
            </w:tcBorders>
            <w:noWrap/>
            <w:vAlign w:val="center"/>
          </w:tcPr>
          <w:p w14:paraId="508B6369">
            <w:pPr>
              <w:widowControl/>
              <w:snapToGrid w:val="0"/>
              <w:jc w:val="left"/>
              <w:rPr>
                <w:kern w:val="0"/>
                <w:sz w:val="21"/>
                <w:szCs w:val="21"/>
              </w:rPr>
            </w:pPr>
          </w:p>
        </w:tc>
        <w:tc>
          <w:tcPr>
            <w:tcW w:w="178" w:type="pct"/>
            <w:vMerge w:val="continue"/>
            <w:tcBorders>
              <w:tl2br w:val="nil"/>
              <w:tr2bl w:val="nil"/>
            </w:tcBorders>
            <w:noWrap/>
            <w:vAlign w:val="center"/>
          </w:tcPr>
          <w:p w14:paraId="2DFB6824">
            <w:pPr>
              <w:widowControl/>
              <w:snapToGrid w:val="0"/>
              <w:jc w:val="left"/>
              <w:rPr>
                <w:kern w:val="0"/>
                <w:sz w:val="21"/>
                <w:szCs w:val="21"/>
              </w:rPr>
            </w:pPr>
          </w:p>
        </w:tc>
        <w:tc>
          <w:tcPr>
            <w:tcW w:w="155" w:type="pct"/>
            <w:vMerge w:val="continue"/>
            <w:tcBorders>
              <w:tl2br w:val="nil"/>
              <w:tr2bl w:val="nil"/>
            </w:tcBorders>
            <w:noWrap/>
            <w:vAlign w:val="center"/>
          </w:tcPr>
          <w:p w14:paraId="6617B8FF">
            <w:pPr>
              <w:widowControl/>
              <w:snapToGrid w:val="0"/>
              <w:jc w:val="left"/>
              <w:rPr>
                <w:kern w:val="0"/>
                <w:sz w:val="21"/>
                <w:szCs w:val="21"/>
              </w:rPr>
            </w:pPr>
          </w:p>
        </w:tc>
        <w:tc>
          <w:tcPr>
            <w:tcW w:w="301" w:type="pct"/>
            <w:vMerge w:val="continue"/>
            <w:tcBorders>
              <w:tl2br w:val="nil"/>
              <w:tr2bl w:val="nil"/>
            </w:tcBorders>
            <w:noWrap/>
            <w:vAlign w:val="center"/>
          </w:tcPr>
          <w:p w14:paraId="00E6A51C">
            <w:pPr>
              <w:widowControl/>
              <w:snapToGrid w:val="0"/>
              <w:jc w:val="left"/>
              <w:rPr>
                <w:kern w:val="0"/>
                <w:sz w:val="21"/>
                <w:szCs w:val="21"/>
              </w:rPr>
            </w:pPr>
          </w:p>
        </w:tc>
      </w:tr>
      <w:tr w14:paraId="42F9F7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6EFA0B61">
            <w:pPr>
              <w:widowControl/>
              <w:snapToGrid w:val="0"/>
              <w:jc w:val="center"/>
              <w:rPr>
                <w:kern w:val="0"/>
                <w:sz w:val="21"/>
                <w:szCs w:val="21"/>
              </w:rPr>
            </w:pPr>
          </w:p>
        </w:tc>
        <w:tc>
          <w:tcPr>
            <w:tcW w:w="273" w:type="pct"/>
            <w:vMerge w:val="continue"/>
            <w:tcBorders>
              <w:tl2br w:val="nil"/>
              <w:tr2bl w:val="nil"/>
            </w:tcBorders>
            <w:noWrap/>
            <w:vAlign w:val="center"/>
          </w:tcPr>
          <w:p w14:paraId="041055ED">
            <w:pPr>
              <w:widowControl/>
              <w:snapToGrid w:val="0"/>
              <w:jc w:val="left"/>
              <w:rPr>
                <w:kern w:val="0"/>
                <w:sz w:val="21"/>
                <w:szCs w:val="21"/>
              </w:rPr>
            </w:pPr>
          </w:p>
        </w:tc>
        <w:tc>
          <w:tcPr>
            <w:tcW w:w="237" w:type="pct"/>
            <w:vMerge w:val="continue"/>
            <w:tcBorders>
              <w:tl2br w:val="nil"/>
              <w:tr2bl w:val="nil"/>
            </w:tcBorders>
            <w:noWrap/>
            <w:vAlign w:val="center"/>
          </w:tcPr>
          <w:p w14:paraId="5F686715">
            <w:pPr>
              <w:widowControl/>
              <w:snapToGrid w:val="0"/>
              <w:jc w:val="left"/>
              <w:rPr>
                <w:kern w:val="0"/>
                <w:sz w:val="21"/>
                <w:szCs w:val="21"/>
              </w:rPr>
            </w:pPr>
          </w:p>
        </w:tc>
        <w:tc>
          <w:tcPr>
            <w:tcW w:w="250" w:type="pct"/>
            <w:tcBorders>
              <w:tl2br w:val="nil"/>
              <w:tr2bl w:val="nil"/>
            </w:tcBorders>
            <w:noWrap/>
            <w:vAlign w:val="center"/>
          </w:tcPr>
          <w:p w14:paraId="605523B2">
            <w:pPr>
              <w:widowControl/>
              <w:snapToGrid w:val="0"/>
              <w:jc w:val="center"/>
              <w:rPr>
                <w:kern w:val="0"/>
                <w:sz w:val="21"/>
                <w:szCs w:val="21"/>
              </w:rPr>
            </w:pPr>
            <w:r>
              <w:rPr>
                <w:rFonts w:hAnsi="宋体"/>
                <w:kern w:val="0"/>
                <w:sz w:val="21"/>
                <w:szCs w:val="21"/>
              </w:rPr>
              <w:t>非甲烷总烃</w:t>
            </w:r>
          </w:p>
        </w:tc>
        <w:tc>
          <w:tcPr>
            <w:tcW w:w="301" w:type="pct"/>
            <w:tcBorders>
              <w:tl2br w:val="nil"/>
              <w:tr2bl w:val="nil"/>
            </w:tcBorders>
            <w:noWrap/>
            <w:vAlign w:val="center"/>
          </w:tcPr>
          <w:p w14:paraId="1FC568E7">
            <w:pPr>
              <w:snapToGrid w:val="0"/>
              <w:jc w:val="center"/>
              <w:rPr>
                <w:sz w:val="21"/>
                <w:szCs w:val="21"/>
              </w:rPr>
            </w:pPr>
            <w:r>
              <w:rPr>
                <w:sz w:val="21"/>
                <w:szCs w:val="21"/>
              </w:rPr>
              <w:t>1.03</w:t>
            </w:r>
          </w:p>
        </w:tc>
        <w:tc>
          <w:tcPr>
            <w:tcW w:w="351" w:type="pct"/>
            <w:tcBorders>
              <w:tl2br w:val="nil"/>
              <w:tr2bl w:val="nil"/>
            </w:tcBorders>
            <w:noWrap/>
            <w:vAlign w:val="center"/>
          </w:tcPr>
          <w:p w14:paraId="1630897F">
            <w:pPr>
              <w:snapToGrid w:val="0"/>
              <w:jc w:val="center"/>
              <w:rPr>
                <w:sz w:val="21"/>
                <w:szCs w:val="21"/>
              </w:rPr>
            </w:pPr>
            <w:r>
              <w:rPr>
                <w:sz w:val="21"/>
                <w:szCs w:val="21"/>
              </w:rPr>
              <w:t>0.021</w:t>
            </w:r>
          </w:p>
        </w:tc>
        <w:tc>
          <w:tcPr>
            <w:tcW w:w="359" w:type="pct"/>
            <w:tcBorders>
              <w:tl2br w:val="nil"/>
              <w:tr2bl w:val="nil"/>
            </w:tcBorders>
            <w:noWrap/>
            <w:vAlign w:val="center"/>
          </w:tcPr>
          <w:p w14:paraId="2EBA158C">
            <w:pPr>
              <w:snapToGrid w:val="0"/>
              <w:jc w:val="center"/>
              <w:rPr>
                <w:sz w:val="21"/>
                <w:szCs w:val="21"/>
              </w:rPr>
            </w:pPr>
            <w:r>
              <w:rPr>
                <w:sz w:val="21"/>
                <w:szCs w:val="21"/>
              </w:rPr>
              <w:t>0.149</w:t>
            </w:r>
          </w:p>
        </w:tc>
        <w:tc>
          <w:tcPr>
            <w:tcW w:w="200" w:type="pct"/>
            <w:vMerge w:val="continue"/>
            <w:tcBorders>
              <w:tl2br w:val="nil"/>
              <w:tr2bl w:val="nil"/>
            </w:tcBorders>
            <w:noWrap/>
            <w:vAlign w:val="center"/>
          </w:tcPr>
          <w:p w14:paraId="69B6F6B1">
            <w:pPr>
              <w:widowControl/>
              <w:snapToGrid w:val="0"/>
              <w:jc w:val="center"/>
              <w:rPr>
                <w:kern w:val="0"/>
                <w:sz w:val="21"/>
                <w:szCs w:val="21"/>
              </w:rPr>
            </w:pPr>
          </w:p>
        </w:tc>
        <w:tc>
          <w:tcPr>
            <w:tcW w:w="205" w:type="pct"/>
            <w:vMerge w:val="continue"/>
            <w:tcBorders>
              <w:tl2br w:val="nil"/>
              <w:tr2bl w:val="nil"/>
            </w:tcBorders>
            <w:noWrap/>
            <w:vAlign w:val="center"/>
          </w:tcPr>
          <w:p w14:paraId="16B81ABF">
            <w:pPr>
              <w:widowControl/>
              <w:snapToGrid w:val="0"/>
              <w:jc w:val="center"/>
              <w:rPr>
                <w:kern w:val="0"/>
                <w:sz w:val="21"/>
                <w:szCs w:val="21"/>
              </w:rPr>
            </w:pPr>
          </w:p>
        </w:tc>
        <w:tc>
          <w:tcPr>
            <w:tcW w:w="259" w:type="pct"/>
            <w:vMerge w:val="continue"/>
            <w:tcBorders>
              <w:tl2br w:val="nil"/>
              <w:tr2bl w:val="nil"/>
            </w:tcBorders>
            <w:noWrap/>
            <w:vAlign w:val="center"/>
          </w:tcPr>
          <w:p w14:paraId="03EE3826">
            <w:pPr>
              <w:widowControl/>
              <w:snapToGrid w:val="0"/>
              <w:jc w:val="center"/>
              <w:rPr>
                <w:kern w:val="0"/>
                <w:sz w:val="21"/>
                <w:szCs w:val="21"/>
              </w:rPr>
            </w:pPr>
          </w:p>
        </w:tc>
        <w:tc>
          <w:tcPr>
            <w:tcW w:w="309" w:type="pct"/>
            <w:vMerge w:val="continue"/>
            <w:tcBorders>
              <w:tl2br w:val="nil"/>
              <w:tr2bl w:val="nil"/>
            </w:tcBorders>
            <w:noWrap/>
            <w:vAlign w:val="center"/>
          </w:tcPr>
          <w:p w14:paraId="0C02D370">
            <w:pPr>
              <w:widowControl/>
              <w:snapToGrid w:val="0"/>
              <w:jc w:val="center"/>
              <w:rPr>
                <w:kern w:val="0"/>
                <w:sz w:val="21"/>
                <w:szCs w:val="21"/>
              </w:rPr>
            </w:pPr>
          </w:p>
        </w:tc>
        <w:tc>
          <w:tcPr>
            <w:tcW w:w="357" w:type="pct"/>
            <w:vMerge w:val="continue"/>
            <w:tcBorders>
              <w:tl2br w:val="nil"/>
              <w:tr2bl w:val="nil"/>
            </w:tcBorders>
            <w:noWrap/>
            <w:vAlign w:val="center"/>
          </w:tcPr>
          <w:p w14:paraId="517A600E">
            <w:pPr>
              <w:widowControl/>
              <w:snapToGrid w:val="0"/>
              <w:jc w:val="center"/>
              <w:rPr>
                <w:kern w:val="0"/>
                <w:sz w:val="21"/>
                <w:szCs w:val="21"/>
              </w:rPr>
            </w:pPr>
          </w:p>
        </w:tc>
        <w:tc>
          <w:tcPr>
            <w:tcW w:w="414" w:type="pct"/>
            <w:vMerge w:val="continue"/>
            <w:tcBorders>
              <w:tl2br w:val="nil"/>
              <w:tr2bl w:val="nil"/>
            </w:tcBorders>
            <w:noWrap/>
            <w:vAlign w:val="center"/>
          </w:tcPr>
          <w:p w14:paraId="38B2FC6A">
            <w:pPr>
              <w:widowControl/>
              <w:snapToGrid w:val="0"/>
              <w:jc w:val="center"/>
              <w:rPr>
                <w:kern w:val="0"/>
                <w:sz w:val="21"/>
                <w:szCs w:val="21"/>
              </w:rPr>
            </w:pPr>
          </w:p>
        </w:tc>
        <w:tc>
          <w:tcPr>
            <w:tcW w:w="208" w:type="pct"/>
            <w:vMerge w:val="continue"/>
            <w:tcBorders>
              <w:tl2br w:val="nil"/>
              <w:tr2bl w:val="nil"/>
            </w:tcBorders>
            <w:noWrap/>
            <w:vAlign w:val="center"/>
          </w:tcPr>
          <w:p w14:paraId="7A464691">
            <w:pPr>
              <w:widowControl/>
              <w:snapToGrid w:val="0"/>
              <w:jc w:val="left"/>
              <w:rPr>
                <w:kern w:val="0"/>
                <w:sz w:val="21"/>
                <w:szCs w:val="21"/>
              </w:rPr>
            </w:pPr>
          </w:p>
        </w:tc>
        <w:tc>
          <w:tcPr>
            <w:tcW w:w="256" w:type="pct"/>
            <w:vMerge w:val="continue"/>
            <w:tcBorders>
              <w:tl2br w:val="nil"/>
              <w:tr2bl w:val="nil"/>
            </w:tcBorders>
            <w:noWrap/>
            <w:vAlign w:val="center"/>
          </w:tcPr>
          <w:p w14:paraId="381DD599">
            <w:pPr>
              <w:widowControl/>
              <w:snapToGrid w:val="0"/>
              <w:jc w:val="left"/>
              <w:rPr>
                <w:kern w:val="0"/>
                <w:sz w:val="21"/>
                <w:szCs w:val="21"/>
              </w:rPr>
            </w:pPr>
          </w:p>
        </w:tc>
        <w:tc>
          <w:tcPr>
            <w:tcW w:w="182" w:type="pct"/>
            <w:vMerge w:val="continue"/>
            <w:tcBorders>
              <w:tl2br w:val="nil"/>
              <w:tr2bl w:val="nil"/>
            </w:tcBorders>
            <w:noWrap/>
            <w:vAlign w:val="center"/>
          </w:tcPr>
          <w:p w14:paraId="47FD6B2C">
            <w:pPr>
              <w:widowControl/>
              <w:snapToGrid w:val="0"/>
              <w:jc w:val="left"/>
              <w:rPr>
                <w:kern w:val="0"/>
                <w:sz w:val="21"/>
                <w:szCs w:val="21"/>
              </w:rPr>
            </w:pPr>
          </w:p>
        </w:tc>
        <w:tc>
          <w:tcPr>
            <w:tcW w:w="178" w:type="pct"/>
            <w:vMerge w:val="continue"/>
            <w:tcBorders>
              <w:tl2br w:val="nil"/>
              <w:tr2bl w:val="nil"/>
            </w:tcBorders>
            <w:noWrap/>
            <w:vAlign w:val="center"/>
          </w:tcPr>
          <w:p w14:paraId="5A45F861">
            <w:pPr>
              <w:widowControl/>
              <w:snapToGrid w:val="0"/>
              <w:jc w:val="left"/>
              <w:rPr>
                <w:kern w:val="0"/>
                <w:sz w:val="21"/>
                <w:szCs w:val="21"/>
              </w:rPr>
            </w:pPr>
          </w:p>
        </w:tc>
        <w:tc>
          <w:tcPr>
            <w:tcW w:w="155" w:type="pct"/>
            <w:vMerge w:val="continue"/>
            <w:tcBorders>
              <w:tl2br w:val="nil"/>
              <w:tr2bl w:val="nil"/>
            </w:tcBorders>
            <w:noWrap/>
            <w:vAlign w:val="center"/>
          </w:tcPr>
          <w:p w14:paraId="5BE10CA9">
            <w:pPr>
              <w:widowControl/>
              <w:snapToGrid w:val="0"/>
              <w:jc w:val="left"/>
              <w:rPr>
                <w:kern w:val="0"/>
                <w:sz w:val="21"/>
                <w:szCs w:val="21"/>
              </w:rPr>
            </w:pPr>
          </w:p>
        </w:tc>
        <w:tc>
          <w:tcPr>
            <w:tcW w:w="301" w:type="pct"/>
            <w:vMerge w:val="continue"/>
            <w:tcBorders>
              <w:tl2br w:val="nil"/>
              <w:tr2bl w:val="nil"/>
            </w:tcBorders>
            <w:noWrap/>
            <w:vAlign w:val="center"/>
          </w:tcPr>
          <w:p w14:paraId="7DD2981E">
            <w:pPr>
              <w:widowControl/>
              <w:snapToGrid w:val="0"/>
              <w:jc w:val="left"/>
              <w:rPr>
                <w:kern w:val="0"/>
                <w:sz w:val="21"/>
                <w:szCs w:val="21"/>
              </w:rPr>
            </w:pPr>
          </w:p>
        </w:tc>
      </w:tr>
      <w:tr w14:paraId="1FAA5F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50663EC4">
            <w:pPr>
              <w:widowControl/>
              <w:snapToGrid w:val="0"/>
              <w:jc w:val="center"/>
              <w:rPr>
                <w:kern w:val="0"/>
                <w:sz w:val="21"/>
                <w:szCs w:val="21"/>
              </w:rPr>
            </w:pPr>
          </w:p>
        </w:tc>
        <w:tc>
          <w:tcPr>
            <w:tcW w:w="273" w:type="pct"/>
            <w:vMerge w:val="continue"/>
            <w:tcBorders>
              <w:tl2br w:val="nil"/>
              <w:tr2bl w:val="nil"/>
            </w:tcBorders>
            <w:noWrap/>
            <w:vAlign w:val="center"/>
          </w:tcPr>
          <w:p w14:paraId="00844524">
            <w:pPr>
              <w:widowControl/>
              <w:snapToGrid w:val="0"/>
              <w:jc w:val="left"/>
              <w:rPr>
                <w:kern w:val="0"/>
                <w:sz w:val="21"/>
                <w:szCs w:val="21"/>
              </w:rPr>
            </w:pPr>
          </w:p>
        </w:tc>
        <w:tc>
          <w:tcPr>
            <w:tcW w:w="237" w:type="pct"/>
            <w:vMerge w:val="restart"/>
            <w:tcBorders>
              <w:tl2br w:val="nil"/>
              <w:tr2bl w:val="nil"/>
            </w:tcBorders>
            <w:noWrap/>
            <w:vAlign w:val="center"/>
          </w:tcPr>
          <w:p w14:paraId="6082228A">
            <w:pPr>
              <w:widowControl/>
              <w:snapToGrid w:val="0"/>
              <w:jc w:val="center"/>
              <w:rPr>
                <w:kern w:val="0"/>
                <w:sz w:val="21"/>
                <w:szCs w:val="21"/>
              </w:rPr>
            </w:pPr>
            <w:r>
              <w:rPr>
                <w:kern w:val="0"/>
                <w:sz w:val="21"/>
                <w:szCs w:val="21"/>
              </w:rPr>
              <w:t>挤出预成型</w:t>
            </w:r>
          </w:p>
        </w:tc>
        <w:tc>
          <w:tcPr>
            <w:tcW w:w="250" w:type="pct"/>
            <w:tcBorders>
              <w:tl2br w:val="nil"/>
              <w:tr2bl w:val="nil"/>
            </w:tcBorders>
            <w:noWrap/>
            <w:vAlign w:val="center"/>
          </w:tcPr>
          <w:p w14:paraId="1E35E2DC">
            <w:pPr>
              <w:widowControl/>
              <w:snapToGrid w:val="0"/>
              <w:jc w:val="center"/>
              <w:rPr>
                <w:rFonts w:hAnsi="宋体"/>
                <w:kern w:val="0"/>
                <w:sz w:val="21"/>
                <w:szCs w:val="21"/>
              </w:rPr>
            </w:pPr>
            <w:r>
              <w:rPr>
                <w:kern w:val="0"/>
                <w:sz w:val="21"/>
                <w:szCs w:val="21"/>
              </w:rPr>
              <w:t>H</w:t>
            </w:r>
            <w:r>
              <w:rPr>
                <w:kern w:val="0"/>
                <w:sz w:val="21"/>
                <w:szCs w:val="21"/>
                <w:vertAlign w:val="subscript"/>
              </w:rPr>
              <w:t>2</w:t>
            </w:r>
            <w:r>
              <w:rPr>
                <w:kern w:val="0"/>
                <w:sz w:val="21"/>
                <w:szCs w:val="21"/>
              </w:rPr>
              <w:t>S</w:t>
            </w:r>
          </w:p>
        </w:tc>
        <w:tc>
          <w:tcPr>
            <w:tcW w:w="301" w:type="pct"/>
            <w:tcBorders>
              <w:tl2br w:val="nil"/>
              <w:tr2bl w:val="nil"/>
            </w:tcBorders>
            <w:noWrap/>
            <w:vAlign w:val="center"/>
          </w:tcPr>
          <w:p w14:paraId="5B358F53">
            <w:pPr>
              <w:snapToGrid w:val="0"/>
              <w:jc w:val="center"/>
              <w:rPr>
                <w:sz w:val="21"/>
                <w:szCs w:val="21"/>
              </w:rPr>
            </w:pPr>
            <w:r>
              <w:rPr>
                <w:sz w:val="21"/>
                <w:szCs w:val="21"/>
              </w:rPr>
              <w:t>0.59</w:t>
            </w:r>
          </w:p>
        </w:tc>
        <w:tc>
          <w:tcPr>
            <w:tcW w:w="351" w:type="pct"/>
            <w:tcBorders>
              <w:tl2br w:val="nil"/>
              <w:tr2bl w:val="nil"/>
            </w:tcBorders>
            <w:noWrap/>
            <w:vAlign w:val="center"/>
          </w:tcPr>
          <w:p w14:paraId="4E46B5DA">
            <w:pPr>
              <w:snapToGrid w:val="0"/>
              <w:jc w:val="center"/>
              <w:rPr>
                <w:sz w:val="21"/>
                <w:szCs w:val="21"/>
              </w:rPr>
            </w:pPr>
            <w:r>
              <w:rPr>
                <w:sz w:val="21"/>
                <w:szCs w:val="21"/>
              </w:rPr>
              <w:t>0.012</w:t>
            </w:r>
          </w:p>
        </w:tc>
        <w:tc>
          <w:tcPr>
            <w:tcW w:w="359" w:type="pct"/>
            <w:tcBorders>
              <w:tl2br w:val="nil"/>
              <w:tr2bl w:val="nil"/>
            </w:tcBorders>
            <w:noWrap/>
            <w:vAlign w:val="center"/>
          </w:tcPr>
          <w:p w14:paraId="04E38C2F">
            <w:pPr>
              <w:snapToGrid w:val="0"/>
              <w:jc w:val="center"/>
              <w:rPr>
                <w:sz w:val="21"/>
                <w:szCs w:val="21"/>
              </w:rPr>
            </w:pPr>
            <w:r>
              <w:rPr>
                <w:sz w:val="21"/>
                <w:szCs w:val="21"/>
              </w:rPr>
              <w:t>0.085</w:t>
            </w:r>
          </w:p>
        </w:tc>
        <w:tc>
          <w:tcPr>
            <w:tcW w:w="200" w:type="pct"/>
            <w:vMerge w:val="continue"/>
            <w:tcBorders>
              <w:tl2br w:val="nil"/>
              <w:tr2bl w:val="nil"/>
            </w:tcBorders>
            <w:noWrap/>
            <w:vAlign w:val="center"/>
          </w:tcPr>
          <w:p w14:paraId="01C2014F">
            <w:pPr>
              <w:widowControl/>
              <w:snapToGrid w:val="0"/>
              <w:jc w:val="center"/>
              <w:rPr>
                <w:kern w:val="0"/>
                <w:sz w:val="21"/>
                <w:szCs w:val="21"/>
              </w:rPr>
            </w:pPr>
          </w:p>
        </w:tc>
        <w:tc>
          <w:tcPr>
            <w:tcW w:w="205" w:type="pct"/>
            <w:vMerge w:val="continue"/>
            <w:tcBorders>
              <w:tl2br w:val="nil"/>
              <w:tr2bl w:val="nil"/>
            </w:tcBorders>
            <w:noWrap/>
            <w:vAlign w:val="center"/>
          </w:tcPr>
          <w:p w14:paraId="6D79582D">
            <w:pPr>
              <w:widowControl/>
              <w:snapToGrid w:val="0"/>
              <w:jc w:val="center"/>
              <w:rPr>
                <w:kern w:val="0"/>
                <w:sz w:val="21"/>
                <w:szCs w:val="21"/>
              </w:rPr>
            </w:pPr>
          </w:p>
        </w:tc>
        <w:tc>
          <w:tcPr>
            <w:tcW w:w="259" w:type="pct"/>
            <w:vMerge w:val="continue"/>
            <w:tcBorders>
              <w:tl2br w:val="nil"/>
              <w:tr2bl w:val="nil"/>
            </w:tcBorders>
            <w:noWrap/>
            <w:vAlign w:val="center"/>
          </w:tcPr>
          <w:p w14:paraId="3D5E4199">
            <w:pPr>
              <w:widowControl/>
              <w:snapToGrid w:val="0"/>
              <w:jc w:val="center"/>
              <w:rPr>
                <w:kern w:val="0"/>
                <w:sz w:val="21"/>
                <w:szCs w:val="21"/>
              </w:rPr>
            </w:pPr>
          </w:p>
        </w:tc>
        <w:tc>
          <w:tcPr>
            <w:tcW w:w="309" w:type="pct"/>
            <w:vMerge w:val="continue"/>
            <w:tcBorders>
              <w:tl2br w:val="nil"/>
              <w:tr2bl w:val="nil"/>
            </w:tcBorders>
            <w:noWrap/>
            <w:vAlign w:val="center"/>
          </w:tcPr>
          <w:p w14:paraId="3BC81E2B">
            <w:pPr>
              <w:widowControl/>
              <w:snapToGrid w:val="0"/>
              <w:jc w:val="center"/>
              <w:rPr>
                <w:kern w:val="0"/>
                <w:sz w:val="21"/>
                <w:szCs w:val="21"/>
              </w:rPr>
            </w:pPr>
          </w:p>
        </w:tc>
        <w:tc>
          <w:tcPr>
            <w:tcW w:w="357" w:type="pct"/>
            <w:vMerge w:val="continue"/>
            <w:tcBorders>
              <w:tl2br w:val="nil"/>
              <w:tr2bl w:val="nil"/>
            </w:tcBorders>
            <w:noWrap/>
            <w:vAlign w:val="center"/>
          </w:tcPr>
          <w:p w14:paraId="480CCAD1">
            <w:pPr>
              <w:widowControl/>
              <w:snapToGrid w:val="0"/>
              <w:jc w:val="center"/>
              <w:rPr>
                <w:kern w:val="0"/>
                <w:sz w:val="21"/>
                <w:szCs w:val="21"/>
              </w:rPr>
            </w:pPr>
          </w:p>
        </w:tc>
        <w:tc>
          <w:tcPr>
            <w:tcW w:w="414" w:type="pct"/>
            <w:vMerge w:val="continue"/>
            <w:tcBorders>
              <w:tl2br w:val="nil"/>
              <w:tr2bl w:val="nil"/>
            </w:tcBorders>
            <w:noWrap/>
            <w:vAlign w:val="center"/>
          </w:tcPr>
          <w:p w14:paraId="4E8BA917">
            <w:pPr>
              <w:widowControl/>
              <w:snapToGrid w:val="0"/>
              <w:jc w:val="center"/>
              <w:rPr>
                <w:kern w:val="0"/>
                <w:sz w:val="21"/>
                <w:szCs w:val="21"/>
              </w:rPr>
            </w:pPr>
          </w:p>
        </w:tc>
        <w:tc>
          <w:tcPr>
            <w:tcW w:w="208" w:type="pct"/>
            <w:vMerge w:val="continue"/>
            <w:tcBorders>
              <w:tl2br w:val="nil"/>
              <w:tr2bl w:val="nil"/>
            </w:tcBorders>
            <w:noWrap/>
            <w:vAlign w:val="center"/>
          </w:tcPr>
          <w:p w14:paraId="63B4B4ED">
            <w:pPr>
              <w:widowControl/>
              <w:snapToGrid w:val="0"/>
              <w:jc w:val="left"/>
              <w:rPr>
                <w:kern w:val="0"/>
                <w:sz w:val="21"/>
                <w:szCs w:val="21"/>
              </w:rPr>
            </w:pPr>
          </w:p>
        </w:tc>
        <w:tc>
          <w:tcPr>
            <w:tcW w:w="256" w:type="pct"/>
            <w:vMerge w:val="continue"/>
            <w:tcBorders>
              <w:tl2br w:val="nil"/>
              <w:tr2bl w:val="nil"/>
            </w:tcBorders>
            <w:noWrap/>
            <w:vAlign w:val="center"/>
          </w:tcPr>
          <w:p w14:paraId="1BBFB3C5">
            <w:pPr>
              <w:widowControl/>
              <w:snapToGrid w:val="0"/>
              <w:jc w:val="left"/>
              <w:rPr>
                <w:kern w:val="0"/>
                <w:sz w:val="21"/>
                <w:szCs w:val="21"/>
              </w:rPr>
            </w:pPr>
          </w:p>
        </w:tc>
        <w:tc>
          <w:tcPr>
            <w:tcW w:w="182" w:type="pct"/>
            <w:vMerge w:val="continue"/>
            <w:tcBorders>
              <w:tl2br w:val="nil"/>
              <w:tr2bl w:val="nil"/>
            </w:tcBorders>
            <w:noWrap/>
            <w:vAlign w:val="center"/>
          </w:tcPr>
          <w:p w14:paraId="5FAE84C2">
            <w:pPr>
              <w:widowControl/>
              <w:snapToGrid w:val="0"/>
              <w:jc w:val="left"/>
              <w:rPr>
                <w:kern w:val="0"/>
                <w:sz w:val="21"/>
                <w:szCs w:val="21"/>
              </w:rPr>
            </w:pPr>
          </w:p>
        </w:tc>
        <w:tc>
          <w:tcPr>
            <w:tcW w:w="178" w:type="pct"/>
            <w:vMerge w:val="continue"/>
            <w:tcBorders>
              <w:tl2br w:val="nil"/>
              <w:tr2bl w:val="nil"/>
            </w:tcBorders>
            <w:noWrap/>
            <w:vAlign w:val="center"/>
          </w:tcPr>
          <w:p w14:paraId="1EB0906E">
            <w:pPr>
              <w:widowControl/>
              <w:snapToGrid w:val="0"/>
              <w:jc w:val="left"/>
              <w:rPr>
                <w:kern w:val="0"/>
                <w:sz w:val="21"/>
                <w:szCs w:val="21"/>
              </w:rPr>
            </w:pPr>
          </w:p>
        </w:tc>
        <w:tc>
          <w:tcPr>
            <w:tcW w:w="155" w:type="pct"/>
            <w:vMerge w:val="continue"/>
            <w:tcBorders>
              <w:tl2br w:val="nil"/>
              <w:tr2bl w:val="nil"/>
            </w:tcBorders>
            <w:noWrap/>
            <w:vAlign w:val="center"/>
          </w:tcPr>
          <w:p w14:paraId="5B133B3B">
            <w:pPr>
              <w:widowControl/>
              <w:snapToGrid w:val="0"/>
              <w:jc w:val="left"/>
              <w:rPr>
                <w:kern w:val="0"/>
                <w:sz w:val="21"/>
                <w:szCs w:val="21"/>
              </w:rPr>
            </w:pPr>
          </w:p>
        </w:tc>
        <w:tc>
          <w:tcPr>
            <w:tcW w:w="301" w:type="pct"/>
            <w:vMerge w:val="continue"/>
            <w:tcBorders>
              <w:tl2br w:val="nil"/>
              <w:tr2bl w:val="nil"/>
            </w:tcBorders>
            <w:noWrap/>
            <w:vAlign w:val="center"/>
          </w:tcPr>
          <w:p w14:paraId="11921194">
            <w:pPr>
              <w:widowControl/>
              <w:snapToGrid w:val="0"/>
              <w:jc w:val="left"/>
              <w:rPr>
                <w:kern w:val="0"/>
                <w:sz w:val="21"/>
                <w:szCs w:val="21"/>
              </w:rPr>
            </w:pPr>
          </w:p>
        </w:tc>
      </w:tr>
      <w:tr w14:paraId="6ACDB2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6C2EF50D">
            <w:pPr>
              <w:widowControl/>
              <w:snapToGrid w:val="0"/>
              <w:jc w:val="center"/>
              <w:rPr>
                <w:kern w:val="0"/>
                <w:sz w:val="21"/>
                <w:szCs w:val="21"/>
              </w:rPr>
            </w:pPr>
          </w:p>
        </w:tc>
        <w:tc>
          <w:tcPr>
            <w:tcW w:w="273" w:type="pct"/>
            <w:vMerge w:val="continue"/>
            <w:tcBorders>
              <w:tl2br w:val="nil"/>
              <w:tr2bl w:val="nil"/>
            </w:tcBorders>
            <w:noWrap/>
            <w:vAlign w:val="center"/>
          </w:tcPr>
          <w:p w14:paraId="4FDF1F4D">
            <w:pPr>
              <w:widowControl/>
              <w:snapToGrid w:val="0"/>
              <w:jc w:val="left"/>
              <w:rPr>
                <w:kern w:val="0"/>
                <w:sz w:val="21"/>
                <w:szCs w:val="21"/>
              </w:rPr>
            </w:pPr>
          </w:p>
        </w:tc>
        <w:tc>
          <w:tcPr>
            <w:tcW w:w="237" w:type="pct"/>
            <w:vMerge w:val="continue"/>
            <w:tcBorders>
              <w:tl2br w:val="nil"/>
              <w:tr2bl w:val="nil"/>
            </w:tcBorders>
            <w:noWrap/>
            <w:vAlign w:val="center"/>
          </w:tcPr>
          <w:p w14:paraId="659CFB9E">
            <w:pPr>
              <w:widowControl/>
              <w:snapToGrid w:val="0"/>
              <w:jc w:val="left"/>
              <w:rPr>
                <w:kern w:val="0"/>
                <w:sz w:val="21"/>
                <w:szCs w:val="21"/>
              </w:rPr>
            </w:pPr>
          </w:p>
        </w:tc>
        <w:tc>
          <w:tcPr>
            <w:tcW w:w="250" w:type="pct"/>
            <w:tcBorders>
              <w:tl2br w:val="nil"/>
              <w:tr2bl w:val="nil"/>
            </w:tcBorders>
            <w:noWrap/>
            <w:vAlign w:val="center"/>
          </w:tcPr>
          <w:p w14:paraId="05D5487A">
            <w:pPr>
              <w:widowControl/>
              <w:snapToGrid w:val="0"/>
              <w:jc w:val="center"/>
              <w:rPr>
                <w:rFonts w:hAnsi="宋体"/>
                <w:kern w:val="0"/>
                <w:sz w:val="21"/>
                <w:szCs w:val="21"/>
              </w:rPr>
            </w:pPr>
            <w:r>
              <w:rPr>
                <w:rFonts w:hAnsi="宋体"/>
                <w:kern w:val="0"/>
                <w:sz w:val="21"/>
                <w:szCs w:val="21"/>
              </w:rPr>
              <w:t>非甲烷总烃</w:t>
            </w:r>
          </w:p>
        </w:tc>
        <w:tc>
          <w:tcPr>
            <w:tcW w:w="301" w:type="pct"/>
            <w:tcBorders>
              <w:tl2br w:val="nil"/>
              <w:tr2bl w:val="nil"/>
            </w:tcBorders>
            <w:noWrap/>
            <w:vAlign w:val="center"/>
          </w:tcPr>
          <w:p w14:paraId="76A8C198">
            <w:pPr>
              <w:snapToGrid w:val="0"/>
              <w:jc w:val="center"/>
              <w:rPr>
                <w:sz w:val="21"/>
                <w:szCs w:val="21"/>
              </w:rPr>
            </w:pPr>
            <w:r>
              <w:rPr>
                <w:sz w:val="21"/>
                <w:szCs w:val="21"/>
              </w:rPr>
              <w:t>1.38</w:t>
            </w:r>
          </w:p>
        </w:tc>
        <w:tc>
          <w:tcPr>
            <w:tcW w:w="351" w:type="pct"/>
            <w:tcBorders>
              <w:tl2br w:val="nil"/>
              <w:tr2bl w:val="nil"/>
            </w:tcBorders>
            <w:noWrap/>
            <w:vAlign w:val="center"/>
          </w:tcPr>
          <w:p w14:paraId="4911197D">
            <w:pPr>
              <w:snapToGrid w:val="0"/>
              <w:jc w:val="center"/>
              <w:rPr>
                <w:sz w:val="21"/>
                <w:szCs w:val="21"/>
              </w:rPr>
            </w:pPr>
            <w:r>
              <w:rPr>
                <w:sz w:val="21"/>
                <w:szCs w:val="21"/>
              </w:rPr>
              <w:t>0.028</w:t>
            </w:r>
          </w:p>
        </w:tc>
        <w:tc>
          <w:tcPr>
            <w:tcW w:w="359" w:type="pct"/>
            <w:tcBorders>
              <w:tl2br w:val="nil"/>
              <w:tr2bl w:val="nil"/>
            </w:tcBorders>
            <w:noWrap/>
            <w:vAlign w:val="center"/>
          </w:tcPr>
          <w:p w14:paraId="5B1FDDA3">
            <w:pPr>
              <w:snapToGrid w:val="0"/>
              <w:jc w:val="center"/>
              <w:rPr>
                <w:sz w:val="21"/>
                <w:szCs w:val="21"/>
              </w:rPr>
            </w:pPr>
            <w:r>
              <w:rPr>
                <w:sz w:val="21"/>
                <w:szCs w:val="21"/>
              </w:rPr>
              <w:t>0.198</w:t>
            </w:r>
          </w:p>
        </w:tc>
        <w:tc>
          <w:tcPr>
            <w:tcW w:w="200" w:type="pct"/>
            <w:vMerge w:val="continue"/>
            <w:tcBorders>
              <w:tl2br w:val="nil"/>
              <w:tr2bl w:val="nil"/>
            </w:tcBorders>
            <w:noWrap/>
            <w:vAlign w:val="center"/>
          </w:tcPr>
          <w:p w14:paraId="0228C08C">
            <w:pPr>
              <w:widowControl/>
              <w:snapToGrid w:val="0"/>
              <w:jc w:val="center"/>
              <w:rPr>
                <w:kern w:val="0"/>
                <w:sz w:val="21"/>
                <w:szCs w:val="21"/>
              </w:rPr>
            </w:pPr>
          </w:p>
        </w:tc>
        <w:tc>
          <w:tcPr>
            <w:tcW w:w="205" w:type="pct"/>
            <w:vMerge w:val="continue"/>
            <w:tcBorders>
              <w:tl2br w:val="nil"/>
              <w:tr2bl w:val="nil"/>
            </w:tcBorders>
            <w:noWrap/>
            <w:vAlign w:val="center"/>
          </w:tcPr>
          <w:p w14:paraId="4A51F4FC">
            <w:pPr>
              <w:widowControl/>
              <w:snapToGrid w:val="0"/>
              <w:jc w:val="center"/>
              <w:rPr>
                <w:kern w:val="0"/>
                <w:sz w:val="21"/>
                <w:szCs w:val="21"/>
              </w:rPr>
            </w:pPr>
          </w:p>
        </w:tc>
        <w:tc>
          <w:tcPr>
            <w:tcW w:w="259" w:type="pct"/>
            <w:vMerge w:val="continue"/>
            <w:tcBorders>
              <w:tl2br w:val="nil"/>
              <w:tr2bl w:val="nil"/>
            </w:tcBorders>
            <w:noWrap/>
            <w:vAlign w:val="center"/>
          </w:tcPr>
          <w:p w14:paraId="173C954C">
            <w:pPr>
              <w:widowControl/>
              <w:snapToGrid w:val="0"/>
              <w:jc w:val="center"/>
              <w:rPr>
                <w:kern w:val="0"/>
                <w:sz w:val="21"/>
                <w:szCs w:val="21"/>
              </w:rPr>
            </w:pPr>
          </w:p>
        </w:tc>
        <w:tc>
          <w:tcPr>
            <w:tcW w:w="309" w:type="pct"/>
            <w:vMerge w:val="continue"/>
            <w:tcBorders>
              <w:tl2br w:val="nil"/>
              <w:tr2bl w:val="nil"/>
            </w:tcBorders>
            <w:noWrap/>
            <w:vAlign w:val="center"/>
          </w:tcPr>
          <w:p w14:paraId="1AE0CD17">
            <w:pPr>
              <w:widowControl/>
              <w:snapToGrid w:val="0"/>
              <w:jc w:val="center"/>
              <w:rPr>
                <w:kern w:val="0"/>
                <w:sz w:val="21"/>
                <w:szCs w:val="21"/>
              </w:rPr>
            </w:pPr>
          </w:p>
        </w:tc>
        <w:tc>
          <w:tcPr>
            <w:tcW w:w="357" w:type="pct"/>
            <w:vMerge w:val="continue"/>
            <w:tcBorders>
              <w:tl2br w:val="nil"/>
              <w:tr2bl w:val="nil"/>
            </w:tcBorders>
            <w:noWrap/>
            <w:vAlign w:val="center"/>
          </w:tcPr>
          <w:p w14:paraId="30E6AA31">
            <w:pPr>
              <w:widowControl/>
              <w:snapToGrid w:val="0"/>
              <w:jc w:val="center"/>
              <w:rPr>
                <w:kern w:val="0"/>
                <w:sz w:val="21"/>
                <w:szCs w:val="21"/>
              </w:rPr>
            </w:pPr>
          </w:p>
        </w:tc>
        <w:tc>
          <w:tcPr>
            <w:tcW w:w="414" w:type="pct"/>
            <w:vMerge w:val="continue"/>
            <w:tcBorders>
              <w:tl2br w:val="nil"/>
              <w:tr2bl w:val="nil"/>
            </w:tcBorders>
            <w:noWrap/>
            <w:vAlign w:val="center"/>
          </w:tcPr>
          <w:p w14:paraId="6E1411CF">
            <w:pPr>
              <w:widowControl/>
              <w:snapToGrid w:val="0"/>
              <w:jc w:val="center"/>
              <w:rPr>
                <w:kern w:val="0"/>
                <w:sz w:val="21"/>
                <w:szCs w:val="21"/>
              </w:rPr>
            </w:pPr>
          </w:p>
        </w:tc>
        <w:tc>
          <w:tcPr>
            <w:tcW w:w="208" w:type="pct"/>
            <w:vMerge w:val="continue"/>
            <w:tcBorders>
              <w:tl2br w:val="nil"/>
              <w:tr2bl w:val="nil"/>
            </w:tcBorders>
            <w:noWrap/>
            <w:vAlign w:val="center"/>
          </w:tcPr>
          <w:p w14:paraId="5C5C11FD">
            <w:pPr>
              <w:widowControl/>
              <w:snapToGrid w:val="0"/>
              <w:jc w:val="left"/>
              <w:rPr>
                <w:kern w:val="0"/>
                <w:sz w:val="21"/>
                <w:szCs w:val="21"/>
              </w:rPr>
            </w:pPr>
          </w:p>
        </w:tc>
        <w:tc>
          <w:tcPr>
            <w:tcW w:w="256" w:type="pct"/>
            <w:vMerge w:val="continue"/>
            <w:tcBorders>
              <w:tl2br w:val="nil"/>
              <w:tr2bl w:val="nil"/>
            </w:tcBorders>
            <w:noWrap/>
            <w:vAlign w:val="center"/>
          </w:tcPr>
          <w:p w14:paraId="44B25BD3">
            <w:pPr>
              <w:widowControl/>
              <w:snapToGrid w:val="0"/>
              <w:jc w:val="left"/>
              <w:rPr>
                <w:kern w:val="0"/>
                <w:sz w:val="21"/>
                <w:szCs w:val="21"/>
              </w:rPr>
            </w:pPr>
          </w:p>
        </w:tc>
        <w:tc>
          <w:tcPr>
            <w:tcW w:w="182" w:type="pct"/>
            <w:vMerge w:val="continue"/>
            <w:tcBorders>
              <w:tl2br w:val="nil"/>
              <w:tr2bl w:val="nil"/>
            </w:tcBorders>
            <w:noWrap/>
            <w:vAlign w:val="center"/>
          </w:tcPr>
          <w:p w14:paraId="3E27AE1B">
            <w:pPr>
              <w:widowControl/>
              <w:snapToGrid w:val="0"/>
              <w:jc w:val="left"/>
              <w:rPr>
                <w:kern w:val="0"/>
                <w:sz w:val="21"/>
                <w:szCs w:val="21"/>
              </w:rPr>
            </w:pPr>
          </w:p>
        </w:tc>
        <w:tc>
          <w:tcPr>
            <w:tcW w:w="178" w:type="pct"/>
            <w:vMerge w:val="continue"/>
            <w:tcBorders>
              <w:tl2br w:val="nil"/>
              <w:tr2bl w:val="nil"/>
            </w:tcBorders>
            <w:noWrap/>
            <w:vAlign w:val="center"/>
          </w:tcPr>
          <w:p w14:paraId="5D34752D">
            <w:pPr>
              <w:widowControl/>
              <w:snapToGrid w:val="0"/>
              <w:jc w:val="left"/>
              <w:rPr>
                <w:kern w:val="0"/>
                <w:sz w:val="21"/>
                <w:szCs w:val="21"/>
              </w:rPr>
            </w:pPr>
          </w:p>
        </w:tc>
        <w:tc>
          <w:tcPr>
            <w:tcW w:w="155" w:type="pct"/>
            <w:vMerge w:val="continue"/>
            <w:tcBorders>
              <w:tl2br w:val="nil"/>
              <w:tr2bl w:val="nil"/>
            </w:tcBorders>
            <w:noWrap/>
            <w:vAlign w:val="center"/>
          </w:tcPr>
          <w:p w14:paraId="6CD09A37">
            <w:pPr>
              <w:widowControl/>
              <w:snapToGrid w:val="0"/>
              <w:jc w:val="left"/>
              <w:rPr>
                <w:kern w:val="0"/>
                <w:sz w:val="21"/>
                <w:szCs w:val="21"/>
              </w:rPr>
            </w:pPr>
          </w:p>
        </w:tc>
        <w:tc>
          <w:tcPr>
            <w:tcW w:w="301" w:type="pct"/>
            <w:vMerge w:val="continue"/>
            <w:tcBorders>
              <w:tl2br w:val="nil"/>
              <w:tr2bl w:val="nil"/>
            </w:tcBorders>
            <w:noWrap/>
            <w:vAlign w:val="center"/>
          </w:tcPr>
          <w:p w14:paraId="007C23FC">
            <w:pPr>
              <w:widowControl/>
              <w:snapToGrid w:val="0"/>
              <w:jc w:val="left"/>
              <w:rPr>
                <w:kern w:val="0"/>
                <w:sz w:val="21"/>
                <w:szCs w:val="21"/>
              </w:rPr>
            </w:pPr>
          </w:p>
        </w:tc>
      </w:tr>
      <w:tr w14:paraId="1CF67D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restart"/>
            <w:tcBorders>
              <w:tl2br w:val="nil"/>
              <w:tr2bl w:val="nil"/>
            </w:tcBorders>
            <w:noWrap/>
            <w:vAlign w:val="center"/>
          </w:tcPr>
          <w:p w14:paraId="42E4F628">
            <w:pPr>
              <w:widowControl/>
              <w:snapToGrid w:val="0"/>
              <w:jc w:val="center"/>
              <w:rPr>
                <w:kern w:val="0"/>
                <w:sz w:val="21"/>
                <w:szCs w:val="21"/>
              </w:rPr>
            </w:pPr>
            <w:r>
              <w:rPr>
                <w:rFonts w:hint="eastAsia"/>
                <w:kern w:val="0"/>
                <w:sz w:val="21"/>
                <w:szCs w:val="21"/>
              </w:rPr>
              <w:t>1#</w:t>
            </w:r>
          </w:p>
        </w:tc>
        <w:tc>
          <w:tcPr>
            <w:tcW w:w="273" w:type="pct"/>
            <w:vMerge w:val="restart"/>
            <w:tcBorders>
              <w:tl2br w:val="nil"/>
              <w:tr2bl w:val="nil"/>
            </w:tcBorders>
            <w:noWrap/>
            <w:vAlign w:val="center"/>
          </w:tcPr>
          <w:p w14:paraId="528A2D8E">
            <w:pPr>
              <w:widowControl/>
              <w:snapToGrid w:val="0"/>
              <w:jc w:val="left"/>
              <w:rPr>
                <w:kern w:val="0"/>
                <w:sz w:val="21"/>
                <w:szCs w:val="21"/>
              </w:rPr>
            </w:pPr>
            <w:r>
              <w:rPr>
                <w:rFonts w:hint="eastAsia"/>
                <w:kern w:val="0"/>
                <w:sz w:val="21"/>
                <w:szCs w:val="21"/>
              </w:rPr>
              <w:t>63000</w:t>
            </w:r>
          </w:p>
        </w:tc>
        <w:tc>
          <w:tcPr>
            <w:tcW w:w="237" w:type="pct"/>
            <w:vMerge w:val="restart"/>
            <w:tcBorders>
              <w:tl2br w:val="nil"/>
              <w:tr2bl w:val="nil"/>
            </w:tcBorders>
            <w:noWrap/>
            <w:vAlign w:val="center"/>
          </w:tcPr>
          <w:p w14:paraId="357D2FD3">
            <w:pPr>
              <w:widowControl/>
              <w:snapToGrid w:val="0"/>
              <w:jc w:val="center"/>
              <w:rPr>
                <w:kern w:val="0"/>
                <w:sz w:val="21"/>
                <w:szCs w:val="21"/>
              </w:rPr>
            </w:pPr>
            <w:r>
              <w:rPr>
                <w:rFonts w:hAnsi="宋体"/>
                <w:kern w:val="0"/>
                <w:sz w:val="21"/>
                <w:szCs w:val="21"/>
              </w:rPr>
              <w:t>一次硫化</w:t>
            </w:r>
          </w:p>
        </w:tc>
        <w:tc>
          <w:tcPr>
            <w:tcW w:w="250" w:type="pct"/>
            <w:tcBorders>
              <w:tl2br w:val="nil"/>
              <w:tr2bl w:val="nil"/>
            </w:tcBorders>
            <w:noWrap/>
            <w:vAlign w:val="center"/>
          </w:tcPr>
          <w:p w14:paraId="04DA5E73">
            <w:pPr>
              <w:widowControl/>
              <w:snapToGrid w:val="0"/>
              <w:jc w:val="center"/>
              <w:rPr>
                <w:kern w:val="0"/>
                <w:sz w:val="21"/>
                <w:szCs w:val="21"/>
              </w:rPr>
            </w:pPr>
            <w:r>
              <w:rPr>
                <w:rFonts w:hAnsi="宋体"/>
                <w:kern w:val="0"/>
                <w:sz w:val="21"/>
                <w:szCs w:val="21"/>
              </w:rPr>
              <w:t>氟化物</w:t>
            </w:r>
          </w:p>
        </w:tc>
        <w:tc>
          <w:tcPr>
            <w:tcW w:w="301" w:type="pct"/>
            <w:tcBorders>
              <w:tl2br w:val="nil"/>
              <w:tr2bl w:val="nil"/>
            </w:tcBorders>
            <w:noWrap/>
            <w:vAlign w:val="center"/>
          </w:tcPr>
          <w:p w14:paraId="57B62EC9">
            <w:pPr>
              <w:snapToGrid w:val="0"/>
              <w:jc w:val="center"/>
              <w:rPr>
                <w:sz w:val="21"/>
                <w:szCs w:val="21"/>
              </w:rPr>
            </w:pPr>
            <w:r>
              <w:rPr>
                <w:sz w:val="21"/>
                <w:szCs w:val="21"/>
              </w:rPr>
              <w:t>0.0004</w:t>
            </w:r>
          </w:p>
        </w:tc>
        <w:tc>
          <w:tcPr>
            <w:tcW w:w="351" w:type="pct"/>
            <w:tcBorders>
              <w:tl2br w:val="nil"/>
              <w:tr2bl w:val="nil"/>
            </w:tcBorders>
            <w:noWrap/>
            <w:vAlign w:val="center"/>
          </w:tcPr>
          <w:p w14:paraId="7792D6ED">
            <w:pPr>
              <w:snapToGrid w:val="0"/>
              <w:jc w:val="center"/>
              <w:rPr>
                <w:sz w:val="21"/>
                <w:szCs w:val="21"/>
              </w:rPr>
            </w:pPr>
            <w:r>
              <w:rPr>
                <w:sz w:val="21"/>
                <w:szCs w:val="21"/>
              </w:rPr>
              <w:t>0.00001</w:t>
            </w:r>
          </w:p>
        </w:tc>
        <w:tc>
          <w:tcPr>
            <w:tcW w:w="359" w:type="pct"/>
            <w:tcBorders>
              <w:tl2br w:val="nil"/>
              <w:tr2bl w:val="nil"/>
            </w:tcBorders>
            <w:noWrap/>
            <w:vAlign w:val="center"/>
          </w:tcPr>
          <w:p w14:paraId="7F43E8AA">
            <w:pPr>
              <w:snapToGrid w:val="0"/>
              <w:jc w:val="center"/>
              <w:rPr>
                <w:sz w:val="21"/>
                <w:szCs w:val="21"/>
              </w:rPr>
            </w:pPr>
            <w:r>
              <w:rPr>
                <w:sz w:val="21"/>
                <w:szCs w:val="21"/>
              </w:rPr>
              <w:t>0.00006</w:t>
            </w:r>
          </w:p>
        </w:tc>
        <w:tc>
          <w:tcPr>
            <w:tcW w:w="200" w:type="pct"/>
            <w:vMerge w:val="restart"/>
            <w:tcBorders>
              <w:tl2br w:val="nil"/>
              <w:tr2bl w:val="nil"/>
            </w:tcBorders>
            <w:noWrap/>
            <w:vAlign w:val="center"/>
          </w:tcPr>
          <w:p w14:paraId="11E8D85C">
            <w:pPr>
              <w:widowControl/>
              <w:snapToGrid w:val="0"/>
              <w:jc w:val="center"/>
              <w:rPr>
                <w:kern w:val="0"/>
                <w:sz w:val="21"/>
                <w:szCs w:val="21"/>
              </w:rPr>
            </w:pPr>
            <w:r>
              <w:rPr>
                <w:rFonts w:hint="eastAsia"/>
                <w:kern w:val="0"/>
                <w:sz w:val="21"/>
                <w:szCs w:val="21"/>
              </w:rPr>
              <w:t>碱喷淋+除雾装置+二级活性炭装置</w:t>
            </w:r>
          </w:p>
        </w:tc>
        <w:tc>
          <w:tcPr>
            <w:tcW w:w="205" w:type="pct"/>
            <w:vMerge w:val="restart"/>
            <w:tcBorders>
              <w:tl2br w:val="nil"/>
              <w:tr2bl w:val="nil"/>
            </w:tcBorders>
            <w:noWrap/>
            <w:vAlign w:val="center"/>
          </w:tcPr>
          <w:p w14:paraId="0A94E230">
            <w:pPr>
              <w:widowControl/>
              <w:snapToGrid w:val="0"/>
              <w:jc w:val="center"/>
              <w:rPr>
                <w:kern w:val="0"/>
                <w:sz w:val="21"/>
                <w:szCs w:val="21"/>
              </w:rPr>
            </w:pPr>
            <w:r>
              <w:rPr>
                <w:rFonts w:hint="eastAsia"/>
                <w:kern w:val="0"/>
                <w:sz w:val="21"/>
                <w:szCs w:val="21"/>
              </w:rPr>
              <w:t>90</w:t>
            </w:r>
          </w:p>
        </w:tc>
        <w:tc>
          <w:tcPr>
            <w:tcW w:w="259" w:type="pct"/>
            <w:vMerge w:val="restart"/>
            <w:tcBorders>
              <w:tl2br w:val="nil"/>
              <w:tr2bl w:val="nil"/>
            </w:tcBorders>
            <w:noWrap/>
            <w:vAlign w:val="center"/>
          </w:tcPr>
          <w:p w14:paraId="1535CB3C">
            <w:pPr>
              <w:widowControl/>
              <w:snapToGrid w:val="0"/>
              <w:jc w:val="center"/>
              <w:rPr>
                <w:kern w:val="0"/>
                <w:sz w:val="21"/>
                <w:szCs w:val="21"/>
              </w:rPr>
            </w:pPr>
            <w:r>
              <w:rPr>
                <w:rFonts w:hint="eastAsia"/>
                <w:kern w:val="0"/>
                <w:sz w:val="21"/>
                <w:szCs w:val="21"/>
              </w:rPr>
              <w:t>氟化物</w:t>
            </w:r>
          </w:p>
        </w:tc>
        <w:tc>
          <w:tcPr>
            <w:tcW w:w="309" w:type="pct"/>
            <w:vMerge w:val="restart"/>
            <w:tcBorders>
              <w:tl2br w:val="nil"/>
              <w:tr2bl w:val="nil"/>
            </w:tcBorders>
            <w:noWrap/>
            <w:vAlign w:val="center"/>
          </w:tcPr>
          <w:p w14:paraId="15886217">
            <w:pPr>
              <w:snapToGrid w:val="0"/>
              <w:jc w:val="center"/>
              <w:rPr>
                <w:sz w:val="21"/>
                <w:szCs w:val="21"/>
              </w:rPr>
            </w:pPr>
            <w:r>
              <w:rPr>
                <w:sz w:val="21"/>
                <w:szCs w:val="21"/>
              </w:rPr>
              <w:t>0.0002</w:t>
            </w:r>
          </w:p>
        </w:tc>
        <w:tc>
          <w:tcPr>
            <w:tcW w:w="357" w:type="pct"/>
            <w:vMerge w:val="restart"/>
            <w:tcBorders>
              <w:tl2br w:val="nil"/>
              <w:tr2bl w:val="nil"/>
            </w:tcBorders>
            <w:noWrap/>
            <w:vAlign w:val="center"/>
          </w:tcPr>
          <w:p w14:paraId="43A6B32F">
            <w:pPr>
              <w:snapToGrid w:val="0"/>
              <w:jc w:val="center"/>
              <w:rPr>
                <w:sz w:val="21"/>
                <w:szCs w:val="21"/>
              </w:rPr>
            </w:pPr>
            <w:r>
              <w:rPr>
                <w:sz w:val="21"/>
                <w:szCs w:val="21"/>
              </w:rPr>
              <w:t>0.00001</w:t>
            </w:r>
          </w:p>
        </w:tc>
        <w:tc>
          <w:tcPr>
            <w:tcW w:w="414" w:type="pct"/>
            <w:vMerge w:val="restart"/>
            <w:tcBorders>
              <w:tl2br w:val="nil"/>
              <w:tr2bl w:val="nil"/>
            </w:tcBorders>
            <w:noWrap/>
            <w:vAlign w:val="center"/>
          </w:tcPr>
          <w:p w14:paraId="38B16FB5">
            <w:pPr>
              <w:snapToGrid w:val="0"/>
              <w:jc w:val="center"/>
              <w:rPr>
                <w:sz w:val="21"/>
                <w:szCs w:val="21"/>
              </w:rPr>
            </w:pPr>
            <w:r>
              <w:rPr>
                <w:sz w:val="21"/>
                <w:szCs w:val="21"/>
              </w:rPr>
              <w:t>0.000076</w:t>
            </w:r>
          </w:p>
        </w:tc>
        <w:tc>
          <w:tcPr>
            <w:tcW w:w="208" w:type="pct"/>
            <w:vMerge w:val="restart"/>
            <w:tcBorders>
              <w:tl2br w:val="nil"/>
              <w:tr2bl w:val="nil"/>
            </w:tcBorders>
            <w:noWrap/>
            <w:vAlign w:val="center"/>
          </w:tcPr>
          <w:p w14:paraId="6E02E21E">
            <w:pPr>
              <w:widowControl/>
              <w:snapToGrid w:val="0"/>
              <w:jc w:val="center"/>
              <w:rPr>
                <w:kern w:val="0"/>
                <w:sz w:val="21"/>
                <w:szCs w:val="21"/>
              </w:rPr>
            </w:pPr>
            <w:r>
              <w:rPr>
                <w:kern w:val="0"/>
                <w:sz w:val="21"/>
                <w:szCs w:val="21"/>
              </w:rPr>
              <w:t>3</w:t>
            </w:r>
          </w:p>
        </w:tc>
        <w:tc>
          <w:tcPr>
            <w:tcW w:w="256" w:type="pct"/>
            <w:vMerge w:val="restart"/>
            <w:tcBorders>
              <w:tl2br w:val="nil"/>
              <w:tr2bl w:val="nil"/>
            </w:tcBorders>
            <w:noWrap/>
            <w:vAlign w:val="center"/>
          </w:tcPr>
          <w:p w14:paraId="24E468C9">
            <w:pPr>
              <w:pStyle w:val="55"/>
              <w:snapToGrid w:val="0"/>
              <w:ind w:right="0" w:rightChars="0"/>
              <w:rPr>
                <w:rFonts w:ascii="Times New Roman" w:hAnsi="Times New Roman"/>
                <w:sz w:val="21"/>
                <w:szCs w:val="21"/>
              </w:rPr>
            </w:pPr>
            <w:r>
              <w:rPr>
                <w:rFonts w:ascii="Times New Roman" w:hAnsi="Times New Roman"/>
                <w:sz w:val="21"/>
                <w:szCs w:val="21"/>
              </w:rPr>
              <w:t>0.072</w:t>
            </w:r>
          </w:p>
        </w:tc>
        <w:tc>
          <w:tcPr>
            <w:tcW w:w="182" w:type="pct"/>
            <w:vMerge w:val="restart"/>
            <w:tcBorders>
              <w:tl2br w:val="nil"/>
              <w:tr2bl w:val="nil"/>
            </w:tcBorders>
            <w:noWrap/>
            <w:vAlign w:val="center"/>
          </w:tcPr>
          <w:p w14:paraId="14B09D5A">
            <w:pPr>
              <w:widowControl/>
              <w:snapToGrid w:val="0"/>
              <w:jc w:val="center"/>
              <w:rPr>
                <w:kern w:val="0"/>
                <w:sz w:val="21"/>
                <w:szCs w:val="21"/>
              </w:rPr>
            </w:pPr>
            <w:r>
              <w:rPr>
                <w:kern w:val="0"/>
                <w:sz w:val="21"/>
                <w:szCs w:val="21"/>
              </w:rPr>
              <w:t>15</w:t>
            </w:r>
          </w:p>
        </w:tc>
        <w:tc>
          <w:tcPr>
            <w:tcW w:w="178" w:type="pct"/>
            <w:vMerge w:val="restart"/>
            <w:tcBorders>
              <w:tl2br w:val="nil"/>
              <w:tr2bl w:val="nil"/>
            </w:tcBorders>
            <w:noWrap/>
            <w:vAlign w:val="center"/>
          </w:tcPr>
          <w:p w14:paraId="5720CE5F">
            <w:pPr>
              <w:widowControl/>
              <w:snapToGrid w:val="0"/>
              <w:jc w:val="center"/>
              <w:rPr>
                <w:kern w:val="0"/>
                <w:sz w:val="21"/>
                <w:szCs w:val="21"/>
              </w:rPr>
            </w:pPr>
            <w:r>
              <w:rPr>
                <w:rFonts w:hint="eastAsia"/>
                <w:kern w:val="0"/>
                <w:sz w:val="21"/>
                <w:szCs w:val="21"/>
              </w:rPr>
              <w:t>1.0</w:t>
            </w:r>
          </w:p>
        </w:tc>
        <w:tc>
          <w:tcPr>
            <w:tcW w:w="155" w:type="pct"/>
            <w:vMerge w:val="restart"/>
            <w:tcBorders>
              <w:tl2br w:val="nil"/>
              <w:tr2bl w:val="nil"/>
            </w:tcBorders>
            <w:noWrap/>
            <w:vAlign w:val="center"/>
          </w:tcPr>
          <w:p w14:paraId="4AE0E88F">
            <w:pPr>
              <w:widowControl/>
              <w:snapToGrid w:val="0"/>
              <w:jc w:val="center"/>
              <w:rPr>
                <w:kern w:val="0"/>
                <w:sz w:val="21"/>
                <w:szCs w:val="21"/>
              </w:rPr>
            </w:pPr>
            <w:r>
              <w:rPr>
                <w:rFonts w:hint="eastAsia"/>
                <w:kern w:val="0"/>
                <w:sz w:val="21"/>
                <w:szCs w:val="21"/>
              </w:rPr>
              <w:t>65</w:t>
            </w:r>
          </w:p>
        </w:tc>
        <w:tc>
          <w:tcPr>
            <w:tcW w:w="301" w:type="pct"/>
            <w:vMerge w:val="restart"/>
            <w:tcBorders>
              <w:tl2br w:val="nil"/>
              <w:tr2bl w:val="nil"/>
            </w:tcBorders>
            <w:noWrap/>
            <w:vAlign w:val="center"/>
          </w:tcPr>
          <w:p w14:paraId="4D76C043">
            <w:pPr>
              <w:widowControl/>
              <w:snapToGrid w:val="0"/>
              <w:jc w:val="left"/>
              <w:rPr>
                <w:kern w:val="0"/>
                <w:sz w:val="21"/>
                <w:szCs w:val="21"/>
              </w:rPr>
            </w:pPr>
            <w:r>
              <w:rPr>
                <w:rFonts w:hAnsi="宋体"/>
                <w:kern w:val="0"/>
                <w:sz w:val="21"/>
                <w:szCs w:val="21"/>
              </w:rPr>
              <w:t>间歇</w:t>
            </w:r>
            <w:r>
              <w:rPr>
                <w:rFonts w:hint="eastAsia" w:hAnsi="宋体"/>
                <w:kern w:val="0"/>
                <w:sz w:val="21"/>
                <w:szCs w:val="21"/>
              </w:rPr>
              <w:t>7200h</w:t>
            </w:r>
          </w:p>
        </w:tc>
      </w:tr>
      <w:tr w14:paraId="5B5DF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3A303456">
            <w:pPr>
              <w:widowControl/>
              <w:snapToGrid w:val="0"/>
              <w:jc w:val="center"/>
              <w:rPr>
                <w:kern w:val="0"/>
                <w:sz w:val="21"/>
                <w:szCs w:val="21"/>
              </w:rPr>
            </w:pPr>
          </w:p>
        </w:tc>
        <w:tc>
          <w:tcPr>
            <w:tcW w:w="273" w:type="pct"/>
            <w:vMerge w:val="continue"/>
            <w:tcBorders>
              <w:tl2br w:val="nil"/>
              <w:tr2bl w:val="nil"/>
            </w:tcBorders>
            <w:noWrap/>
            <w:vAlign w:val="center"/>
          </w:tcPr>
          <w:p w14:paraId="17361B54">
            <w:pPr>
              <w:widowControl/>
              <w:snapToGrid w:val="0"/>
              <w:jc w:val="left"/>
              <w:rPr>
                <w:kern w:val="0"/>
                <w:sz w:val="21"/>
                <w:szCs w:val="21"/>
              </w:rPr>
            </w:pPr>
          </w:p>
        </w:tc>
        <w:tc>
          <w:tcPr>
            <w:tcW w:w="237" w:type="pct"/>
            <w:vMerge w:val="continue"/>
            <w:tcBorders>
              <w:tl2br w:val="nil"/>
              <w:tr2bl w:val="nil"/>
            </w:tcBorders>
            <w:noWrap/>
            <w:vAlign w:val="center"/>
          </w:tcPr>
          <w:p w14:paraId="7F865E72">
            <w:pPr>
              <w:widowControl/>
              <w:snapToGrid w:val="0"/>
              <w:jc w:val="left"/>
              <w:rPr>
                <w:kern w:val="0"/>
                <w:sz w:val="21"/>
                <w:szCs w:val="21"/>
              </w:rPr>
            </w:pPr>
          </w:p>
        </w:tc>
        <w:tc>
          <w:tcPr>
            <w:tcW w:w="250" w:type="pct"/>
            <w:tcBorders>
              <w:tl2br w:val="nil"/>
              <w:tr2bl w:val="nil"/>
            </w:tcBorders>
            <w:noWrap/>
            <w:vAlign w:val="center"/>
          </w:tcPr>
          <w:p w14:paraId="61EA5473">
            <w:pPr>
              <w:widowControl/>
              <w:snapToGrid w:val="0"/>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1" w:type="pct"/>
            <w:tcBorders>
              <w:tl2br w:val="nil"/>
              <w:tr2bl w:val="nil"/>
            </w:tcBorders>
            <w:noWrap/>
            <w:vAlign w:val="center"/>
          </w:tcPr>
          <w:p w14:paraId="56C0E28B">
            <w:pPr>
              <w:snapToGrid w:val="0"/>
              <w:jc w:val="center"/>
              <w:rPr>
                <w:sz w:val="21"/>
                <w:szCs w:val="21"/>
              </w:rPr>
            </w:pPr>
            <w:r>
              <w:rPr>
                <w:sz w:val="21"/>
                <w:szCs w:val="21"/>
              </w:rPr>
              <w:t>0.65</w:t>
            </w:r>
          </w:p>
        </w:tc>
        <w:tc>
          <w:tcPr>
            <w:tcW w:w="351" w:type="pct"/>
            <w:tcBorders>
              <w:tl2br w:val="nil"/>
              <w:tr2bl w:val="nil"/>
            </w:tcBorders>
            <w:noWrap/>
            <w:vAlign w:val="center"/>
          </w:tcPr>
          <w:p w14:paraId="0FA441FA">
            <w:pPr>
              <w:snapToGrid w:val="0"/>
              <w:jc w:val="center"/>
              <w:rPr>
                <w:sz w:val="21"/>
                <w:szCs w:val="21"/>
              </w:rPr>
            </w:pPr>
            <w:r>
              <w:rPr>
                <w:sz w:val="21"/>
                <w:szCs w:val="21"/>
              </w:rPr>
              <w:t>0.013</w:t>
            </w:r>
          </w:p>
        </w:tc>
        <w:tc>
          <w:tcPr>
            <w:tcW w:w="359" w:type="pct"/>
            <w:tcBorders>
              <w:tl2br w:val="nil"/>
              <w:tr2bl w:val="nil"/>
            </w:tcBorders>
            <w:noWrap/>
            <w:vAlign w:val="center"/>
          </w:tcPr>
          <w:p w14:paraId="719719FA">
            <w:pPr>
              <w:snapToGrid w:val="0"/>
              <w:jc w:val="center"/>
              <w:rPr>
                <w:sz w:val="21"/>
                <w:szCs w:val="21"/>
              </w:rPr>
            </w:pPr>
            <w:r>
              <w:rPr>
                <w:sz w:val="21"/>
                <w:szCs w:val="21"/>
              </w:rPr>
              <w:t>0.093</w:t>
            </w:r>
          </w:p>
        </w:tc>
        <w:tc>
          <w:tcPr>
            <w:tcW w:w="200" w:type="pct"/>
            <w:vMerge w:val="continue"/>
            <w:tcBorders>
              <w:tl2br w:val="nil"/>
              <w:tr2bl w:val="nil"/>
            </w:tcBorders>
            <w:noWrap/>
            <w:vAlign w:val="center"/>
          </w:tcPr>
          <w:p w14:paraId="09D1CD64">
            <w:pPr>
              <w:widowControl/>
              <w:snapToGrid w:val="0"/>
              <w:jc w:val="center"/>
              <w:rPr>
                <w:kern w:val="0"/>
                <w:sz w:val="21"/>
                <w:szCs w:val="21"/>
              </w:rPr>
            </w:pPr>
          </w:p>
        </w:tc>
        <w:tc>
          <w:tcPr>
            <w:tcW w:w="205" w:type="pct"/>
            <w:vMerge w:val="continue"/>
            <w:tcBorders>
              <w:tl2br w:val="nil"/>
              <w:tr2bl w:val="nil"/>
            </w:tcBorders>
            <w:noWrap/>
            <w:vAlign w:val="center"/>
          </w:tcPr>
          <w:p w14:paraId="311330C8">
            <w:pPr>
              <w:widowControl/>
              <w:snapToGrid w:val="0"/>
              <w:jc w:val="center"/>
              <w:rPr>
                <w:kern w:val="0"/>
                <w:sz w:val="21"/>
                <w:szCs w:val="21"/>
              </w:rPr>
            </w:pPr>
          </w:p>
        </w:tc>
        <w:tc>
          <w:tcPr>
            <w:tcW w:w="259" w:type="pct"/>
            <w:vMerge w:val="continue"/>
            <w:tcBorders>
              <w:tl2br w:val="nil"/>
              <w:tr2bl w:val="nil"/>
            </w:tcBorders>
            <w:noWrap/>
            <w:vAlign w:val="center"/>
          </w:tcPr>
          <w:p w14:paraId="2EAEC240">
            <w:pPr>
              <w:widowControl/>
              <w:snapToGrid w:val="0"/>
              <w:jc w:val="center"/>
              <w:rPr>
                <w:kern w:val="0"/>
                <w:sz w:val="21"/>
                <w:szCs w:val="21"/>
              </w:rPr>
            </w:pPr>
          </w:p>
        </w:tc>
        <w:tc>
          <w:tcPr>
            <w:tcW w:w="309" w:type="pct"/>
            <w:vMerge w:val="continue"/>
            <w:tcBorders>
              <w:tl2br w:val="nil"/>
              <w:tr2bl w:val="nil"/>
            </w:tcBorders>
            <w:noWrap/>
            <w:vAlign w:val="center"/>
          </w:tcPr>
          <w:p w14:paraId="64F85054">
            <w:pPr>
              <w:widowControl/>
              <w:snapToGrid w:val="0"/>
              <w:jc w:val="center"/>
              <w:rPr>
                <w:kern w:val="0"/>
                <w:sz w:val="21"/>
                <w:szCs w:val="21"/>
              </w:rPr>
            </w:pPr>
          </w:p>
        </w:tc>
        <w:tc>
          <w:tcPr>
            <w:tcW w:w="357" w:type="pct"/>
            <w:vMerge w:val="continue"/>
            <w:tcBorders>
              <w:tl2br w:val="nil"/>
              <w:tr2bl w:val="nil"/>
            </w:tcBorders>
            <w:noWrap/>
            <w:vAlign w:val="center"/>
          </w:tcPr>
          <w:p w14:paraId="7FFFF8AF">
            <w:pPr>
              <w:widowControl/>
              <w:snapToGrid w:val="0"/>
              <w:jc w:val="center"/>
              <w:rPr>
                <w:kern w:val="0"/>
                <w:sz w:val="21"/>
                <w:szCs w:val="21"/>
              </w:rPr>
            </w:pPr>
          </w:p>
        </w:tc>
        <w:tc>
          <w:tcPr>
            <w:tcW w:w="414" w:type="pct"/>
            <w:vMerge w:val="continue"/>
            <w:tcBorders>
              <w:tl2br w:val="nil"/>
              <w:tr2bl w:val="nil"/>
            </w:tcBorders>
            <w:noWrap/>
            <w:vAlign w:val="center"/>
          </w:tcPr>
          <w:p w14:paraId="447AA131">
            <w:pPr>
              <w:widowControl/>
              <w:snapToGrid w:val="0"/>
              <w:jc w:val="center"/>
              <w:rPr>
                <w:kern w:val="0"/>
                <w:sz w:val="21"/>
                <w:szCs w:val="21"/>
              </w:rPr>
            </w:pPr>
          </w:p>
        </w:tc>
        <w:tc>
          <w:tcPr>
            <w:tcW w:w="208" w:type="pct"/>
            <w:vMerge w:val="continue"/>
            <w:tcBorders>
              <w:tl2br w:val="nil"/>
              <w:tr2bl w:val="nil"/>
            </w:tcBorders>
            <w:noWrap/>
            <w:vAlign w:val="center"/>
          </w:tcPr>
          <w:p w14:paraId="259A6780">
            <w:pPr>
              <w:widowControl/>
              <w:snapToGrid w:val="0"/>
              <w:jc w:val="left"/>
              <w:rPr>
                <w:kern w:val="0"/>
                <w:sz w:val="21"/>
                <w:szCs w:val="21"/>
              </w:rPr>
            </w:pPr>
          </w:p>
        </w:tc>
        <w:tc>
          <w:tcPr>
            <w:tcW w:w="256" w:type="pct"/>
            <w:vMerge w:val="continue"/>
            <w:tcBorders>
              <w:tl2br w:val="nil"/>
              <w:tr2bl w:val="nil"/>
            </w:tcBorders>
            <w:noWrap/>
            <w:vAlign w:val="center"/>
          </w:tcPr>
          <w:p w14:paraId="794BADCF">
            <w:pPr>
              <w:widowControl/>
              <w:snapToGrid w:val="0"/>
              <w:jc w:val="left"/>
              <w:rPr>
                <w:kern w:val="0"/>
                <w:sz w:val="21"/>
                <w:szCs w:val="21"/>
              </w:rPr>
            </w:pPr>
          </w:p>
        </w:tc>
        <w:tc>
          <w:tcPr>
            <w:tcW w:w="182" w:type="pct"/>
            <w:vMerge w:val="continue"/>
            <w:tcBorders>
              <w:tl2br w:val="nil"/>
              <w:tr2bl w:val="nil"/>
            </w:tcBorders>
            <w:noWrap/>
            <w:vAlign w:val="center"/>
          </w:tcPr>
          <w:p w14:paraId="0ACC4D10">
            <w:pPr>
              <w:widowControl/>
              <w:snapToGrid w:val="0"/>
              <w:jc w:val="left"/>
              <w:rPr>
                <w:kern w:val="0"/>
                <w:sz w:val="21"/>
                <w:szCs w:val="21"/>
              </w:rPr>
            </w:pPr>
          </w:p>
        </w:tc>
        <w:tc>
          <w:tcPr>
            <w:tcW w:w="178" w:type="pct"/>
            <w:vMerge w:val="continue"/>
            <w:tcBorders>
              <w:tl2br w:val="nil"/>
              <w:tr2bl w:val="nil"/>
            </w:tcBorders>
            <w:noWrap/>
            <w:vAlign w:val="center"/>
          </w:tcPr>
          <w:p w14:paraId="5EE6D416">
            <w:pPr>
              <w:widowControl/>
              <w:snapToGrid w:val="0"/>
              <w:jc w:val="left"/>
              <w:rPr>
                <w:kern w:val="0"/>
                <w:sz w:val="21"/>
                <w:szCs w:val="21"/>
              </w:rPr>
            </w:pPr>
          </w:p>
        </w:tc>
        <w:tc>
          <w:tcPr>
            <w:tcW w:w="155" w:type="pct"/>
            <w:vMerge w:val="continue"/>
            <w:tcBorders>
              <w:tl2br w:val="nil"/>
              <w:tr2bl w:val="nil"/>
            </w:tcBorders>
            <w:noWrap/>
            <w:vAlign w:val="center"/>
          </w:tcPr>
          <w:p w14:paraId="3D3C3F4E">
            <w:pPr>
              <w:widowControl/>
              <w:snapToGrid w:val="0"/>
              <w:jc w:val="left"/>
              <w:rPr>
                <w:kern w:val="0"/>
                <w:sz w:val="21"/>
                <w:szCs w:val="21"/>
              </w:rPr>
            </w:pPr>
          </w:p>
        </w:tc>
        <w:tc>
          <w:tcPr>
            <w:tcW w:w="301" w:type="pct"/>
            <w:vMerge w:val="continue"/>
            <w:tcBorders>
              <w:tl2br w:val="nil"/>
              <w:tr2bl w:val="nil"/>
            </w:tcBorders>
            <w:noWrap/>
            <w:vAlign w:val="center"/>
          </w:tcPr>
          <w:p w14:paraId="4BB6E38C">
            <w:pPr>
              <w:widowControl/>
              <w:snapToGrid w:val="0"/>
              <w:jc w:val="left"/>
              <w:rPr>
                <w:kern w:val="0"/>
                <w:sz w:val="21"/>
                <w:szCs w:val="21"/>
              </w:rPr>
            </w:pPr>
          </w:p>
        </w:tc>
      </w:tr>
      <w:tr w14:paraId="645F1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101438AE">
            <w:pPr>
              <w:widowControl/>
              <w:snapToGrid w:val="0"/>
              <w:jc w:val="center"/>
              <w:rPr>
                <w:kern w:val="0"/>
                <w:sz w:val="21"/>
                <w:szCs w:val="21"/>
              </w:rPr>
            </w:pPr>
          </w:p>
        </w:tc>
        <w:tc>
          <w:tcPr>
            <w:tcW w:w="273" w:type="pct"/>
            <w:vMerge w:val="continue"/>
            <w:tcBorders>
              <w:tl2br w:val="nil"/>
              <w:tr2bl w:val="nil"/>
            </w:tcBorders>
            <w:noWrap/>
            <w:vAlign w:val="center"/>
          </w:tcPr>
          <w:p w14:paraId="642C21DB">
            <w:pPr>
              <w:widowControl/>
              <w:snapToGrid w:val="0"/>
              <w:jc w:val="left"/>
              <w:rPr>
                <w:kern w:val="0"/>
                <w:sz w:val="21"/>
                <w:szCs w:val="21"/>
              </w:rPr>
            </w:pPr>
          </w:p>
        </w:tc>
        <w:tc>
          <w:tcPr>
            <w:tcW w:w="237" w:type="pct"/>
            <w:vMerge w:val="continue"/>
            <w:tcBorders>
              <w:tl2br w:val="nil"/>
              <w:tr2bl w:val="nil"/>
            </w:tcBorders>
            <w:noWrap/>
            <w:vAlign w:val="center"/>
          </w:tcPr>
          <w:p w14:paraId="6329E4CB">
            <w:pPr>
              <w:widowControl/>
              <w:snapToGrid w:val="0"/>
              <w:jc w:val="left"/>
              <w:rPr>
                <w:kern w:val="0"/>
                <w:sz w:val="21"/>
                <w:szCs w:val="21"/>
              </w:rPr>
            </w:pPr>
          </w:p>
        </w:tc>
        <w:tc>
          <w:tcPr>
            <w:tcW w:w="250" w:type="pct"/>
            <w:tcBorders>
              <w:tl2br w:val="nil"/>
              <w:tr2bl w:val="nil"/>
            </w:tcBorders>
            <w:noWrap/>
            <w:vAlign w:val="center"/>
          </w:tcPr>
          <w:p w14:paraId="44B57A4E">
            <w:pPr>
              <w:widowControl/>
              <w:snapToGrid w:val="0"/>
              <w:jc w:val="center"/>
              <w:rPr>
                <w:kern w:val="0"/>
                <w:sz w:val="21"/>
                <w:szCs w:val="21"/>
              </w:rPr>
            </w:pPr>
            <w:r>
              <w:rPr>
                <w:rFonts w:hAnsi="宋体"/>
                <w:kern w:val="0"/>
                <w:sz w:val="21"/>
                <w:szCs w:val="21"/>
              </w:rPr>
              <w:t>非甲烷总烃</w:t>
            </w:r>
          </w:p>
        </w:tc>
        <w:tc>
          <w:tcPr>
            <w:tcW w:w="301" w:type="pct"/>
            <w:tcBorders>
              <w:tl2br w:val="nil"/>
              <w:tr2bl w:val="nil"/>
            </w:tcBorders>
            <w:noWrap/>
            <w:vAlign w:val="center"/>
          </w:tcPr>
          <w:p w14:paraId="72166F16">
            <w:pPr>
              <w:snapToGrid w:val="0"/>
              <w:jc w:val="center"/>
              <w:rPr>
                <w:sz w:val="21"/>
                <w:szCs w:val="21"/>
              </w:rPr>
            </w:pPr>
            <w:r>
              <w:rPr>
                <w:sz w:val="21"/>
                <w:szCs w:val="21"/>
              </w:rPr>
              <w:t>2.67</w:t>
            </w:r>
          </w:p>
        </w:tc>
        <w:tc>
          <w:tcPr>
            <w:tcW w:w="351" w:type="pct"/>
            <w:tcBorders>
              <w:tl2br w:val="nil"/>
              <w:tr2bl w:val="nil"/>
            </w:tcBorders>
            <w:noWrap/>
            <w:vAlign w:val="center"/>
          </w:tcPr>
          <w:p w14:paraId="1B0FDB93">
            <w:pPr>
              <w:snapToGrid w:val="0"/>
              <w:jc w:val="center"/>
              <w:rPr>
                <w:sz w:val="21"/>
                <w:szCs w:val="21"/>
              </w:rPr>
            </w:pPr>
            <w:r>
              <w:rPr>
                <w:sz w:val="21"/>
                <w:szCs w:val="21"/>
              </w:rPr>
              <w:t>0.053</w:t>
            </w:r>
          </w:p>
        </w:tc>
        <w:tc>
          <w:tcPr>
            <w:tcW w:w="359" w:type="pct"/>
            <w:tcBorders>
              <w:tl2br w:val="nil"/>
              <w:tr2bl w:val="nil"/>
            </w:tcBorders>
            <w:noWrap/>
            <w:vAlign w:val="center"/>
          </w:tcPr>
          <w:p w14:paraId="616D543D">
            <w:pPr>
              <w:snapToGrid w:val="0"/>
              <w:jc w:val="center"/>
              <w:rPr>
                <w:sz w:val="21"/>
                <w:szCs w:val="21"/>
              </w:rPr>
            </w:pPr>
            <w:r>
              <w:rPr>
                <w:sz w:val="21"/>
                <w:szCs w:val="21"/>
              </w:rPr>
              <w:t>0.385</w:t>
            </w:r>
          </w:p>
        </w:tc>
        <w:tc>
          <w:tcPr>
            <w:tcW w:w="200" w:type="pct"/>
            <w:vMerge w:val="continue"/>
            <w:tcBorders>
              <w:tl2br w:val="nil"/>
              <w:tr2bl w:val="nil"/>
            </w:tcBorders>
            <w:noWrap/>
            <w:vAlign w:val="center"/>
          </w:tcPr>
          <w:p w14:paraId="6FC46C61">
            <w:pPr>
              <w:widowControl/>
              <w:snapToGrid w:val="0"/>
              <w:jc w:val="center"/>
              <w:rPr>
                <w:kern w:val="0"/>
                <w:sz w:val="21"/>
                <w:szCs w:val="21"/>
              </w:rPr>
            </w:pPr>
          </w:p>
        </w:tc>
        <w:tc>
          <w:tcPr>
            <w:tcW w:w="205" w:type="pct"/>
            <w:vMerge w:val="restart"/>
            <w:tcBorders>
              <w:tl2br w:val="nil"/>
              <w:tr2bl w:val="nil"/>
            </w:tcBorders>
            <w:shd w:val="clear" w:color="auto" w:fill="auto"/>
            <w:noWrap/>
            <w:vAlign w:val="center"/>
          </w:tcPr>
          <w:p w14:paraId="17A47AAB">
            <w:pPr>
              <w:widowControl/>
              <w:snapToGrid w:val="0"/>
              <w:jc w:val="center"/>
              <w:rPr>
                <w:kern w:val="0"/>
                <w:sz w:val="21"/>
                <w:szCs w:val="21"/>
              </w:rPr>
            </w:pPr>
            <w:r>
              <w:rPr>
                <w:kern w:val="0"/>
                <w:sz w:val="21"/>
                <w:szCs w:val="21"/>
              </w:rPr>
              <w:t>90</w:t>
            </w:r>
          </w:p>
        </w:tc>
        <w:tc>
          <w:tcPr>
            <w:tcW w:w="259" w:type="pct"/>
            <w:vMerge w:val="restart"/>
            <w:tcBorders>
              <w:tl2br w:val="nil"/>
              <w:tr2bl w:val="nil"/>
            </w:tcBorders>
            <w:shd w:val="clear" w:color="auto" w:fill="auto"/>
            <w:noWrap/>
            <w:vAlign w:val="center"/>
          </w:tcPr>
          <w:p w14:paraId="17A0B228">
            <w:pPr>
              <w:widowControl/>
              <w:snapToGrid w:val="0"/>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9" w:type="pct"/>
            <w:vMerge w:val="restart"/>
            <w:tcBorders>
              <w:tl2br w:val="nil"/>
              <w:tr2bl w:val="nil"/>
            </w:tcBorders>
            <w:shd w:val="clear" w:color="auto" w:fill="auto"/>
            <w:noWrap/>
            <w:vAlign w:val="center"/>
          </w:tcPr>
          <w:p w14:paraId="1785564E">
            <w:pPr>
              <w:snapToGrid w:val="0"/>
              <w:jc w:val="center"/>
              <w:rPr>
                <w:sz w:val="21"/>
                <w:szCs w:val="21"/>
              </w:rPr>
            </w:pPr>
            <w:r>
              <w:rPr>
                <w:sz w:val="21"/>
                <w:szCs w:val="21"/>
              </w:rPr>
              <w:t>0.032</w:t>
            </w:r>
          </w:p>
        </w:tc>
        <w:tc>
          <w:tcPr>
            <w:tcW w:w="357" w:type="pct"/>
            <w:vMerge w:val="restart"/>
            <w:tcBorders>
              <w:tl2br w:val="nil"/>
              <w:tr2bl w:val="nil"/>
            </w:tcBorders>
            <w:shd w:val="clear" w:color="auto" w:fill="auto"/>
            <w:noWrap/>
            <w:vAlign w:val="center"/>
          </w:tcPr>
          <w:p w14:paraId="69E39098">
            <w:pPr>
              <w:snapToGrid w:val="0"/>
              <w:jc w:val="center"/>
              <w:rPr>
                <w:sz w:val="21"/>
                <w:szCs w:val="21"/>
              </w:rPr>
            </w:pPr>
            <w:r>
              <w:rPr>
                <w:sz w:val="21"/>
                <w:szCs w:val="21"/>
              </w:rPr>
              <w:t>0.002</w:t>
            </w:r>
          </w:p>
        </w:tc>
        <w:tc>
          <w:tcPr>
            <w:tcW w:w="414" w:type="pct"/>
            <w:vMerge w:val="restart"/>
            <w:tcBorders>
              <w:tl2br w:val="nil"/>
              <w:tr2bl w:val="nil"/>
            </w:tcBorders>
            <w:shd w:val="clear" w:color="auto" w:fill="auto"/>
            <w:noWrap/>
            <w:vAlign w:val="center"/>
          </w:tcPr>
          <w:p w14:paraId="24471A9B">
            <w:pPr>
              <w:snapToGrid w:val="0"/>
              <w:jc w:val="center"/>
              <w:rPr>
                <w:sz w:val="21"/>
                <w:szCs w:val="21"/>
              </w:rPr>
            </w:pPr>
            <w:r>
              <w:rPr>
                <w:sz w:val="21"/>
                <w:szCs w:val="21"/>
              </w:rPr>
              <w:t>0.0144</w:t>
            </w:r>
          </w:p>
        </w:tc>
        <w:tc>
          <w:tcPr>
            <w:tcW w:w="208" w:type="pct"/>
            <w:vMerge w:val="restart"/>
            <w:tcBorders>
              <w:tl2br w:val="nil"/>
              <w:tr2bl w:val="nil"/>
            </w:tcBorders>
            <w:shd w:val="clear" w:color="auto" w:fill="auto"/>
            <w:noWrap/>
            <w:vAlign w:val="center"/>
          </w:tcPr>
          <w:p w14:paraId="6145F107">
            <w:pPr>
              <w:widowControl/>
              <w:snapToGrid w:val="0"/>
              <w:jc w:val="center"/>
              <w:rPr>
                <w:kern w:val="0"/>
                <w:sz w:val="21"/>
                <w:szCs w:val="21"/>
              </w:rPr>
            </w:pPr>
            <w:r>
              <w:rPr>
                <w:kern w:val="0"/>
                <w:sz w:val="21"/>
                <w:szCs w:val="21"/>
              </w:rPr>
              <w:t>/</w:t>
            </w:r>
          </w:p>
        </w:tc>
        <w:tc>
          <w:tcPr>
            <w:tcW w:w="256" w:type="pct"/>
            <w:vMerge w:val="restart"/>
            <w:tcBorders>
              <w:tl2br w:val="nil"/>
              <w:tr2bl w:val="nil"/>
            </w:tcBorders>
            <w:shd w:val="clear" w:color="auto" w:fill="auto"/>
            <w:noWrap/>
            <w:vAlign w:val="center"/>
          </w:tcPr>
          <w:p w14:paraId="6CCEAD0C">
            <w:pPr>
              <w:widowControl/>
              <w:snapToGrid w:val="0"/>
              <w:jc w:val="center"/>
              <w:rPr>
                <w:kern w:val="0"/>
                <w:sz w:val="21"/>
                <w:szCs w:val="21"/>
              </w:rPr>
            </w:pPr>
            <w:r>
              <w:rPr>
                <w:kern w:val="0"/>
                <w:sz w:val="21"/>
                <w:szCs w:val="21"/>
              </w:rPr>
              <w:t>0</w:t>
            </w:r>
            <w:r>
              <w:rPr>
                <w:rFonts w:hint="eastAsia"/>
                <w:kern w:val="0"/>
                <w:sz w:val="21"/>
                <w:szCs w:val="21"/>
              </w:rPr>
              <w:t>3</w:t>
            </w:r>
            <w:r>
              <w:rPr>
                <w:kern w:val="0"/>
                <w:sz w:val="21"/>
                <w:szCs w:val="21"/>
              </w:rPr>
              <w:t>3</w:t>
            </w:r>
          </w:p>
        </w:tc>
        <w:tc>
          <w:tcPr>
            <w:tcW w:w="182" w:type="pct"/>
            <w:vMerge w:val="continue"/>
            <w:tcBorders>
              <w:tl2br w:val="nil"/>
              <w:tr2bl w:val="nil"/>
            </w:tcBorders>
            <w:noWrap/>
            <w:vAlign w:val="center"/>
          </w:tcPr>
          <w:p w14:paraId="1557FD99">
            <w:pPr>
              <w:widowControl/>
              <w:snapToGrid w:val="0"/>
              <w:jc w:val="left"/>
              <w:rPr>
                <w:kern w:val="0"/>
                <w:sz w:val="21"/>
                <w:szCs w:val="21"/>
              </w:rPr>
            </w:pPr>
          </w:p>
        </w:tc>
        <w:tc>
          <w:tcPr>
            <w:tcW w:w="178" w:type="pct"/>
            <w:vMerge w:val="continue"/>
            <w:tcBorders>
              <w:tl2br w:val="nil"/>
              <w:tr2bl w:val="nil"/>
            </w:tcBorders>
            <w:noWrap/>
            <w:vAlign w:val="center"/>
          </w:tcPr>
          <w:p w14:paraId="2B5BFE28">
            <w:pPr>
              <w:widowControl/>
              <w:snapToGrid w:val="0"/>
              <w:jc w:val="left"/>
              <w:rPr>
                <w:kern w:val="0"/>
                <w:sz w:val="21"/>
                <w:szCs w:val="21"/>
              </w:rPr>
            </w:pPr>
          </w:p>
        </w:tc>
        <w:tc>
          <w:tcPr>
            <w:tcW w:w="155" w:type="pct"/>
            <w:vMerge w:val="continue"/>
            <w:tcBorders>
              <w:tl2br w:val="nil"/>
              <w:tr2bl w:val="nil"/>
            </w:tcBorders>
            <w:noWrap/>
            <w:vAlign w:val="center"/>
          </w:tcPr>
          <w:p w14:paraId="135EE7D6">
            <w:pPr>
              <w:widowControl/>
              <w:snapToGrid w:val="0"/>
              <w:jc w:val="left"/>
              <w:rPr>
                <w:kern w:val="0"/>
                <w:sz w:val="21"/>
                <w:szCs w:val="21"/>
              </w:rPr>
            </w:pPr>
          </w:p>
        </w:tc>
        <w:tc>
          <w:tcPr>
            <w:tcW w:w="301" w:type="pct"/>
            <w:vMerge w:val="continue"/>
            <w:tcBorders>
              <w:tl2br w:val="nil"/>
              <w:tr2bl w:val="nil"/>
            </w:tcBorders>
            <w:noWrap/>
            <w:vAlign w:val="center"/>
          </w:tcPr>
          <w:p w14:paraId="259B14CD">
            <w:pPr>
              <w:widowControl/>
              <w:snapToGrid w:val="0"/>
              <w:jc w:val="left"/>
              <w:rPr>
                <w:kern w:val="0"/>
                <w:sz w:val="21"/>
                <w:szCs w:val="21"/>
              </w:rPr>
            </w:pPr>
          </w:p>
        </w:tc>
      </w:tr>
      <w:tr w14:paraId="793B3A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060E4F3F">
            <w:pPr>
              <w:widowControl/>
              <w:snapToGrid w:val="0"/>
              <w:jc w:val="center"/>
              <w:rPr>
                <w:kern w:val="0"/>
                <w:sz w:val="21"/>
                <w:szCs w:val="21"/>
              </w:rPr>
            </w:pPr>
          </w:p>
        </w:tc>
        <w:tc>
          <w:tcPr>
            <w:tcW w:w="273" w:type="pct"/>
            <w:vMerge w:val="continue"/>
            <w:tcBorders>
              <w:tl2br w:val="nil"/>
              <w:tr2bl w:val="nil"/>
            </w:tcBorders>
            <w:noWrap/>
            <w:vAlign w:val="center"/>
          </w:tcPr>
          <w:p w14:paraId="4152688C">
            <w:pPr>
              <w:widowControl/>
              <w:snapToGrid w:val="0"/>
              <w:jc w:val="left"/>
              <w:rPr>
                <w:kern w:val="0"/>
                <w:sz w:val="21"/>
                <w:szCs w:val="21"/>
              </w:rPr>
            </w:pPr>
          </w:p>
        </w:tc>
        <w:tc>
          <w:tcPr>
            <w:tcW w:w="237" w:type="pct"/>
            <w:vMerge w:val="restart"/>
            <w:tcBorders>
              <w:tl2br w:val="nil"/>
              <w:tr2bl w:val="nil"/>
            </w:tcBorders>
            <w:noWrap/>
            <w:vAlign w:val="center"/>
          </w:tcPr>
          <w:p w14:paraId="2C5CB4E5">
            <w:pPr>
              <w:widowControl/>
              <w:snapToGrid w:val="0"/>
              <w:jc w:val="center"/>
              <w:rPr>
                <w:kern w:val="0"/>
                <w:sz w:val="21"/>
                <w:szCs w:val="21"/>
              </w:rPr>
            </w:pPr>
            <w:r>
              <w:rPr>
                <w:rFonts w:hAnsi="宋体"/>
                <w:kern w:val="0"/>
                <w:sz w:val="21"/>
                <w:szCs w:val="21"/>
              </w:rPr>
              <w:t>二次硫化</w:t>
            </w:r>
          </w:p>
        </w:tc>
        <w:tc>
          <w:tcPr>
            <w:tcW w:w="250" w:type="pct"/>
            <w:tcBorders>
              <w:tl2br w:val="nil"/>
              <w:tr2bl w:val="nil"/>
            </w:tcBorders>
            <w:noWrap/>
            <w:vAlign w:val="center"/>
          </w:tcPr>
          <w:p w14:paraId="3803520E">
            <w:pPr>
              <w:widowControl/>
              <w:snapToGrid w:val="0"/>
              <w:jc w:val="center"/>
              <w:rPr>
                <w:kern w:val="0"/>
                <w:sz w:val="21"/>
                <w:szCs w:val="21"/>
              </w:rPr>
            </w:pPr>
            <w:r>
              <w:rPr>
                <w:rFonts w:hAnsi="宋体"/>
                <w:kern w:val="0"/>
                <w:sz w:val="21"/>
                <w:szCs w:val="21"/>
              </w:rPr>
              <w:t>氟化物</w:t>
            </w:r>
          </w:p>
        </w:tc>
        <w:tc>
          <w:tcPr>
            <w:tcW w:w="301" w:type="pct"/>
            <w:tcBorders>
              <w:tl2br w:val="nil"/>
              <w:tr2bl w:val="nil"/>
            </w:tcBorders>
            <w:noWrap/>
            <w:vAlign w:val="center"/>
          </w:tcPr>
          <w:p w14:paraId="242646EB">
            <w:pPr>
              <w:snapToGrid w:val="0"/>
              <w:jc w:val="center"/>
              <w:rPr>
                <w:sz w:val="21"/>
                <w:szCs w:val="21"/>
              </w:rPr>
            </w:pPr>
            <w:r>
              <w:rPr>
                <w:sz w:val="21"/>
                <w:szCs w:val="21"/>
              </w:rPr>
              <w:t>0.0049</w:t>
            </w:r>
          </w:p>
        </w:tc>
        <w:tc>
          <w:tcPr>
            <w:tcW w:w="351" w:type="pct"/>
            <w:tcBorders>
              <w:tl2br w:val="nil"/>
              <w:tr2bl w:val="nil"/>
            </w:tcBorders>
            <w:noWrap/>
            <w:vAlign w:val="center"/>
          </w:tcPr>
          <w:p w14:paraId="4E242EA6">
            <w:pPr>
              <w:snapToGrid w:val="0"/>
              <w:jc w:val="center"/>
              <w:rPr>
                <w:sz w:val="21"/>
                <w:szCs w:val="21"/>
              </w:rPr>
            </w:pPr>
            <w:r>
              <w:rPr>
                <w:sz w:val="21"/>
                <w:szCs w:val="21"/>
              </w:rPr>
              <w:t>0.0001</w:t>
            </w:r>
          </w:p>
        </w:tc>
        <w:tc>
          <w:tcPr>
            <w:tcW w:w="359" w:type="pct"/>
            <w:tcBorders>
              <w:tl2br w:val="nil"/>
              <w:tr2bl w:val="nil"/>
            </w:tcBorders>
            <w:noWrap/>
            <w:vAlign w:val="center"/>
          </w:tcPr>
          <w:p w14:paraId="578AD459">
            <w:pPr>
              <w:snapToGrid w:val="0"/>
              <w:jc w:val="center"/>
              <w:rPr>
                <w:sz w:val="21"/>
                <w:szCs w:val="21"/>
              </w:rPr>
            </w:pPr>
            <w:r>
              <w:rPr>
                <w:sz w:val="21"/>
                <w:szCs w:val="21"/>
              </w:rPr>
              <w:t>0.0007</w:t>
            </w:r>
          </w:p>
        </w:tc>
        <w:tc>
          <w:tcPr>
            <w:tcW w:w="200" w:type="pct"/>
            <w:vMerge w:val="continue"/>
            <w:tcBorders>
              <w:tl2br w:val="nil"/>
              <w:tr2bl w:val="nil"/>
            </w:tcBorders>
            <w:noWrap/>
            <w:vAlign w:val="center"/>
          </w:tcPr>
          <w:p w14:paraId="0FAF8610">
            <w:pPr>
              <w:widowControl/>
              <w:snapToGrid w:val="0"/>
              <w:jc w:val="center"/>
              <w:rPr>
                <w:kern w:val="0"/>
                <w:sz w:val="21"/>
                <w:szCs w:val="21"/>
              </w:rPr>
            </w:pPr>
          </w:p>
        </w:tc>
        <w:tc>
          <w:tcPr>
            <w:tcW w:w="205" w:type="pct"/>
            <w:vMerge w:val="continue"/>
            <w:tcBorders>
              <w:tl2br w:val="nil"/>
              <w:tr2bl w:val="nil"/>
            </w:tcBorders>
            <w:noWrap/>
            <w:vAlign w:val="center"/>
          </w:tcPr>
          <w:p w14:paraId="2A10E184">
            <w:pPr>
              <w:widowControl/>
              <w:snapToGrid w:val="0"/>
              <w:jc w:val="center"/>
              <w:rPr>
                <w:kern w:val="0"/>
                <w:sz w:val="21"/>
                <w:szCs w:val="21"/>
              </w:rPr>
            </w:pPr>
          </w:p>
        </w:tc>
        <w:tc>
          <w:tcPr>
            <w:tcW w:w="259" w:type="pct"/>
            <w:vMerge w:val="continue"/>
            <w:tcBorders>
              <w:tl2br w:val="nil"/>
              <w:tr2bl w:val="nil"/>
            </w:tcBorders>
            <w:noWrap/>
            <w:vAlign w:val="center"/>
          </w:tcPr>
          <w:p w14:paraId="003BB351">
            <w:pPr>
              <w:widowControl/>
              <w:snapToGrid w:val="0"/>
              <w:jc w:val="center"/>
              <w:rPr>
                <w:kern w:val="0"/>
                <w:sz w:val="21"/>
                <w:szCs w:val="21"/>
              </w:rPr>
            </w:pPr>
          </w:p>
        </w:tc>
        <w:tc>
          <w:tcPr>
            <w:tcW w:w="309" w:type="pct"/>
            <w:vMerge w:val="continue"/>
            <w:tcBorders>
              <w:tl2br w:val="nil"/>
              <w:tr2bl w:val="nil"/>
            </w:tcBorders>
            <w:noWrap/>
            <w:vAlign w:val="center"/>
          </w:tcPr>
          <w:p w14:paraId="13FDEC86">
            <w:pPr>
              <w:widowControl/>
              <w:snapToGrid w:val="0"/>
              <w:jc w:val="center"/>
              <w:rPr>
                <w:kern w:val="0"/>
                <w:sz w:val="21"/>
                <w:szCs w:val="21"/>
              </w:rPr>
            </w:pPr>
          </w:p>
        </w:tc>
        <w:tc>
          <w:tcPr>
            <w:tcW w:w="357" w:type="pct"/>
            <w:vMerge w:val="continue"/>
            <w:tcBorders>
              <w:tl2br w:val="nil"/>
              <w:tr2bl w:val="nil"/>
            </w:tcBorders>
            <w:noWrap/>
            <w:vAlign w:val="center"/>
          </w:tcPr>
          <w:p w14:paraId="42EA22B7">
            <w:pPr>
              <w:widowControl/>
              <w:snapToGrid w:val="0"/>
              <w:jc w:val="center"/>
              <w:rPr>
                <w:kern w:val="0"/>
                <w:sz w:val="21"/>
                <w:szCs w:val="21"/>
              </w:rPr>
            </w:pPr>
          </w:p>
        </w:tc>
        <w:tc>
          <w:tcPr>
            <w:tcW w:w="414" w:type="pct"/>
            <w:vMerge w:val="continue"/>
            <w:tcBorders>
              <w:tl2br w:val="nil"/>
              <w:tr2bl w:val="nil"/>
            </w:tcBorders>
            <w:noWrap/>
            <w:vAlign w:val="center"/>
          </w:tcPr>
          <w:p w14:paraId="3E6FA923">
            <w:pPr>
              <w:widowControl/>
              <w:snapToGrid w:val="0"/>
              <w:jc w:val="center"/>
              <w:rPr>
                <w:kern w:val="0"/>
                <w:sz w:val="21"/>
                <w:szCs w:val="21"/>
              </w:rPr>
            </w:pPr>
          </w:p>
        </w:tc>
        <w:tc>
          <w:tcPr>
            <w:tcW w:w="208" w:type="pct"/>
            <w:vMerge w:val="continue"/>
            <w:tcBorders>
              <w:tl2br w:val="nil"/>
              <w:tr2bl w:val="nil"/>
            </w:tcBorders>
            <w:noWrap/>
            <w:vAlign w:val="center"/>
          </w:tcPr>
          <w:p w14:paraId="1BDCF3E2">
            <w:pPr>
              <w:widowControl/>
              <w:snapToGrid w:val="0"/>
              <w:jc w:val="center"/>
              <w:rPr>
                <w:kern w:val="0"/>
                <w:sz w:val="21"/>
                <w:szCs w:val="21"/>
              </w:rPr>
            </w:pPr>
          </w:p>
        </w:tc>
        <w:tc>
          <w:tcPr>
            <w:tcW w:w="256" w:type="pct"/>
            <w:vMerge w:val="continue"/>
            <w:tcBorders>
              <w:tl2br w:val="nil"/>
              <w:tr2bl w:val="nil"/>
            </w:tcBorders>
            <w:noWrap/>
            <w:vAlign w:val="center"/>
          </w:tcPr>
          <w:p w14:paraId="7C09C63A">
            <w:pPr>
              <w:widowControl/>
              <w:snapToGrid w:val="0"/>
              <w:jc w:val="center"/>
              <w:rPr>
                <w:kern w:val="0"/>
                <w:sz w:val="21"/>
                <w:szCs w:val="21"/>
              </w:rPr>
            </w:pPr>
          </w:p>
        </w:tc>
        <w:tc>
          <w:tcPr>
            <w:tcW w:w="182" w:type="pct"/>
            <w:vMerge w:val="continue"/>
            <w:tcBorders>
              <w:tl2br w:val="nil"/>
              <w:tr2bl w:val="nil"/>
            </w:tcBorders>
            <w:noWrap/>
            <w:vAlign w:val="center"/>
          </w:tcPr>
          <w:p w14:paraId="4941511D">
            <w:pPr>
              <w:widowControl/>
              <w:snapToGrid w:val="0"/>
              <w:jc w:val="left"/>
              <w:rPr>
                <w:kern w:val="0"/>
                <w:sz w:val="21"/>
                <w:szCs w:val="21"/>
              </w:rPr>
            </w:pPr>
          </w:p>
        </w:tc>
        <w:tc>
          <w:tcPr>
            <w:tcW w:w="178" w:type="pct"/>
            <w:vMerge w:val="continue"/>
            <w:tcBorders>
              <w:tl2br w:val="nil"/>
              <w:tr2bl w:val="nil"/>
            </w:tcBorders>
            <w:noWrap/>
            <w:vAlign w:val="center"/>
          </w:tcPr>
          <w:p w14:paraId="0811E029">
            <w:pPr>
              <w:widowControl/>
              <w:snapToGrid w:val="0"/>
              <w:jc w:val="left"/>
              <w:rPr>
                <w:kern w:val="0"/>
                <w:sz w:val="21"/>
                <w:szCs w:val="21"/>
              </w:rPr>
            </w:pPr>
          </w:p>
        </w:tc>
        <w:tc>
          <w:tcPr>
            <w:tcW w:w="155" w:type="pct"/>
            <w:vMerge w:val="continue"/>
            <w:tcBorders>
              <w:tl2br w:val="nil"/>
              <w:tr2bl w:val="nil"/>
            </w:tcBorders>
            <w:noWrap/>
            <w:vAlign w:val="center"/>
          </w:tcPr>
          <w:p w14:paraId="010FAD98">
            <w:pPr>
              <w:widowControl/>
              <w:snapToGrid w:val="0"/>
              <w:jc w:val="left"/>
              <w:rPr>
                <w:kern w:val="0"/>
                <w:sz w:val="21"/>
                <w:szCs w:val="21"/>
              </w:rPr>
            </w:pPr>
          </w:p>
        </w:tc>
        <w:tc>
          <w:tcPr>
            <w:tcW w:w="301" w:type="pct"/>
            <w:vMerge w:val="continue"/>
            <w:tcBorders>
              <w:tl2br w:val="nil"/>
              <w:tr2bl w:val="nil"/>
            </w:tcBorders>
            <w:noWrap/>
            <w:vAlign w:val="center"/>
          </w:tcPr>
          <w:p w14:paraId="4B737F09">
            <w:pPr>
              <w:widowControl/>
              <w:snapToGrid w:val="0"/>
              <w:jc w:val="left"/>
              <w:rPr>
                <w:kern w:val="0"/>
                <w:sz w:val="21"/>
                <w:szCs w:val="21"/>
              </w:rPr>
            </w:pPr>
          </w:p>
        </w:tc>
      </w:tr>
      <w:tr w14:paraId="3E9ECA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450B28E1">
            <w:pPr>
              <w:widowControl/>
              <w:snapToGrid w:val="0"/>
              <w:jc w:val="center"/>
              <w:rPr>
                <w:kern w:val="0"/>
                <w:sz w:val="21"/>
                <w:szCs w:val="21"/>
              </w:rPr>
            </w:pPr>
          </w:p>
        </w:tc>
        <w:tc>
          <w:tcPr>
            <w:tcW w:w="273" w:type="pct"/>
            <w:vMerge w:val="continue"/>
            <w:tcBorders>
              <w:tl2br w:val="nil"/>
              <w:tr2bl w:val="nil"/>
            </w:tcBorders>
            <w:noWrap/>
            <w:vAlign w:val="center"/>
          </w:tcPr>
          <w:p w14:paraId="43859578">
            <w:pPr>
              <w:widowControl/>
              <w:snapToGrid w:val="0"/>
              <w:jc w:val="left"/>
              <w:rPr>
                <w:kern w:val="0"/>
                <w:sz w:val="21"/>
                <w:szCs w:val="21"/>
              </w:rPr>
            </w:pPr>
          </w:p>
        </w:tc>
        <w:tc>
          <w:tcPr>
            <w:tcW w:w="237" w:type="pct"/>
            <w:vMerge w:val="continue"/>
            <w:tcBorders>
              <w:tl2br w:val="nil"/>
              <w:tr2bl w:val="nil"/>
            </w:tcBorders>
            <w:noWrap/>
            <w:vAlign w:val="center"/>
          </w:tcPr>
          <w:p w14:paraId="5D68AE7F">
            <w:pPr>
              <w:widowControl/>
              <w:snapToGrid w:val="0"/>
              <w:jc w:val="left"/>
              <w:rPr>
                <w:kern w:val="0"/>
                <w:sz w:val="21"/>
                <w:szCs w:val="21"/>
              </w:rPr>
            </w:pPr>
          </w:p>
        </w:tc>
        <w:tc>
          <w:tcPr>
            <w:tcW w:w="250" w:type="pct"/>
            <w:tcBorders>
              <w:tl2br w:val="nil"/>
              <w:tr2bl w:val="nil"/>
            </w:tcBorders>
            <w:noWrap/>
            <w:vAlign w:val="center"/>
          </w:tcPr>
          <w:p w14:paraId="704E7033">
            <w:pPr>
              <w:widowControl/>
              <w:snapToGrid w:val="0"/>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1" w:type="pct"/>
            <w:tcBorders>
              <w:tl2br w:val="nil"/>
              <w:tr2bl w:val="nil"/>
            </w:tcBorders>
            <w:noWrap/>
            <w:vAlign w:val="center"/>
          </w:tcPr>
          <w:p w14:paraId="6C9E9369">
            <w:pPr>
              <w:snapToGrid w:val="0"/>
              <w:jc w:val="center"/>
              <w:rPr>
                <w:sz w:val="21"/>
                <w:szCs w:val="21"/>
              </w:rPr>
            </w:pPr>
            <w:r>
              <w:rPr>
                <w:sz w:val="21"/>
                <w:szCs w:val="21"/>
              </w:rPr>
              <w:t>0.35</w:t>
            </w:r>
          </w:p>
        </w:tc>
        <w:tc>
          <w:tcPr>
            <w:tcW w:w="351" w:type="pct"/>
            <w:tcBorders>
              <w:tl2br w:val="nil"/>
              <w:tr2bl w:val="nil"/>
            </w:tcBorders>
            <w:noWrap/>
            <w:vAlign w:val="center"/>
          </w:tcPr>
          <w:p w14:paraId="39F34CF7">
            <w:pPr>
              <w:snapToGrid w:val="0"/>
              <w:jc w:val="center"/>
              <w:rPr>
                <w:sz w:val="21"/>
                <w:szCs w:val="21"/>
              </w:rPr>
            </w:pPr>
            <w:r>
              <w:rPr>
                <w:sz w:val="21"/>
                <w:szCs w:val="21"/>
              </w:rPr>
              <w:t>0.007</w:t>
            </w:r>
          </w:p>
        </w:tc>
        <w:tc>
          <w:tcPr>
            <w:tcW w:w="359" w:type="pct"/>
            <w:tcBorders>
              <w:tl2br w:val="nil"/>
              <w:tr2bl w:val="nil"/>
            </w:tcBorders>
            <w:noWrap/>
            <w:vAlign w:val="center"/>
          </w:tcPr>
          <w:p w14:paraId="0899E80F">
            <w:pPr>
              <w:snapToGrid w:val="0"/>
              <w:jc w:val="center"/>
              <w:rPr>
                <w:sz w:val="21"/>
                <w:szCs w:val="21"/>
              </w:rPr>
            </w:pPr>
            <w:r>
              <w:rPr>
                <w:sz w:val="21"/>
                <w:szCs w:val="21"/>
              </w:rPr>
              <w:t>0.051</w:t>
            </w:r>
          </w:p>
        </w:tc>
        <w:tc>
          <w:tcPr>
            <w:tcW w:w="200" w:type="pct"/>
            <w:vMerge w:val="continue"/>
            <w:tcBorders>
              <w:tl2br w:val="nil"/>
              <w:tr2bl w:val="nil"/>
            </w:tcBorders>
            <w:noWrap/>
            <w:vAlign w:val="center"/>
          </w:tcPr>
          <w:p w14:paraId="712F1008">
            <w:pPr>
              <w:widowControl/>
              <w:snapToGrid w:val="0"/>
              <w:jc w:val="center"/>
              <w:rPr>
                <w:kern w:val="0"/>
                <w:sz w:val="21"/>
                <w:szCs w:val="21"/>
              </w:rPr>
            </w:pPr>
          </w:p>
        </w:tc>
        <w:tc>
          <w:tcPr>
            <w:tcW w:w="205" w:type="pct"/>
            <w:vMerge w:val="restart"/>
            <w:tcBorders>
              <w:tl2br w:val="nil"/>
              <w:tr2bl w:val="nil"/>
            </w:tcBorders>
            <w:shd w:val="clear" w:color="auto" w:fill="auto"/>
            <w:noWrap/>
            <w:vAlign w:val="center"/>
          </w:tcPr>
          <w:p w14:paraId="0A2DFA4E">
            <w:pPr>
              <w:widowControl/>
              <w:snapToGrid w:val="0"/>
              <w:jc w:val="center"/>
              <w:rPr>
                <w:kern w:val="0"/>
                <w:sz w:val="21"/>
                <w:szCs w:val="21"/>
              </w:rPr>
            </w:pPr>
            <w:r>
              <w:rPr>
                <w:kern w:val="0"/>
                <w:sz w:val="21"/>
                <w:szCs w:val="21"/>
              </w:rPr>
              <w:t>90</w:t>
            </w:r>
          </w:p>
        </w:tc>
        <w:tc>
          <w:tcPr>
            <w:tcW w:w="259" w:type="pct"/>
            <w:vMerge w:val="restart"/>
            <w:tcBorders>
              <w:tl2br w:val="nil"/>
              <w:tr2bl w:val="nil"/>
            </w:tcBorders>
            <w:shd w:val="clear" w:color="auto" w:fill="auto"/>
            <w:noWrap/>
            <w:vAlign w:val="center"/>
          </w:tcPr>
          <w:p w14:paraId="0F7EB312">
            <w:pPr>
              <w:widowControl/>
              <w:snapToGrid w:val="0"/>
              <w:jc w:val="center"/>
              <w:rPr>
                <w:kern w:val="0"/>
                <w:sz w:val="21"/>
                <w:szCs w:val="21"/>
              </w:rPr>
            </w:pPr>
            <w:r>
              <w:rPr>
                <w:rFonts w:hAnsi="宋体"/>
                <w:kern w:val="0"/>
                <w:sz w:val="21"/>
                <w:szCs w:val="21"/>
              </w:rPr>
              <w:t>非甲烷总烃</w:t>
            </w:r>
          </w:p>
        </w:tc>
        <w:tc>
          <w:tcPr>
            <w:tcW w:w="309" w:type="pct"/>
            <w:vMerge w:val="restart"/>
            <w:tcBorders>
              <w:tl2br w:val="nil"/>
              <w:tr2bl w:val="nil"/>
            </w:tcBorders>
            <w:noWrap/>
            <w:vAlign w:val="center"/>
          </w:tcPr>
          <w:p w14:paraId="5617F881">
            <w:pPr>
              <w:snapToGrid w:val="0"/>
              <w:jc w:val="center"/>
              <w:rPr>
                <w:sz w:val="21"/>
                <w:szCs w:val="21"/>
              </w:rPr>
            </w:pPr>
            <w:r>
              <w:rPr>
                <w:sz w:val="21"/>
                <w:szCs w:val="21"/>
              </w:rPr>
              <w:t>0.12</w:t>
            </w:r>
          </w:p>
        </w:tc>
        <w:tc>
          <w:tcPr>
            <w:tcW w:w="357" w:type="pct"/>
            <w:vMerge w:val="restart"/>
            <w:tcBorders>
              <w:tl2br w:val="nil"/>
              <w:tr2bl w:val="nil"/>
            </w:tcBorders>
            <w:noWrap/>
            <w:vAlign w:val="center"/>
          </w:tcPr>
          <w:p w14:paraId="0FE1FADE">
            <w:pPr>
              <w:snapToGrid w:val="0"/>
              <w:jc w:val="center"/>
              <w:rPr>
                <w:sz w:val="21"/>
                <w:szCs w:val="21"/>
              </w:rPr>
            </w:pPr>
            <w:r>
              <w:rPr>
                <w:sz w:val="21"/>
                <w:szCs w:val="21"/>
              </w:rPr>
              <w:t>0.008</w:t>
            </w:r>
          </w:p>
        </w:tc>
        <w:tc>
          <w:tcPr>
            <w:tcW w:w="414" w:type="pct"/>
            <w:vMerge w:val="restart"/>
            <w:tcBorders>
              <w:tl2br w:val="nil"/>
              <w:tr2bl w:val="nil"/>
            </w:tcBorders>
            <w:noWrap/>
            <w:vAlign w:val="center"/>
          </w:tcPr>
          <w:p w14:paraId="729C3FBA">
            <w:pPr>
              <w:snapToGrid w:val="0"/>
              <w:jc w:val="center"/>
              <w:rPr>
                <w:sz w:val="21"/>
                <w:szCs w:val="21"/>
              </w:rPr>
            </w:pPr>
            <w:r>
              <w:rPr>
                <w:sz w:val="21"/>
                <w:szCs w:val="21"/>
              </w:rPr>
              <w:t>0.0545</w:t>
            </w:r>
          </w:p>
        </w:tc>
        <w:tc>
          <w:tcPr>
            <w:tcW w:w="208" w:type="pct"/>
            <w:vMerge w:val="restart"/>
            <w:tcBorders>
              <w:tl2br w:val="nil"/>
              <w:tr2bl w:val="nil"/>
            </w:tcBorders>
            <w:noWrap/>
            <w:vAlign w:val="center"/>
          </w:tcPr>
          <w:p w14:paraId="53334150">
            <w:pPr>
              <w:widowControl/>
              <w:snapToGrid w:val="0"/>
              <w:jc w:val="center"/>
              <w:rPr>
                <w:kern w:val="0"/>
                <w:sz w:val="21"/>
                <w:szCs w:val="21"/>
              </w:rPr>
            </w:pPr>
            <w:r>
              <w:rPr>
                <w:rFonts w:hint="eastAsia"/>
                <w:kern w:val="0"/>
                <w:sz w:val="21"/>
                <w:szCs w:val="21"/>
              </w:rPr>
              <w:t>10</w:t>
            </w:r>
          </w:p>
        </w:tc>
        <w:tc>
          <w:tcPr>
            <w:tcW w:w="256" w:type="pct"/>
            <w:vMerge w:val="restart"/>
            <w:tcBorders>
              <w:tl2br w:val="nil"/>
              <w:tr2bl w:val="nil"/>
            </w:tcBorders>
            <w:noWrap/>
            <w:vAlign w:val="center"/>
          </w:tcPr>
          <w:p w14:paraId="1BC44CD0">
            <w:pPr>
              <w:widowControl/>
              <w:snapToGrid w:val="0"/>
              <w:jc w:val="center"/>
              <w:rPr>
                <w:kern w:val="0"/>
                <w:sz w:val="21"/>
                <w:szCs w:val="21"/>
              </w:rPr>
            </w:pPr>
            <w:r>
              <w:rPr>
                <w:rFonts w:hint="eastAsia"/>
                <w:kern w:val="0"/>
                <w:sz w:val="21"/>
                <w:szCs w:val="21"/>
              </w:rPr>
              <w:t>/</w:t>
            </w:r>
          </w:p>
        </w:tc>
        <w:tc>
          <w:tcPr>
            <w:tcW w:w="182" w:type="pct"/>
            <w:vMerge w:val="continue"/>
            <w:tcBorders>
              <w:tl2br w:val="nil"/>
              <w:tr2bl w:val="nil"/>
            </w:tcBorders>
            <w:noWrap/>
            <w:vAlign w:val="center"/>
          </w:tcPr>
          <w:p w14:paraId="0BC8D73D">
            <w:pPr>
              <w:widowControl/>
              <w:snapToGrid w:val="0"/>
              <w:jc w:val="left"/>
              <w:rPr>
                <w:kern w:val="0"/>
                <w:sz w:val="21"/>
                <w:szCs w:val="21"/>
              </w:rPr>
            </w:pPr>
          </w:p>
        </w:tc>
        <w:tc>
          <w:tcPr>
            <w:tcW w:w="178" w:type="pct"/>
            <w:vMerge w:val="continue"/>
            <w:tcBorders>
              <w:tl2br w:val="nil"/>
              <w:tr2bl w:val="nil"/>
            </w:tcBorders>
            <w:noWrap/>
            <w:vAlign w:val="center"/>
          </w:tcPr>
          <w:p w14:paraId="10A8EA8D">
            <w:pPr>
              <w:widowControl/>
              <w:snapToGrid w:val="0"/>
              <w:jc w:val="left"/>
              <w:rPr>
                <w:kern w:val="0"/>
                <w:sz w:val="21"/>
                <w:szCs w:val="21"/>
              </w:rPr>
            </w:pPr>
          </w:p>
        </w:tc>
        <w:tc>
          <w:tcPr>
            <w:tcW w:w="155" w:type="pct"/>
            <w:vMerge w:val="continue"/>
            <w:tcBorders>
              <w:tl2br w:val="nil"/>
              <w:tr2bl w:val="nil"/>
            </w:tcBorders>
            <w:noWrap/>
            <w:vAlign w:val="center"/>
          </w:tcPr>
          <w:p w14:paraId="37AA170F">
            <w:pPr>
              <w:widowControl/>
              <w:snapToGrid w:val="0"/>
              <w:jc w:val="left"/>
              <w:rPr>
                <w:kern w:val="0"/>
                <w:sz w:val="21"/>
                <w:szCs w:val="21"/>
              </w:rPr>
            </w:pPr>
          </w:p>
        </w:tc>
        <w:tc>
          <w:tcPr>
            <w:tcW w:w="301" w:type="pct"/>
            <w:vMerge w:val="continue"/>
            <w:tcBorders>
              <w:tl2br w:val="nil"/>
              <w:tr2bl w:val="nil"/>
            </w:tcBorders>
            <w:noWrap/>
            <w:vAlign w:val="center"/>
          </w:tcPr>
          <w:p w14:paraId="1713CD93">
            <w:pPr>
              <w:widowControl/>
              <w:snapToGrid w:val="0"/>
              <w:jc w:val="left"/>
              <w:rPr>
                <w:kern w:val="0"/>
                <w:sz w:val="21"/>
                <w:szCs w:val="21"/>
              </w:rPr>
            </w:pPr>
          </w:p>
        </w:tc>
      </w:tr>
      <w:tr w14:paraId="76680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33C47D95">
            <w:pPr>
              <w:widowControl/>
              <w:snapToGrid w:val="0"/>
              <w:jc w:val="center"/>
              <w:rPr>
                <w:kern w:val="0"/>
                <w:sz w:val="21"/>
                <w:szCs w:val="21"/>
              </w:rPr>
            </w:pPr>
          </w:p>
        </w:tc>
        <w:tc>
          <w:tcPr>
            <w:tcW w:w="273" w:type="pct"/>
            <w:vMerge w:val="continue"/>
            <w:tcBorders>
              <w:tl2br w:val="nil"/>
              <w:tr2bl w:val="nil"/>
            </w:tcBorders>
            <w:noWrap/>
            <w:vAlign w:val="center"/>
          </w:tcPr>
          <w:p w14:paraId="7B553730">
            <w:pPr>
              <w:widowControl/>
              <w:snapToGrid w:val="0"/>
              <w:jc w:val="left"/>
              <w:rPr>
                <w:kern w:val="0"/>
                <w:sz w:val="21"/>
                <w:szCs w:val="21"/>
              </w:rPr>
            </w:pPr>
          </w:p>
        </w:tc>
        <w:tc>
          <w:tcPr>
            <w:tcW w:w="237" w:type="pct"/>
            <w:vMerge w:val="continue"/>
            <w:tcBorders>
              <w:tl2br w:val="nil"/>
              <w:tr2bl w:val="nil"/>
            </w:tcBorders>
            <w:noWrap/>
            <w:vAlign w:val="center"/>
          </w:tcPr>
          <w:p w14:paraId="74D2F8B4">
            <w:pPr>
              <w:widowControl/>
              <w:snapToGrid w:val="0"/>
              <w:jc w:val="left"/>
              <w:rPr>
                <w:kern w:val="0"/>
                <w:sz w:val="21"/>
                <w:szCs w:val="21"/>
              </w:rPr>
            </w:pPr>
          </w:p>
        </w:tc>
        <w:tc>
          <w:tcPr>
            <w:tcW w:w="250" w:type="pct"/>
            <w:tcBorders>
              <w:tl2br w:val="nil"/>
              <w:tr2bl w:val="nil"/>
            </w:tcBorders>
            <w:noWrap/>
            <w:vAlign w:val="center"/>
          </w:tcPr>
          <w:p w14:paraId="1159184F">
            <w:pPr>
              <w:widowControl/>
              <w:snapToGrid w:val="0"/>
              <w:jc w:val="center"/>
              <w:rPr>
                <w:kern w:val="0"/>
                <w:sz w:val="21"/>
                <w:szCs w:val="21"/>
              </w:rPr>
            </w:pPr>
            <w:r>
              <w:rPr>
                <w:rFonts w:hAnsi="宋体"/>
                <w:kern w:val="0"/>
                <w:sz w:val="21"/>
                <w:szCs w:val="21"/>
              </w:rPr>
              <w:t>非甲烷总烃</w:t>
            </w:r>
          </w:p>
        </w:tc>
        <w:tc>
          <w:tcPr>
            <w:tcW w:w="301" w:type="pct"/>
            <w:tcBorders>
              <w:tl2br w:val="nil"/>
              <w:tr2bl w:val="nil"/>
            </w:tcBorders>
            <w:noWrap/>
            <w:vAlign w:val="center"/>
          </w:tcPr>
          <w:p w14:paraId="33182AEF">
            <w:pPr>
              <w:snapToGrid w:val="0"/>
              <w:jc w:val="center"/>
              <w:rPr>
                <w:sz w:val="21"/>
                <w:szCs w:val="21"/>
              </w:rPr>
            </w:pPr>
            <w:r>
              <w:rPr>
                <w:sz w:val="21"/>
                <w:szCs w:val="21"/>
              </w:rPr>
              <w:t>1.11</w:t>
            </w:r>
          </w:p>
        </w:tc>
        <w:tc>
          <w:tcPr>
            <w:tcW w:w="351" w:type="pct"/>
            <w:tcBorders>
              <w:tl2br w:val="nil"/>
              <w:tr2bl w:val="nil"/>
            </w:tcBorders>
            <w:noWrap/>
            <w:vAlign w:val="center"/>
          </w:tcPr>
          <w:p w14:paraId="4EA63A3A">
            <w:pPr>
              <w:snapToGrid w:val="0"/>
              <w:jc w:val="center"/>
              <w:rPr>
                <w:sz w:val="21"/>
                <w:szCs w:val="21"/>
              </w:rPr>
            </w:pPr>
            <w:r>
              <w:rPr>
                <w:sz w:val="21"/>
                <w:szCs w:val="21"/>
              </w:rPr>
              <w:t>0.022</w:t>
            </w:r>
          </w:p>
        </w:tc>
        <w:tc>
          <w:tcPr>
            <w:tcW w:w="359" w:type="pct"/>
            <w:tcBorders>
              <w:tl2br w:val="nil"/>
              <w:tr2bl w:val="nil"/>
            </w:tcBorders>
            <w:noWrap/>
            <w:vAlign w:val="center"/>
          </w:tcPr>
          <w:p w14:paraId="4CD8DF69">
            <w:pPr>
              <w:snapToGrid w:val="0"/>
              <w:jc w:val="center"/>
              <w:rPr>
                <w:sz w:val="21"/>
                <w:szCs w:val="21"/>
              </w:rPr>
            </w:pPr>
            <w:r>
              <w:rPr>
                <w:sz w:val="21"/>
                <w:szCs w:val="21"/>
              </w:rPr>
              <w:t>0.16</w:t>
            </w:r>
          </w:p>
        </w:tc>
        <w:tc>
          <w:tcPr>
            <w:tcW w:w="200" w:type="pct"/>
            <w:vMerge w:val="continue"/>
            <w:tcBorders>
              <w:tl2br w:val="nil"/>
              <w:tr2bl w:val="nil"/>
            </w:tcBorders>
            <w:noWrap/>
            <w:vAlign w:val="center"/>
          </w:tcPr>
          <w:p w14:paraId="0C7C1B95">
            <w:pPr>
              <w:widowControl/>
              <w:snapToGrid w:val="0"/>
              <w:jc w:val="center"/>
              <w:rPr>
                <w:kern w:val="0"/>
                <w:sz w:val="21"/>
                <w:szCs w:val="21"/>
              </w:rPr>
            </w:pPr>
          </w:p>
        </w:tc>
        <w:tc>
          <w:tcPr>
            <w:tcW w:w="205" w:type="pct"/>
            <w:vMerge w:val="continue"/>
            <w:tcBorders>
              <w:tl2br w:val="nil"/>
              <w:tr2bl w:val="nil"/>
            </w:tcBorders>
            <w:noWrap/>
            <w:vAlign w:val="center"/>
          </w:tcPr>
          <w:p w14:paraId="2C214EF9">
            <w:pPr>
              <w:widowControl/>
              <w:snapToGrid w:val="0"/>
              <w:jc w:val="center"/>
              <w:rPr>
                <w:kern w:val="0"/>
                <w:sz w:val="21"/>
                <w:szCs w:val="21"/>
              </w:rPr>
            </w:pPr>
          </w:p>
        </w:tc>
        <w:tc>
          <w:tcPr>
            <w:tcW w:w="259" w:type="pct"/>
            <w:vMerge w:val="continue"/>
            <w:tcBorders>
              <w:tl2br w:val="nil"/>
              <w:tr2bl w:val="nil"/>
            </w:tcBorders>
            <w:noWrap/>
            <w:vAlign w:val="center"/>
          </w:tcPr>
          <w:p w14:paraId="0C98D5DA">
            <w:pPr>
              <w:widowControl/>
              <w:snapToGrid w:val="0"/>
              <w:jc w:val="center"/>
              <w:rPr>
                <w:kern w:val="0"/>
                <w:sz w:val="21"/>
                <w:szCs w:val="21"/>
              </w:rPr>
            </w:pPr>
          </w:p>
        </w:tc>
        <w:tc>
          <w:tcPr>
            <w:tcW w:w="309" w:type="pct"/>
            <w:vMerge w:val="continue"/>
            <w:tcBorders>
              <w:tl2br w:val="nil"/>
              <w:tr2bl w:val="nil"/>
            </w:tcBorders>
            <w:noWrap/>
            <w:vAlign w:val="center"/>
          </w:tcPr>
          <w:p w14:paraId="442EA531">
            <w:pPr>
              <w:widowControl/>
              <w:snapToGrid w:val="0"/>
              <w:jc w:val="center"/>
              <w:rPr>
                <w:kern w:val="0"/>
                <w:sz w:val="21"/>
                <w:szCs w:val="21"/>
              </w:rPr>
            </w:pPr>
          </w:p>
        </w:tc>
        <w:tc>
          <w:tcPr>
            <w:tcW w:w="357" w:type="pct"/>
            <w:vMerge w:val="continue"/>
            <w:tcBorders>
              <w:tl2br w:val="nil"/>
              <w:tr2bl w:val="nil"/>
            </w:tcBorders>
            <w:noWrap/>
            <w:vAlign w:val="center"/>
          </w:tcPr>
          <w:p w14:paraId="28B939C1">
            <w:pPr>
              <w:widowControl/>
              <w:snapToGrid w:val="0"/>
              <w:jc w:val="center"/>
              <w:rPr>
                <w:kern w:val="0"/>
                <w:sz w:val="21"/>
                <w:szCs w:val="21"/>
              </w:rPr>
            </w:pPr>
          </w:p>
        </w:tc>
        <w:tc>
          <w:tcPr>
            <w:tcW w:w="414" w:type="pct"/>
            <w:vMerge w:val="continue"/>
            <w:tcBorders>
              <w:tl2br w:val="nil"/>
              <w:tr2bl w:val="nil"/>
            </w:tcBorders>
            <w:noWrap/>
            <w:vAlign w:val="center"/>
          </w:tcPr>
          <w:p w14:paraId="69D73383">
            <w:pPr>
              <w:widowControl/>
              <w:snapToGrid w:val="0"/>
              <w:jc w:val="center"/>
              <w:rPr>
                <w:kern w:val="0"/>
                <w:sz w:val="21"/>
                <w:szCs w:val="21"/>
              </w:rPr>
            </w:pPr>
          </w:p>
        </w:tc>
        <w:tc>
          <w:tcPr>
            <w:tcW w:w="208" w:type="pct"/>
            <w:vMerge w:val="continue"/>
            <w:tcBorders>
              <w:tl2br w:val="nil"/>
              <w:tr2bl w:val="nil"/>
            </w:tcBorders>
            <w:noWrap/>
            <w:vAlign w:val="center"/>
          </w:tcPr>
          <w:p w14:paraId="58E6167B">
            <w:pPr>
              <w:widowControl/>
              <w:snapToGrid w:val="0"/>
              <w:jc w:val="left"/>
              <w:rPr>
                <w:kern w:val="0"/>
                <w:sz w:val="21"/>
                <w:szCs w:val="21"/>
              </w:rPr>
            </w:pPr>
          </w:p>
        </w:tc>
        <w:tc>
          <w:tcPr>
            <w:tcW w:w="256" w:type="pct"/>
            <w:vMerge w:val="continue"/>
            <w:tcBorders>
              <w:tl2br w:val="nil"/>
              <w:tr2bl w:val="nil"/>
            </w:tcBorders>
            <w:noWrap/>
            <w:vAlign w:val="center"/>
          </w:tcPr>
          <w:p w14:paraId="1F7840E4">
            <w:pPr>
              <w:widowControl/>
              <w:snapToGrid w:val="0"/>
              <w:jc w:val="left"/>
              <w:rPr>
                <w:kern w:val="0"/>
                <w:sz w:val="21"/>
                <w:szCs w:val="21"/>
              </w:rPr>
            </w:pPr>
          </w:p>
        </w:tc>
        <w:tc>
          <w:tcPr>
            <w:tcW w:w="182" w:type="pct"/>
            <w:vMerge w:val="continue"/>
            <w:tcBorders>
              <w:tl2br w:val="nil"/>
              <w:tr2bl w:val="nil"/>
            </w:tcBorders>
            <w:noWrap/>
            <w:vAlign w:val="center"/>
          </w:tcPr>
          <w:p w14:paraId="220D1B5A">
            <w:pPr>
              <w:widowControl/>
              <w:snapToGrid w:val="0"/>
              <w:jc w:val="left"/>
              <w:rPr>
                <w:kern w:val="0"/>
                <w:sz w:val="21"/>
                <w:szCs w:val="21"/>
              </w:rPr>
            </w:pPr>
          </w:p>
        </w:tc>
        <w:tc>
          <w:tcPr>
            <w:tcW w:w="178" w:type="pct"/>
            <w:vMerge w:val="continue"/>
            <w:tcBorders>
              <w:tl2br w:val="nil"/>
              <w:tr2bl w:val="nil"/>
            </w:tcBorders>
            <w:noWrap/>
            <w:vAlign w:val="center"/>
          </w:tcPr>
          <w:p w14:paraId="15D52316">
            <w:pPr>
              <w:widowControl/>
              <w:snapToGrid w:val="0"/>
              <w:jc w:val="left"/>
              <w:rPr>
                <w:kern w:val="0"/>
                <w:sz w:val="21"/>
                <w:szCs w:val="21"/>
              </w:rPr>
            </w:pPr>
          </w:p>
        </w:tc>
        <w:tc>
          <w:tcPr>
            <w:tcW w:w="155" w:type="pct"/>
            <w:vMerge w:val="continue"/>
            <w:tcBorders>
              <w:tl2br w:val="nil"/>
              <w:tr2bl w:val="nil"/>
            </w:tcBorders>
            <w:noWrap/>
            <w:vAlign w:val="center"/>
          </w:tcPr>
          <w:p w14:paraId="558D6842">
            <w:pPr>
              <w:widowControl/>
              <w:snapToGrid w:val="0"/>
              <w:jc w:val="left"/>
              <w:rPr>
                <w:kern w:val="0"/>
                <w:sz w:val="21"/>
                <w:szCs w:val="21"/>
              </w:rPr>
            </w:pPr>
          </w:p>
        </w:tc>
        <w:tc>
          <w:tcPr>
            <w:tcW w:w="301" w:type="pct"/>
            <w:vMerge w:val="continue"/>
            <w:tcBorders>
              <w:tl2br w:val="nil"/>
              <w:tr2bl w:val="nil"/>
            </w:tcBorders>
            <w:noWrap/>
            <w:vAlign w:val="center"/>
          </w:tcPr>
          <w:p w14:paraId="28EB45B6">
            <w:pPr>
              <w:widowControl/>
              <w:snapToGrid w:val="0"/>
              <w:jc w:val="left"/>
              <w:rPr>
                <w:kern w:val="0"/>
                <w:sz w:val="21"/>
                <w:szCs w:val="21"/>
              </w:rPr>
            </w:pPr>
          </w:p>
        </w:tc>
      </w:tr>
      <w:tr w14:paraId="7A1B2A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restart"/>
            <w:tcBorders>
              <w:tl2br w:val="nil"/>
              <w:tr2bl w:val="nil"/>
            </w:tcBorders>
            <w:noWrap/>
            <w:vAlign w:val="center"/>
          </w:tcPr>
          <w:p w14:paraId="03C7691D">
            <w:pPr>
              <w:widowControl/>
              <w:snapToGrid w:val="0"/>
              <w:jc w:val="center"/>
              <w:rPr>
                <w:kern w:val="0"/>
                <w:sz w:val="21"/>
                <w:szCs w:val="21"/>
              </w:rPr>
            </w:pPr>
            <w:r>
              <w:rPr>
                <w:rFonts w:hint="eastAsia"/>
                <w:kern w:val="0"/>
                <w:sz w:val="21"/>
                <w:szCs w:val="21"/>
              </w:rPr>
              <w:t>3#</w:t>
            </w:r>
          </w:p>
        </w:tc>
        <w:tc>
          <w:tcPr>
            <w:tcW w:w="273" w:type="pct"/>
            <w:vMerge w:val="restart"/>
            <w:tcBorders>
              <w:tl2br w:val="nil"/>
              <w:tr2bl w:val="nil"/>
            </w:tcBorders>
            <w:noWrap/>
            <w:vAlign w:val="center"/>
          </w:tcPr>
          <w:p w14:paraId="419F0E09">
            <w:pPr>
              <w:widowControl/>
              <w:snapToGrid w:val="0"/>
              <w:jc w:val="left"/>
              <w:rPr>
                <w:kern w:val="0"/>
                <w:sz w:val="21"/>
                <w:szCs w:val="21"/>
              </w:rPr>
            </w:pPr>
            <w:r>
              <w:rPr>
                <w:rFonts w:hint="eastAsia"/>
                <w:kern w:val="0"/>
                <w:sz w:val="21"/>
                <w:szCs w:val="21"/>
              </w:rPr>
              <w:t>63000</w:t>
            </w:r>
          </w:p>
        </w:tc>
        <w:tc>
          <w:tcPr>
            <w:tcW w:w="237" w:type="pct"/>
            <w:vMerge w:val="restart"/>
            <w:tcBorders>
              <w:tl2br w:val="nil"/>
              <w:tr2bl w:val="nil"/>
            </w:tcBorders>
            <w:noWrap/>
            <w:vAlign w:val="center"/>
          </w:tcPr>
          <w:p w14:paraId="7195B91B">
            <w:pPr>
              <w:widowControl/>
              <w:snapToGrid w:val="0"/>
              <w:jc w:val="center"/>
              <w:rPr>
                <w:kern w:val="0"/>
                <w:sz w:val="21"/>
                <w:szCs w:val="21"/>
              </w:rPr>
            </w:pPr>
            <w:r>
              <w:rPr>
                <w:rFonts w:hAnsi="宋体"/>
                <w:kern w:val="0"/>
                <w:sz w:val="21"/>
                <w:szCs w:val="21"/>
              </w:rPr>
              <w:t>一次硫化</w:t>
            </w:r>
          </w:p>
        </w:tc>
        <w:tc>
          <w:tcPr>
            <w:tcW w:w="250" w:type="pct"/>
            <w:tcBorders>
              <w:tl2br w:val="nil"/>
              <w:tr2bl w:val="nil"/>
            </w:tcBorders>
            <w:noWrap/>
            <w:vAlign w:val="center"/>
          </w:tcPr>
          <w:p w14:paraId="6014256F">
            <w:pPr>
              <w:widowControl/>
              <w:snapToGrid w:val="0"/>
              <w:jc w:val="center"/>
              <w:rPr>
                <w:rFonts w:hAnsi="宋体"/>
                <w:kern w:val="0"/>
                <w:sz w:val="21"/>
                <w:szCs w:val="21"/>
              </w:rPr>
            </w:pPr>
            <w:r>
              <w:rPr>
                <w:rFonts w:hAnsi="宋体"/>
                <w:kern w:val="0"/>
                <w:sz w:val="21"/>
                <w:szCs w:val="21"/>
              </w:rPr>
              <w:t>氟化物</w:t>
            </w:r>
          </w:p>
        </w:tc>
        <w:tc>
          <w:tcPr>
            <w:tcW w:w="301" w:type="pct"/>
            <w:tcBorders>
              <w:tl2br w:val="nil"/>
              <w:tr2bl w:val="nil"/>
            </w:tcBorders>
            <w:noWrap/>
            <w:vAlign w:val="center"/>
          </w:tcPr>
          <w:p w14:paraId="6D0738E7">
            <w:pPr>
              <w:snapToGrid w:val="0"/>
              <w:jc w:val="center"/>
              <w:rPr>
                <w:sz w:val="21"/>
                <w:szCs w:val="21"/>
              </w:rPr>
            </w:pPr>
            <w:r>
              <w:rPr>
                <w:sz w:val="21"/>
                <w:szCs w:val="21"/>
              </w:rPr>
              <w:t>0.0004</w:t>
            </w:r>
          </w:p>
        </w:tc>
        <w:tc>
          <w:tcPr>
            <w:tcW w:w="351" w:type="pct"/>
            <w:tcBorders>
              <w:tl2br w:val="nil"/>
              <w:tr2bl w:val="nil"/>
            </w:tcBorders>
            <w:noWrap/>
            <w:vAlign w:val="center"/>
          </w:tcPr>
          <w:p w14:paraId="2D91807A">
            <w:pPr>
              <w:snapToGrid w:val="0"/>
              <w:jc w:val="center"/>
              <w:rPr>
                <w:sz w:val="21"/>
                <w:szCs w:val="21"/>
              </w:rPr>
            </w:pPr>
            <w:r>
              <w:rPr>
                <w:sz w:val="21"/>
                <w:szCs w:val="21"/>
              </w:rPr>
              <w:t>0.00001</w:t>
            </w:r>
          </w:p>
        </w:tc>
        <w:tc>
          <w:tcPr>
            <w:tcW w:w="359" w:type="pct"/>
            <w:tcBorders>
              <w:tl2br w:val="nil"/>
              <w:tr2bl w:val="nil"/>
            </w:tcBorders>
            <w:noWrap/>
            <w:vAlign w:val="center"/>
          </w:tcPr>
          <w:p w14:paraId="7B717247">
            <w:pPr>
              <w:snapToGrid w:val="0"/>
              <w:jc w:val="center"/>
              <w:rPr>
                <w:sz w:val="21"/>
                <w:szCs w:val="21"/>
              </w:rPr>
            </w:pPr>
            <w:r>
              <w:rPr>
                <w:sz w:val="21"/>
                <w:szCs w:val="21"/>
              </w:rPr>
              <w:t>0.00006</w:t>
            </w:r>
          </w:p>
        </w:tc>
        <w:tc>
          <w:tcPr>
            <w:tcW w:w="200" w:type="pct"/>
            <w:vMerge w:val="restart"/>
            <w:tcBorders>
              <w:tl2br w:val="nil"/>
              <w:tr2bl w:val="nil"/>
            </w:tcBorders>
            <w:noWrap/>
            <w:vAlign w:val="center"/>
          </w:tcPr>
          <w:p w14:paraId="0CA1BEC2">
            <w:pPr>
              <w:widowControl/>
              <w:snapToGrid w:val="0"/>
              <w:jc w:val="center"/>
              <w:rPr>
                <w:kern w:val="0"/>
                <w:sz w:val="21"/>
                <w:szCs w:val="21"/>
              </w:rPr>
            </w:pPr>
            <w:r>
              <w:rPr>
                <w:rFonts w:hint="eastAsia"/>
                <w:kern w:val="0"/>
                <w:sz w:val="21"/>
                <w:szCs w:val="21"/>
              </w:rPr>
              <w:t>碱喷淋+除雾装置+二级活性炭装置</w:t>
            </w:r>
          </w:p>
        </w:tc>
        <w:tc>
          <w:tcPr>
            <w:tcW w:w="205" w:type="pct"/>
            <w:vMerge w:val="restart"/>
            <w:tcBorders>
              <w:tl2br w:val="nil"/>
              <w:tr2bl w:val="nil"/>
            </w:tcBorders>
            <w:noWrap/>
            <w:vAlign w:val="center"/>
          </w:tcPr>
          <w:p w14:paraId="5994B480">
            <w:pPr>
              <w:widowControl/>
              <w:snapToGrid w:val="0"/>
              <w:jc w:val="center"/>
              <w:rPr>
                <w:kern w:val="0"/>
                <w:sz w:val="21"/>
                <w:szCs w:val="21"/>
              </w:rPr>
            </w:pPr>
            <w:r>
              <w:rPr>
                <w:rFonts w:hint="eastAsia"/>
                <w:kern w:val="0"/>
                <w:sz w:val="21"/>
                <w:szCs w:val="21"/>
              </w:rPr>
              <w:t>90</w:t>
            </w:r>
          </w:p>
        </w:tc>
        <w:tc>
          <w:tcPr>
            <w:tcW w:w="259" w:type="pct"/>
            <w:vMerge w:val="restart"/>
            <w:tcBorders>
              <w:tl2br w:val="nil"/>
              <w:tr2bl w:val="nil"/>
            </w:tcBorders>
            <w:noWrap/>
            <w:vAlign w:val="center"/>
          </w:tcPr>
          <w:p w14:paraId="6FC3666D">
            <w:pPr>
              <w:widowControl/>
              <w:snapToGrid w:val="0"/>
              <w:jc w:val="center"/>
              <w:rPr>
                <w:kern w:val="0"/>
                <w:sz w:val="21"/>
                <w:szCs w:val="21"/>
              </w:rPr>
            </w:pPr>
            <w:r>
              <w:rPr>
                <w:rFonts w:hint="eastAsia"/>
                <w:kern w:val="0"/>
                <w:sz w:val="21"/>
                <w:szCs w:val="21"/>
              </w:rPr>
              <w:t>氟化物</w:t>
            </w:r>
          </w:p>
        </w:tc>
        <w:tc>
          <w:tcPr>
            <w:tcW w:w="309" w:type="pct"/>
            <w:vMerge w:val="restart"/>
            <w:tcBorders>
              <w:tl2br w:val="nil"/>
              <w:tr2bl w:val="nil"/>
            </w:tcBorders>
            <w:noWrap/>
            <w:vAlign w:val="center"/>
          </w:tcPr>
          <w:p w14:paraId="5494677F">
            <w:pPr>
              <w:snapToGrid w:val="0"/>
              <w:jc w:val="center"/>
              <w:rPr>
                <w:sz w:val="21"/>
                <w:szCs w:val="21"/>
              </w:rPr>
            </w:pPr>
            <w:r>
              <w:rPr>
                <w:sz w:val="21"/>
                <w:szCs w:val="21"/>
              </w:rPr>
              <w:t>0.0002</w:t>
            </w:r>
          </w:p>
        </w:tc>
        <w:tc>
          <w:tcPr>
            <w:tcW w:w="357" w:type="pct"/>
            <w:vMerge w:val="restart"/>
            <w:tcBorders>
              <w:tl2br w:val="nil"/>
              <w:tr2bl w:val="nil"/>
            </w:tcBorders>
            <w:noWrap/>
            <w:vAlign w:val="center"/>
          </w:tcPr>
          <w:p w14:paraId="49F21D8C">
            <w:pPr>
              <w:snapToGrid w:val="0"/>
              <w:jc w:val="center"/>
              <w:rPr>
                <w:sz w:val="21"/>
                <w:szCs w:val="21"/>
              </w:rPr>
            </w:pPr>
            <w:r>
              <w:rPr>
                <w:sz w:val="21"/>
                <w:szCs w:val="21"/>
              </w:rPr>
              <w:t>0.00001</w:t>
            </w:r>
          </w:p>
        </w:tc>
        <w:tc>
          <w:tcPr>
            <w:tcW w:w="414" w:type="pct"/>
            <w:vMerge w:val="restart"/>
            <w:tcBorders>
              <w:tl2br w:val="nil"/>
              <w:tr2bl w:val="nil"/>
            </w:tcBorders>
            <w:noWrap/>
            <w:vAlign w:val="center"/>
          </w:tcPr>
          <w:p w14:paraId="2983FEC0">
            <w:pPr>
              <w:snapToGrid w:val="0"/>
              <w:jc w:val="center"/>
              <w:rPr>
                <w:sz w:val="21"/>
                <w:szCs w:val="21"/>
              </w:rPr>
            </w:pPr>
            <w:r>
              <w:rPr>
                <w:sz w:val="21"/>
                <w:szCs w:val="21"/>
              </w:rPr>
              <w:t>0.000076</w:t>
            </w:r>
          </w:p>
        </w:tc>
        <w:tc>
          <w:tcPr>
            <w:tcW w:w="208" w:type="pct"/>
            <w:vMerge w:val="restart"/>
            <w:tcBorders>
              <w:tl2br w:val="nil"/>
              <w:tr2bl w:val="nil"/>
            </w:tcBorders>
            <w:noWrap/>
            <w:vAlign w:val="center"/>
          </w:tcPr>
          <w:p w14:paraId="09E982B6">
            <w:pPr>
              <w:widowControl/>
              <w:snapToGrid w:val="0"/>
              <w:jc w:val="center"/>
              <w:rPr>
                <w:kern w:val="0"/>
                <w:sz w:val="21"/>
                <w:szCs w:val="21"/>
              </w:rPr>
            </w:pPr>
            <w:r>
              <w:rPr>
                <w:kern w:val="0"/>
                <w:sz w:val="21"/>
                <w:szCs w:val="21"/>
              </w:rPr>
              <w:t>3</w:t>
            </w:r>
          </w:p>
        </w:tc>
        <w:tc>
          <w:tcPr>
            <w:tcW w:w="256" w:type="pct"/>
            <w:vMerge w:val="restart"/>
            <w:tcBorders>
              <w:tl2br w:val="nil"/>
              <w:tr2bl w:val="nil"/>
            </w:tcBorders>
            <w:noWrap/>
            <w:vAlign w:val="center"/>
          </w:tcPr>
          <w:p w14:paraId="608BAABC">
            <w:pPr>
              <w:pStyle w:val="55"/>
              <w:snapToGrid w:val="0"/>
              <w:ind w:right="0" w:rightChars="0"/>
              <w:rPr>
                <w:rFonts w:ascii="Times New Roman" w:hAnsi="Times New Roman"/>
                <w:sz w:val="21"/>
                <w:szCs w:val="21"/>
              </w:rPr>
            </w:pPr>
            <w:r>
              <w:rPr>
                <w:rFonts w:ascii="Times New Roman" w:hAnsi="Times New Roman"/>
                <w:sz w:val="21"/>
                <w:szCs w:val="21"/>
              </w:rPr>
              <w:t>0.072</w:t>
            </w:r>
          </w:p>
        </w:tc>
        <w:tc>
          <w:tcPr>
            <w:tcW w:w="182" w:type="pct"/>
            <w:vMerge w:val="restart"/>
            <w:tcBorders>
              <w:tl2br w:val="nil"/>
              <w:tr2bl w:val="nil"/>
            </w:tcBorders>
            <w:noWrap/>
            <w:vAlign w:val="center"/>
          </w:tcPr>
          <w:p w14:paraId="22D838E4">
            <w:pPr>
              <w:widowControl/>
              <w:snapToGrid w:val="0"/>
              <w:jc w:val="center"/>
              <w:rPr>
                <w:kern w:val="0"/>
                <w:sz w:val="21"/>
                <w:szCs w:val="21"/>
              </w:rPr>
            </w:pPr>
            <w:r>
              <w:rPr>
                <w:kern w:val="0"/>
                <w:sz w:val="21"/>
                <w:szCs w:val="21"/>
              </w:rPr>
              <w:t>15</w:t>
            </w:r>
          </w:p>
        </w:tc>
        <w:tc>
          <w:tcPr>
            <w:tcW w:w="178" w:type="pct"/>
            <w:vMerge w:val="restart"/>
            <w:tcBorders>
              <w:tl2br w:val="nil"/>
              <w:tr2bl w:val="nil"/>
            </w:tcBorders>
            <w:noWrap/>
            <w:vAlign w:val="center"/>
          </w:tcPr>
          <w:p w14:paraId="75DB8276">
            <w:pPr>
              <w:widowControl/>
              <w:snapToGrid w:val="0"/>
              <w:jc w:val="center"/>
              <w:rPr>
                <w:kern w:val="0"/>
                <w:sz w:val="21"/>
                <w:szCs w:val="21"/>
              </w:rPr>
            </w:pPr>
            <w:r>
              <w:rPr>
                <w:rFonts w:hint="eastAsia"/>
                <w:kern w:val="0"/>
                <w:sz w:val="21"/>
                <w:szCs w:val="21"/>
              </w:rPr>
              <w:t>1.0</w:t>
            </w:r>
          </w:p>
        </w:tc>
        <w:tc>
          <w:tcPr>
            <w:tcW w:w="155" w:type="pct"/>
            <w:vMerge w:val="restart"/>
            <w:tcBorders>
              <w:tl2br w:val="nil"/>
              <w:tr2bl w:val="nil"/>
            </w:tcBorders>
            <w:noWrap/>
            <w:vAlign w:val="center"/>
          </w:tcPr>
          <w:p w14:paraId="7F14EBEA">
            <w:pPr>
              <w:widowControl/>
              <w:snapToGrid w:val="0"/>
              <w:jc w:val="center"/>
              <w:rPr>
                <w:kern w:val="0"/>
                <w:sz w:val="21"/>
                <w:szCs w:val="21"/>
              </w:rPr>
            </w:pPr>
            <w:r>
              <w:rPr>
                <w:rFonts w:hint="eastAsia"/>
                <w:kern w:val="0"/>
                <w:sz w:val="21"/>
                <w:szCs w:val="21"/>
              </w:rPr>
              <w:t>65</w:t>
            </w:r>
          </w:p>
        </w:tc>
        <w:tc>
          <w:tcPr>
            <w:tcW w:w="301" w:type="pct"/>
            <w:vMerge w:val="restart"/>
            <w:tcBorders>
              <w:tl2br w:val="nil"/>
              <w:tr2bl w:val="nil"/>
            </w:tcBorders>
            <w:noWrap/>
            <w:vAlign w:val="center"/>
          </w:tcPr>
          <w:p w14:paraId="5A44D9B2">
            <w:pPr>
              <w:widowControl/>
              <w:snapToGrid w:val="0"/>
              <w:jc w:val="center"/>
              <w:rPr>
                <w:kern w:val="0"/>
                <w:sz w:val="21"/>
                <w:szCs w:val="21"/>
              </w:rPr>
            </w:pPr>
            <w:r>
              <w:rPr>
                <w:rFonts w:hAnsi="宋体"/>
                <w:kern w:val="0"/>
                <w:sz w:val="21"/>
                <w:szCs w:val="21"/>
              </w:rPr>
              <w:t>间歇</w:t>
            </w:r>
            <w:r>
              <w:rPr>
                <w:rFonts w:hint="eastAsia" w:hAnsi="宋体"/>
                <w:kern w:val="0"/>
                <w:sz w:val="21"/>
                <w:szCs w:val="21"/>
              </w:rPr>
              <w:t>7200h</w:t>
            </w:r>
          </w:p>
        </w:tc>
      </w:tr>
      <w:tr w14:paraId="685CEE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09EF752C">
            <w:pPr>
              <w:widowControl/>
              <w:snapToGrid w:val="0"/>
              <w:jc w:val="center"/>
              <w:rPr>
                <w:kern w:val="0"/>
                <w:sz w:val="21"/>
                <w:szCs w:val="21"/>
              </w:rPr>
            </w:pPr>
          </w:p>
        </w:tc>
        <w:tc>
          <w:tcPr>
            <w:tcW w:w="273" w:type="pct"/>
            <w:vMerge w:val="continue"/>
            <w:tcBorders>
              <w:tl2br w:val="nil"/>
              <w:tr2bl w:val="nil"/>
            </w:tcBorders>
            <w:noWrap/>
            <w:vAlign w:val="center"/>
          </w:tcPr>
          <w:p w14:paraId="4399C612">
            <w:pPr>
              <w:widowControl/>
              <w:snapToGrid w:val="0"/>
              <w:jc w:val="left"/>
              <w:rPr>
                <w:kern w:val="0"/>
                <w:sz w:val="21"/>
                <w:szCs w:val="21"/>
              </w:rPr>
            </w:pPr>
          </w:p>
        </w:tc>
        <w:tc>
          <w:tcPr>
            <w:tcW w:w="237" w:type="pct"/>
            <w:vMerge w:val="continue"/>
            <w:tcBorders>
              <w:tl2br w:val="nil"/>
              <w:tr2bl w:val="nil"/>
            </w:tcBorders>
            <w:noWrap/>
            <w:vAlign w:val="center"/>
          </w:tcPr>
          <w:p w14:paraId="3A999DFC">
            <w:pPr>
              <w:widowControl/>
              <w:snapToGrid w:val="0"/>
              <w:jc w:val="left"/>
              <w:rPr>
                <w:kern w:val="0"/>
                <w:sz w:val="21"/>
                <w:szCs w:val="21"/>
              </w:rPr>
            </w:pPr>
          </w:p>
        </w:tc>
        <w:tc>
          <w:tcPr>
            <w:tcW w:w="250" w:type="pct"/>
            <w:tcBorders>
              <w:tl2br w:val="nil"/>
              <w:tr2bl w:val="nil"/>
            </w:tcBorders>
            <w:noWrap/>
            <w:vAlign w:val="center"/>
          </w:tcPr>
          <w:p w14:paraId="29E98D17">
            <w:pPr>
              <w:widowControl/>
              <w:snapToGrid w:val="0"/>
              <w:jc w:val="center"/>
              <w:rPr>
                <w:rFonts w:hAnsi="宋体"/>
                <w:kern w:val="0"/>
                <w:sz w:val="21"/>
                <w:szCs w:val="21"/>
              </w:rPr>
            </w:pPr>
            <w:r>
              <w:rPr>
                <w:kern w:val="0"/>
                <w:sz w:val="21"/>
                <w:szCs w:val="21"/>
              </w:rPr>
              <w:t>H</w:t>
            </w:r>
            <w:r>
              <w:rPr>
                <w:kern w:val="0"/>
                <w:sz w:val="21"/>
                <w:szCs w:val="21"/>
                <w:vertAlign w:val="subscript"/>
              </w:rPr>
              <w:t>2</w:t>
            </w:r>
            <w:r>
              <w:rPr>
                <w:kern w:val="0"/>
                <w:sz w:val="21"/>
                <w:szCs w:val="21"/>
              </w:rPr>
              <w:t>S</w:t>
            </w:r>
          </w:p>
        </w:tc>
        <w:tc>
          <w:tcPr>
            <w:tcW w:w="301" w:type="pct"/>
            <w:tcBorders>
              <w:tl2br w:val="nil"/>
              <w:tr2bl w:val="nil"/>
            </w:tcBorders>
            <w:noWrap/>
            <w:vAlign w:val="center"/>
          </w:tcPr>
          <w:p w14:paraId="03B903D6">
            <w:pPr>
              <w:snapToGrid w:val="0"/>
              <w:jc w:val="center"/>
              <w:rPr>
                <w:sz w:val="21"/>
                <w:szCs w:val="21"/>
              </w:rPr>
            </w:pPr>
            <w:r>
              <w:rPr>
                <w:sz w:val="21"/>
                <w:szCs w:val="21"/>
              </w:rPr>
              <w:t>0.65</w:t>
            </w:r>
          </w:p>
        </w:tc>
        <w:tc>
          <w:tcPr>
            <w:tcW w:w="351" w:type="pct"/>
            <w:tcBorders>
              <w:tl2br w:val="nil"/>
              <w:tr2bl w:val="nil"/>
            </w:tcBorders>
            <w:noWrap/>
            <w:vAlign w:val="center"/>
          </w:tcPr>
          <w:p w14:paraId="31EFBFFD">
            <w:pPr>
              <w:snapToGrid w:val="0"/>
              <w:jc w:val="center"/>
              <w:rPr>
                <w:sz w:val="21"/>
                <w:szCs w:val="21"/>
              </w:rPr>
            </w:pPr>
            <w:r>
              <w:rPr>
                <w:sz w:val="21"/>
                <w:szCs w:val="21"/>
              </w:rPr>
              <w:t>0.013</w:t>
            </w:r>
          </w:p>
        </w:tc>
        <w:tc>
          <w:tcPr>
            <w:tcW w:w="359" w:type="pct"/>
            <w:tcBorders>
              <w:tl2br w:val="nil"/>
              <w:tr2bl w:val="nil"/>
            </w:tcBorders>
            <w:noWrap/>
            <w:vAlign w:val="center"/>
          </w:tcPr>
          <w:p w14:paraId="44FF9031">
            <w:pPr>
              <w:snapToGrid w:val="0"/>
              <w:jc w:val="center"/>
              <w:rPr>
                <w:sz w:val="21"/>
                <w:szCs w:val="21"/>
              </w:rPr>
            </w:pPr>
            <w:r>
              <w:rPr>
                <w:sz w:val="21"/>
                <w:szCs w:val="21"/>
              </w:rPr>
              <w:t>0.093</w:t>
            </w:r>
          </w:p>
        </w:tc>
        <w:tc>
          <w:tcPr>
            <w:tcW w:w="200" w:type="pct"/>
            <w:vMerge w:val="continue"/>
            <w:tcBorders>
              <w:tl2br w:val="nil"/>
              <w:tr2bl w:val="nil"/>
            </w:tcBorders>
            <w:noWrap/>
            <w:vAlign w:val="center"/>
          </w:tcPr>
          <w:p w14:paraId="407472B9">
            <w:pPr>
              <w:widowControl/>
              <w:snapToGrid w:val="0"/>
              <w:jc w:val="center"/>
              <w:rPr>
                <w:kern w:val="0"/>
                <w:sz w:val="21"/>
                <w:szCs w:val="21"/>
              </w:rPr>
            </w:pPr>
          </w:p>
        </w:tc>
        <w:tc>
          <w:tcPr>
            <w:tcW w:w="205" w:type="pct"/>
            <w:vMerge w:val="continue"/>
            <w:tcBorders>
              <w:tl2br w:val="nil"/>
              <w:tr2bl w:val="nil"/>
            </w:tcBorders>
            <w:noWrap/>
            <w:vAlign w:val="center"/>
          </w:tcPr>
          <w:p w14:paraId="52E03A29">
            <w:pPr>
              <w:widowControl/>
              <w:snapToGrid w:val="0"/>
              <w:jc w:val="center"/>
              <w:rPr>
                <w:kern w:val="0"/>
                <w:sz w:val="21"/>
                <w:szCs w:val="21"/>
              </w:rPr>
            </w:pPr>
          </w:p>
        </w:tc>
        <w:tc>
          <w:tcPr>
            <w:tcW w:w="259" w:type="pct"/>
            <w:vMerge w:val="continue"/>
            <w:tcBorders>
              <w:tl2br w:val="nil"/>
              <w:tr2bl w:val="nil"/>
            </w:tcBorders>
            <w:noWrap/>
            <w:vAlign w:val="center"/>
          </w:tcPr>
          <w:p w14:paraId="5096EC98">
            <w:pPr>
              <w:widowControl/>
              <w:snapToGrid w:val="0"/>
              <w:jc w:val="center"/>
              <w:rPr>
                <w:kern w:val="0"/>
                <w:sz w:val="21"/>
                <w:szCs w:val="21"/>
              </w:rPr>
            </w:pPr>
          </w:p>
        </w:tc>
        <w:tc>
          <w:tcPr>
            <w:tcW w:w="309" w:type="pct"/>
            <w:vMerge w:val="continue"/>
            <w:tcBorders>
              <w:tl2br w:val="nil"/>
              <w:tr2bl w:val="nil"/>
            </w:tcBorders>
            <w:noWrap/>
            <w:vAlign w:val="center"/>
          </w:tcPr>
          <w:p w14:paraId="6C58393B">
            <w:pPr>
              <w:widowControl/>
              <w:snapToGrid w:val="0"/>
              <w:jc w:val="center"/>
              <w:rPr>
                <w:kern w:val="0"/>
                <w:sz w:val="21"/>
                <w:szCs w:val="21"/>
              </w:rPr>
            </w:pPr>
          </w:p>
        </w:tc>
        <w:tc>
          <w:tcPr>
            <w:tcW w:w="357" w:type="pct"/>
            <w:vMerge w:val="continue"/>
            <w:tcBorders>
              <w:tl2br w:val="nil"/>
              <w:tr2bl w:val="nil"/>
            </w:tcBorders>
            <w:noWrap/>
            <w:vAlign w:val="center"/>
          </w:tcPr>
          <w:p w14:paraId="0719F6F5">
            <w:pPr>
              <w:widowControl/>
              <w:snapToGrid w:val="0"/>
              <w:jc w:val="center"/>
              <w:rPr>
                <w:kern w:val="0"/>
                <w:sz w:val="21"/>
                <w:szCs w:val="21"/>
              </w:rPr>
            </w:pPr>
          </w:p>
        </w:tc>
        <w:tc>
          <w:tcPr>
            <w:tcW w:w="414" w:type="pct"/>
            <w:vMerge w:val="continue"/>
            <w:tcBorders>
              <w:tl2br w:val="nil"/>
              <w:tr2bl w:val="nil"/>
            </w:tcBorders>
            <w:noWrap/>
            <w:vAlign w:val="center"/>
          </w:tcPr>
          <w:p w14:paraId="3BA5B419">
            <w:pPr>
              <w:widowControl/>
              <w:snapToGrid w:val="0"/>
              <w:jc w:val="center"/>
              <w:rPr>
                <w:kern w:val="0"/>
                <w:sz w:val="21"/>
                <w:szCs w:val="21"/>
              </w:rPr>
            </w:pPr>
          </w:p>
        </w:tc>
        <w:tc>
          <w:tcPr>
            <w:tcW w:w="208" w:type="pct"/>
            <w:vMerge w:val="continue"/>
            <w:tcBorders>
              <w:tl2br w:val="nil"/>
              <w:tr2bl w:val="nil"/>
            </w:tcBorders>
            <w:noWrap/>
            <w:vAlign w:val="center"/>
          </w:tcPr>
          <w:p w14:paraId="49AC6E14">
            <w:pPr>
              <w:widowControl/>
              <w:snapToGrid w:val="0"/>
              <w:jc w:val="left"/>
              <w:rPr>
                <w:kern w:val="0"/>
                <w:sz w:val="21"/>
                <w:szCs w:val="21"/>
              </w:rPr>
            </w:pPr>
          </w:p>
        </w:tc>
        <w:tc>
          <w:tcPr>
            <w:tcW w:w="256" w:type="pct"/>
            <w:vMerge w:val="continue"/>
            <w:tcBorders>
              <w:tl2br w:val="nil"/>
              <w:tr2bl w:val="nil"/>
            </w:tcBorders>
            <w:noWrap/>
            <w:vAlign w:val="center"/>
          </w:tcPr>
          <w:p w14:paraId="62AA207B">
            <w:pPr>
              <w:widowControl/>
              <w:snapToGrid w:val="0"/>
              <w:jc w:val="left"/>
              <w:rPr>
                <w:kern w:val="0"/>
                <w:sz w:val="21"/>
                <w:szCs w:val="21"/>
              </w:rPr>
            </w:pPr>
          </w:p>
        </w:tc>
        <w:tc>
          <w:tcPr>
            <w:tcW w:w="182" w:type="pct"/>
            <w:vMerge w:val="continue"/>
            <w:tcBorders>
              <w:tl2br w:val="nil"/>
              <w:tr2bl w:val="nil"/>
            </w:tcBorders>
            <w:noWrap/>
            <w:vAlign w:val="center"/>
          </w:tcPr>
          <w:p w14:paraId="539D6B8E">
            <w:pPr>
              <w:widowControl/>
              <w:snapToGrid w:val="0"/>
              <w:jc w:val="left"/>
              <w:rPr>
                <w:kern w:val="0"/>
                <w:sz w:val="21"/>
                <w:szCs w:val="21"/>
              </w:rPr>
            </w:pPr>
          </w:p>
        </w:tc>
        <w:tc>
          <w:tcPr>
            <w:tcW w:w="178" w:type="pct"/>
            <w:vMerge w:val="continue"/>
            <w:tcBorders>
              <w:tl2br w:val="nil"/>
              <w:tr2bl w:val="nil"/>
            </w:tcBorders>
            <w:noWrap/>
            <w:vAlign w:val="center"/>
          </w:tcPr>
          <w:p w14:paraId="44B64580">
            <w:pPr>
              <w:widowControl/>
              <w:snapToGrid w:val="0"/>
              <w:jc w:val="left"/>
              <w:rPr>
                <w:kern w:val="0"/>
                <w:sz w:val="21"/>
                <w:szCs w:val="21"/>
              </w:rPr>
            </w:pPr>
          </w:p>
        </w:tc>
        <w:tc>
          <w:tcPr>
            <w:tcW w:w="155" w:type="pct"/>
            <w:vMerge w:val="continue"/>
            <w:tcBorders>
              <w:tl2br w:val="nil"/>
              <w:tr2bl w:val="nil"/>
            </w:tcBorders>
            <w:noWrap/>
            <w:vAlign w:val="center"/>
          </w:tcPr>
          <w:p w14:paraId="3E6E109B">
            <w:pPr>
              <w:widowControl/>
              <w:snapToGrid w:val="0"/>
              <w:jc w:val="left"/>
              <w:rPr>
                <w:kern w:val="0"/>
                <w:sz w:val="21"/>
                <w:szCs w:val="21"/>
              </w:rPr>
            </w:pPr>
          </w:p>
        </w:tc>
        <w:tc>
          <w:tcPr>
            <w:tcW w:w="301" w:type="pct"/>
            <w:vMerge w:val="continue"/>
            <w:tcBorders>
              <w:tl2br w:val="nil"/>
              <w:tr2bl w:val="nil"/>
            </w:tcBorders>
            <w:noWrap/>
            <w:vAlign w:val="center"/>
          </w:tcPr>
          <w:p w14:paraId="7265C28F">
            <w:pPr>
              <w:widowControl/>
              <w:snapToGrid w:val="0"/>
              <w:jc w:val="left"/>
              <w:rPr>
                <w:kern w:val="0"/>
                <w:sz w:val="21"/>
                <w:szCs w:val="21"/>
              </w:rPr>
            </w:pPr>
          </w:p>
        </w:tc>
      </w:tr>
      <w:tr w14:paraId="15A4A5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40C0D384">
            <w:pPr>
              <w:widowControl/>
              <w:snapToGrid w:val="0"/>
              <w:jc w:val="center"/>
              <w:rPr>
                <w:kern w:val="0"/>
                <w:sz w:val="21"/>
                <w:szCs w:val="21"/>
              </w:rPr>
            </w:pPr>
          </w:p>
        </w:tc>
        <w:tc>
          <w:tcPr>
            <w:tcW w:w="273" w:type="pct"/>
            <w:vMerge w:val="continue"/>
            <w:tcBorders>
              <w:tl2br w:val="nil"/>
              <w:tr2bl w:val="nil"/>
            </w:tcBorders>
            <w:noWrap/>
            <w:vAlign w:val="center"/>
          </w:tcPr>
          <w:p w14:paraId="681FA707">
            <w:pPr>
              <w:widowControl/>
              <w:snapToGrid w:val="0"/>
              <w:jc w:val="left"/>
              <w:rPr>
                <w:kern w:val="0"/>
                <w:sz w:val="21"/>
                <w:szCs w:val="21"/>
              </w:rPr>
            </w:pPr>
          </w:p>
        </w:tc>
        <w:tc>
          <w:tcPr>
            <w:tcW w:w="237" w:type="pct"/>
            <w:vMerge w:val="continue"/>
            <w:tcBorders>
              <w:tl2br w:val="nil"/>
              <w:tr2bl w:val="nil"/>
            </w:tcBorders>
            <w:noWrap/>
            <w:vAlign w:val="center"/>
          </w:tcPr>
          <w:p w14:paraId="2BAE87B5">
            <w:pPr>
              <w:widowControl/>
              <w:snapToGrid w:val="0"/>
              <w:jc w:val="left"/>
              <w:rPr>
                <w:kern w:val="0"/>
                <w:sz w:val="21"/>
                <w:szCs w:val="21"/>
              </w:rPr>
            </w:pPr>
          </w:p>
        </w:tc>
        <w:tc>
          <w:tcPr>
            <w:tcW w:w="250" w:type="pct"/>
            <w:tcBorders>
              <w:tl2br w:val="nil"/>
              <w:tr2bl w:val="nil"/>
            </w:tcBorders>
            <w:noWrap/>
            <w:vAlign w:val="center"/>
          </w:tcPr>
          <w:p w14:paraId="37C32DD4">
            <w:pPr>
              <w:widowControl/>
              <w:snapToGrid w:val="0"/>
              <w:jc w:val="center"/>
              <w:rPr>
                <w:rFonts w:hAnsi="宋体"/>
                <w:kern w:val="0"/>
                <w:sz w:val="21"/>
                <w:szCs w:val="21"/>
              </w:rPr>
            </w:pPr>
            <w:r>
              <w:rPr>
                <w:rFonts w:hAnsi="宋体"/>
                <w:kern w:val="0"/>
                <w:sz w:val="21"/>
                <w:szCs w:val="21"/>
              </w:rPr>
              <w:t>非甲烷总烃</w:t>
            </w:r>
          </w:p>
        </w:tc>
        <w:tc>
          <w:tcPr>
            <w:tcW w:w="301" w:type="pct"/>
            <w:tcBorders>
              <w:tl2br w:val="nil"/>
              <w:tr2bl w:val="nil"/>
            </w:tcBorders>
            <w:noWrap/>
            <w:vAlign w:val="center"/>
          </w:tcPr>
          <w:p w14:paraId="42DF4A27">
            <w:pPr>
              <w:snapToGrid w:val="0"/>
              <w:jc w:val="center"/>
              <w:rPr>
                <w:sz w:val="21"/>
                <w:szCs w:val="21"/>
              </w:rPr>
            </w:pPr>
            <w:r>
              <w:rPr>
                <w:sz w:val="21"/>
                <w:szCs w:val="21"/>
              </w:rPr>
              <w:t>2.67</w:t>
            </w:r>
          </w:p>
        </w:tc>
        <w:tc>
          <w:tcPr>
            <w:tcW w:w="351" w:type="pct"/>
            <w:tcBorders>
              <w:tl2br w:val="nil"/>
              <w:tr2bl w:val="nil"/>
            </w:tcBorders>
            <w:noWrap/>
            <w:vAlign w:val="center"/>
          </w:tcPr>
          <w:p w14:paraId="12BCBA10">
            <w:pPr>
              <w:snapToGrid w:val="0"/>
              <w:jc w:val="center"/>
              <w:rPr>
                <w:sz w:val="21"/>
                <w:szCs w:val="21"/>
              </w:rPr>
            </w:pPr>
            <w:r>
              <w:rPr>
                <w:sz w:val="21"/>
                <w:szCs w:val="21"/>
              </w:rPr>
              <w:t>0.053</w:t>
            </w:r>
          </w:p>
        </w:tc>
        <w:tc>
          <w:tcPr>
            <w:tcW w:w="359" w:type="pct"/>
            <w:tcBorders>
              <w:tl2br w:val="nil"/>
              <w:tr2bl w:val="nil"/>
            </w:tcBorders>
            <w:noWrap/>
            <w:vAlign w:val="center"/>
          </w:tcPr>
          <w:p w14:paraId="0F9EE26B">
            <w:pPr>
              <w:snapToGrid w:val="0"/>
              <w:jc w:val="center"/>
              <w:rPr>
                <w:sz w:val="21"/>
                <w:szCs w:val="21"/>
              </w:rPr>
            </w:pPr>
            <w:r>
              <w:rPr>
                <w:sz w:val="21"/>
                <w:szCs w:val="21"/>
              </w:rPr>
              <w:t>0.385</w:t>
            </w:r>
          </w:p>
        </w:tc>
        <w:tc>
          <w:tcPr>
            <w:tcW w:w="200" w:type="pct"/>
            <w:vMerge w:val="continue"/>
            <w:tcBorders>
              <w:tl2br w:val="nil"/>
              <w:tr2bl w:val="nil"/>
            </w:tcBorders>
            <w:noWrap/>
            <w:vAlign w:val="center"/>
          </w:tcPr>
          <w:p w14:paraId="2159C935">
            <w:pPr>
              <w:widowControl/>
              <w:snapToGrid w:val="0"/>
              <w:jc w:val="center"/>
              <w:rPr>
                <w:kern w:val="0"/>
                <w:sz w:val="21"/>
                <w:szCs w:val="21"/>
              </w:rPr>
            </w:pPr>
          </w:p>
        </w:tc>
        <w:tc>
          <w:tcPr>
            <w:tcW w:w="205" w:type="pct"/>
            <w:vMerge w:val="restart"/>
            <w:tcBorders>
              <w:tl2br w:val="nil"/>
              <w:tr2bl w:val="nil"/>
            </w:tcBorders>
            <w:noWrap/>
            <w:vAlign w:val="center"/>
          </w:tcPr>
          <w:p w14:paraId="0FDD66C2">
            <w:pPr>
              <w:widowControl/>
              <w:snapToGrid w:val="0"/>
              <w:jc w:val="center"/>
              <w:rPr>
                <w:kern w:val="0"/>
                <w:sz w:val="21"/>
                <w:szCs w:val="21"/>
              </w:rPr>
            </w:pPr>
            <w:r>
              <w:rPr>
                <w:kern w:val="0"/>
                <w:sz w:val="21"/>
                <w:szCs w:val="21"/>
              </w:rPr>
              <w:t>90</w:t>
            </w:r>
          </w:p>
        </w:tc>
        <w:tc>
          <w:tcPr>
            <w:tcW w:w="259" w:type="pct"/>
            <w:vMerge w:val="restart"/>
            <w:tcBorders>
              <w:tl2br w:val="nil"/>
              <w:tr2bl w:val="nil"/>
            </w:tcBorders>
            <w:noWrap/>
            <w:vAlign w:val="center"/>
          </w:tcPr>
          <w:p w14:paraId="5BDEEE55">
            <w:pPr>
              <w:widowControl/>
              <w:snapToGrid w:val="0"/>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9" w:type="pct"/>
            <w:vMerge w:val="restart"/>
            <w:tcBorders>
              <w:tl2br w:val="nil"/>
              <w:tr2bl w:val="nil"/>
            </w:tcBorders>
            <w:noWrap/>
            <w:vAlign w:val="center"/>
          </w:tcPr>
          <w:p w14:paraId="57EC65C9">
            <w:pPr>
              <w:snapToGrid w:val="0"/>
              <w:jc w:val="center"/>
              <w:rPr>
                <w:sz w:val="21"/>
                <w:szCs w:val="21"/>
              </w:rPr>
            </w:pPr>
            <w:r>
              <w:rPr>
                <w:sz w:val="21"/>
                <w:szCs w:val="21"/>
              </w:rPr>
              <w:t>0.032</w:t>
            </w:r>
          </w:p>
        </w:tc>
        <w:tc>
          <w:tcPr>
            <w:tcW w:w="357" w:type="pct"/>
            <w:vMerge w:val="restart"/>
            <w:tcBorders>
              <w:tl2br w:val="nil"/>
              <w:tr2bl w:val="nil"/>
            </w:tcBorders>
            <w:noWrap/>
            <w:vAlign w:val="center"/>
          </w:tcPr>
          <w:p w14:paraId="62CCDF15">
            <w:pPr>
              <w:snapToGrid w:val="0"/>
              <w:jc w:val="center"/>
              <w:rPr>
                <w:sz w:val="21"/>
                <w:szCs w:val="21"/>
              </w:rPr>
            </w:pPr>
            <w:r>
              <w:rPr>
                <w:sz w:val="21"/>
                <w:szCs w:val="21"/>
              </w:rPr>
              <w:t>0.002</w:t>
            </w:r>
          </w:p>
        </w:tc>
        <w:tc>
          <w:tcPr>
            <w:tcW w:w="414" w:type="pct"/>
            <w:vMerge w:val="restart"/>
            <w:tcBorders>
              <w:tl2br w:val="nil"/>
              <w:tr2bl w:val="nil"/>
            </w:tcBorders>
            <w:noWrap/>
            <w:vAlign w:val="center"/>
          </w:tcPr>
          <w:p w14:paraId="220A1C2D">
            <w:pPr>
              <w:snapToGrid w:val="0"/>
              <w:jc w:val="center"/>
              <w:rPr>
                <w:sz w:val="21"/>
                <w:szCs w:val="21"/>
              </w:rPr>
            </w:pPr>
            <w:r>
              <w:rPr>
                <w:sz w:val="21"/>
                <w:szCs w:val="21"/>
              </w:rPr>
              <w:t>0.0144</w:t>
            </w:r>
          </w:p>
        </w:tc>
        <w:tc>
          <w:tcPr>
            <w:tcW w:w="208" w:type="pct"/>
            <w:vMerge w:val="restart"/>
            <w:tcBorders>
              <w:tl2br w:val="nil"/>
              <w:tr2bl w:val="nil"/>
            </w:tcBorders>
            <w:noWrap/>
            <w:vAlign w:val="center"/>
          </w:tcPr>
          <w:p w14:paraId="7D480044">
            <w:pPr>
              <w:widowControl/>
              <w:snapToGrid w:val="0"/>
              <w:jc w:val="center"/>
              <w:rPr>
                <w:kern w:val="0"/>
                <w:sz w:val="21"/>
                <w:szCs w:val="21"/>
              </w:rPr>
            </w:pPr>
            <w:r>
              <w:rPr>
                <w:kern w:val="0"/>
                <w:sz w:val="21"/>
                <w:szCs w:val="21"/>
              </w:rPr>
              <w:t>/</w:t>
            </w:r>
          </w:p>
        </w:tc>
        <w:tc>
          <w:tcPr>
            <w:tcW w:w="256" w:type="pct"/>
            <w:vMerge w:val="restart"/>
            <w:tcBorders>
              <w:tl2br w:val="nil"/>
              <w:tr2bl w:val="nil"/>
            </w:tcBorders>
            <w:noWrap/>
            <w:vAlign w:val="center"/>
          </w:tcPr>
          <w:p w14:paraId="552F6A46">
            <w:pPr>
              <w:widowControl/>
              <w:snapToGrid w:val="0"/>
              <w:jc w:val="center"/>
              <w:rPr>
                <w:kern w:val="0"/>
                <w:sz w:val="21"/>
                <w:szCs w:val="21"/>
              </w:rPr>
            </w:pPr>
            <w:r>
              <w:rPr>
                <w:kern w:val="0"/>
                <w:sz w:val="21"/>
                <w:szCs w:val="21"/>
              </w:rPr>
              <w:t>0</w:t>
            </w:r>
            <w:r>
              <w:rPr>
                <w:rFonts w:hint="eastAsia"/>
                <w:kern w:val="0"/>
                <w:sz w:val="21"/>
                <w:szCs w:val="21"/>
              </w:rPr>
              <w:t>3</w:t>
            </w:r>
            <w:r>
              <w:rPr>
                <w:kern w:val="0"/>
                <w:sz w:val="21"/>
                <w:szCs w:val="21"/>
              </w:rPr>
              <w:t>3</w:t>
            </w:r>
          </w:p>
        </w:tc>
        <w:tc>
          <w:tcPr>
            <w:tcW w:w="182" w:type="pct"/>
            <w:vMerge w:val="continue"/>
            <w:tcBorders>
              <w:tl2br w:val="nil"/>
              <w:tr2bl w:val="nil"/>
            </w:tcBorders>
            <w:noWrap/>
            <w:vAlign w:val="center"/>
          </w:tcPr>
          <w:p w14:paraId="68DDAAA9">
            <w:pPr>
              <w:widowControl/>
              <w:snapToGrid w:val="0"/>
              <w:jc w:val="left"/>
              <w:rPr>
                <w:kern w:val="0"/>
                <w:sz w:val="21"/>
                <w:szCs w:val="21"/>
              </w:rPr>
            </w:pPr>
          </w:p>
        </w:tc>
        <w:tc>
          <w:tcPr>
            <w:tcW w:w="178" w:type="pct"/>
            <w:vMerge w:val="continue"/>
            <w:tcBorders>
              <w:tl2br w:val="nil"/>
              <w:tr2bl w:val="nil"/>
            </w:tcBorders>
            <w:noWrap/>
            <w:vAlign w:val="center"/>
          </w:tcPr>
          <w:p w14:paraId="36BC908A">
            <w:pPr>
              <w:widowControl/>
              <w:snapToGrid w:val="0"/>
              <w:jc w:val="left"/>
              <w:rPr>
                <w:kern w:val="0"/>
                <w:sz w:val="21"/>
                <w:szCs w:val="21"/>
              </w:rPr>
            </w:pPr>
          </w:p>
        </w:tc>
        <w:tc>
          <w:tcPr>
            <w:tcW w:w="155" w:type="pct"/>
            <w:vMerge w:val="continue"/>
            <w:tcBorders>
              <w:tl2br w:val="nil"/>
              <w:tr2bl w:val="nil"/>
            </w:tcBorders>
            <w:noWrap/>
            <w:vAlign w:val="center"/>
          </w:tcPr>
          <w:p w14:paraId="461153AD">
            <w:pPr>
              <w:widowControl/>
              <w:snapToGrid w:val="0"/>
              <w:jc w:val="left"/>
              <w:rPr>
                <w:kern w:val="0"/>
                <w:sz w:val="21"/>
                <w:szCs w:val="21"/>
              </w:rPr>
            </w:pPr>
          </w:p>
        </w:tc>
        <w:tc>
          <w:tcPr>
            <w:tcW w:w="301" w:type="pct"/>
            <w:vMerge w:val="continue"/>
            <w:tcBorders>
              <w:tl2br w:val="nil"/>
              <w:tr2bl w:val="nil"/>
            </w:tcBorders>
            <w:noWrap/>
            <w:vAlign w:val="center"/>
          </w:tcPr>
          <w:p w14:paraId="0219F221">
            <w:pPr>
              <w:widowControl/>
              <w:snapToGrid w:val="0"/>
              <w:jc w:val="left"/>
              <w:rPr>
                <w:kern w:val="0"/>
                <w:sz w:val="21"/>
                <w:szCs w:val="21"/>
              </w:rPr>
            </w:pPr>
          </w:p>
        </w:tc>
      </w:tr>
      <w:tr w14:paraId="40151F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524FE65F">
            <w:pPr>
              <w:widowControl/>
              <w:snapToGrid w:val="0"/>
              <w:jc w:val="center"/>
              <w:rPr>
                <w:kern w:val="0"/>
                <w:sz w:val="21"/>
                <w:szCs w:val="21"/>
              </w:rPr>
            </w:pPr>
          </w:p>
        </w:tc>
        <w:tc>
          <w:tcPr>
            <w:tcW w:w="273" w:type="pct"/>
            <w:vMerge w:val="continue"/>
            <w:tcBorders>
              <w:tl2br w:val="nil"/>
              <w:tr2bl w:val="nil"/>
            </w:tcBorders>
            <w:noWrap/>
            <w:vAlign w:val="center"/>
          </w:tcPr>
          <w:p w14:paraId="1283768C">
            <w:pPr>
              <w:widowControl/>
              <w:snapToGrid w:val="0"/>
              <w:jc w:val="left"/>
              <w:rPr>
                <w:kern w:val="0"/>
                <w:sz w:val="21"/>
                <w:szCs w:val="21"/>
              </w:rPr>
            </w:pPr>
          </w:p>
        </w:tc>
        <w:tc>
          <w:tcPr>
            <w:tcW w:w="237" w:type="pct"/>
            <w:vMerge w:val="restart"/>
            <w:tcBorders>
              <w:tl2br w:val="nil"/>
              <w:tr2bl w:val="nil"/>
            </w:tcBorders>
            <w:noWrap/>
            <w:vAlign w:val="center"/>
          </w:tcPr>
          <w:p w14:paraId="2801CF43">
            <w:pPr>
              <w:widowControl/>
              <w:snapToGrid w:val="0"/>
              <w:jc w:val="center"/>
              <w:rPr>
                <w:kern w:val="0"/>
                <w:sz w:val="21"/>
                <w:szCs w:val="21"/>
              </w:rPr>
            </w:pPr>
            <w:r>
              <w:rPr>
                <w:rFonts w:hAnsi="宋体"/>
                <w:kern w:val="0"/>
                <w:sz w:val="21"/>
                <w:szCs w:val="21"/>
              </w:rPr>
              <w:t>二次硫化</w:t>
            </w:r>
          </w:p>
        </w:tc>
        <w:tc>
          <w:tcPr>
            <w:tcW w:w="250" w:type="pct"/>
            <w:tcBorders>
              <w:tl2br w:val="nil"/>
              <w:tr2bl w:val="nil"/>
            </w:tcBorders>
            <w:noWrap/>
            <w:vAlign w:val="center"/>
          </w:tcPr>
          <w:p w14:paraId="2925A449">
            <w:pPr>
              <w:widowControl/>
              <w:snapToGrid w:val="0"/>
              <w:jc w:val="center"/>
              <w:rPr>
                <w:rFonts w:hAnsi="宋体"/>
                <w:kern w:val="0"/>
                <w:sz w:val="21"/>
                <w:szCs w:val="21"/>
              </w:rPr>
            </w:pPr>
            <w:r>
              <w:rPr>
                <w:rFonts w:hAnsi="宋体"/>
                <w:kern w:val="0"/>
                <w:sz w:val="21"/>
                <w:szCs w:val="21"/>
              </w:rPr>
              <w:t>氟化物</w:t>
            </w:r>
          </w:p>
        </w:tc>
        <w:tc>
          <w:tcPr>
            <w:tcW w:w="301" w:type="pct"/>
            <w:tcBorders>
              <w:tl2br w:val="nil"/>
              <w:tr2bl w:val="nil"/>
            </w:tcBorders>
            <w:noWrap/>
            <w:vAlign w:val="center"/>
          </w:tcPr>
          <w:p w14:paraId="2730973B">
            <w:pPr>
              <w:snapToGrid w:val="0"/>
              <w:jc w:val="center"/>
              <w:rPr>
                <w:sz w:val="21"/>
                <w:szCs w:val="21"/>
              </w:rPr>
            </w:pPr>
            <w:r>
              <w:rPr>
                <w:sz w:val="21"/>
                <w:szCs w:val="21"/>
              </w:rPr>
              <w:t>0.0049</w:t>
            </w:r>
          </w:p>
        </w:tc>
        <w:tc>
          <w:tcPr>
            <w:tcW w:w="351" w:type="pct"/>
            <w:tcBorders>
              <w:tl2br w:val="nil"/>
              <w:tr2bl w:val="nil"/>
            </w:tcBorders>
            <w:noWrap/>
            <w:vAlign w:val="center"/>
          </w:tcPr>
          <w:p w14:paraId="18A04B36">
            <w:pPr>
              <w:snapToGrid w:val="0"/>
              <w:jc w:val="center"/>
              <w:rPr>
                <w:sz w:val="21"/>
                <w:szCs w:val="21"/>
              </w:rPr>
            </w:pPr>
            <w:r>
              <w:rPr>
                <w:sz w:val="21"/>
                <w:szCs w:val="21"/>
              </w:rPr>
              <w:t>0.0001</w:t>
            </w:r>
          </w:p>
        </w:tc>
        <w:tc>
          <w:tcPr>
            <w:tcW w:w="359" w:type="pct"/>
            <w:tcBorders>
              <w:tl2br w:val="nil"/>
              <w:tr2bl w:val="nil"/>
            </w:tcBorders>
            <w:noWrap/>
            <w:vAlign w:val="center"/>
          </w:tcPr>
          <w:p w14:paraId="53A20F75">
            <w:pPr>
              <w:snapToGrid w:val="0"/>
              <w:jc w:val="center"/>
              <w:rPr>
                <w:sz w:val="21"/>
                <w:szCs w:val="21"/>
              </w:rPr>
            </w:pPr>
            <w:r>
              <w:rPr>
                <w:sz w:val="21"/>
                <w:szCs w:val="21"/>
              </w:rPr>
              <w:t>0.0007</w:t>
            </w:r>
          </w:p>
        </w:tc>
        <w:tc>
          <w:tcPr>
            <w:tcW w:w="200" w:type="pct"/>
            <w:vMerge w:val="continue"/>
            <w:tcBorders>
              <w:tl2br w:val="nil"/>
              <w:tr2bl w:val="nil"/>
            </w:tcBorders>
            <w:noWrap/>
            <w:vAlign w:val="center"/>
          </w:tcPr>
          <w:p w14:paraId="30CA79B5">
            <w:pPr>
              <w:widowControl/>
              <w:snapToGrid w:val="0"/>
              <w:jc w:val="center"/>
              <w:rPr>
                <w:kern w:val="0"/>
                <w:sz w:val="21"/>
                <w:szCs w:val="21"/>
              </w:rPr>
            </w:pPr>
          </w:p>
        </w:tc>
        <w:tc>
          <w:tcPr>
            <w:tcW w:w="205" w:type="pct"/>
            <w:vMerge w:val="continue"/>
            <w:tcBorders>
              <w:tl2br w:val="nil"/>
              <w:tr2bl w:val="nil"/>
            </w:tcBorders>
            <w:noWrap/>
            <w:vAlign w:val="center"/>
          </w:tcPr>
          <w:p w14:paraId="19C225DC">
            <w:pPr>
              <w:widowControl/>
              <w:snapToGrid w:val="0"/>
              <w:jc w:val="center"/>
              <w:rPr>
                <w:kern w:val="0"/>
                <w:sz w:val="21"/>
                <w:szCs w:val="21"/>
              </w:rPr>
            </w:pPr>
          </w:p>
        </w:tc>
        <w:tc>
          <w:tcPr>
            <w:tcW w:w="259" w:type="pct"/>
            <w:vMerge w:val="continue"/>
            <w:tcBorders>
              <w:tl2br w:val="nil"/>
              <w:tr2bl w:val="nil"/>
            </w:tcBorders>
            <w:noWrap/>
            <w:vAlign w:val="center"/>
          </w:tcPr>
          <w:p w14:paraId="578A44D8">
            <w:pPr>
              <w:widowControl/>
              <w:snapToGrid w:val="0"/>
              <w:jc w:val="center"/>
              <w:rPr>
                <w:kern w:val="0"/>
                <w:sz w:val="21"/>
                <w:szCs w:val="21"/>
              </w:rPr>
            </w:pPr>
          </w:p>
        </w:tc>
        <w:tc>
          <w:tcPr>
            <w:tcW w:w="309" w:type="pct"/>
            <w:vMerge w:val="continue"/>
            <w:tcBorders>
              <w:tl2br w:val="nil"/>
              <w:tr2bl w:val="nil"/>
            </w:tcBorders>
            <w:noWrap/>
            <w:vAlign w:val="center"/>
          </w:tcPr>
          <w:p w14:paraId="53F73FB6">
            <w:pPr>
              <w:widowControl/>
              <w:snapToGrid w:val="0"/>
              <w:jc w:val="center"/>
              <w:rPr>
                <w:kern w:val="0"/>
                <w:sz w:val="21"/>
                <w:szCs w:val="21"/>
              </w:rPr>
            </w:pPr>
          </w:p>
        </w:tc>
        <w:tc>
          <w:tcPr>
            <w:tcW w:w="357" w:type="pct"/>
            <w:vMerge w:val="continue"/>
            <w:tcBorders>
              <w:tl2br w:val="nil"/>
              <w:tr2bl w:val="nil"/>
            </w:tcBorders>
            <w:noWrap/>
            <w:vAlign w:val="center"/>
          </w:tcPr>
          <w:p w14:paraId="703ED5B0">
            <w:pPr>
              <w:widowControl/>
              <w:snapToGrid w:val="0"/>
              <w:jc w:val="center"/>
              <w:rPr>
                <w:kern w:val="0"/>
                <w:sz w:val="21"/>
                <w:szCs w:val="21"/>
              </w:rPr>
            </w:pPr>
          </w:p>
        </w:tc>
        <w:tc>
          <w:tcPr>
            <w:tcW w:w="414" w:type="pct"/>
            <w:vMerge w:val="continue"/>
            <w:tcBorders>
              <w:tl2br w:val="nil"/>
              <w:tr2bl w:val="nil"/>
            </w:tcBorders>
            <w:noWrap/>
            <w:vAlign w:val="center"/>
          </w:tcPr>
          <w:p w14:paraId="3366C155">
            <w:pPr>
              <w:widowControl/>
              <w:snapToGrid w:val="0"/>
              <w:jc w:val="center"/>
              <w:rPr>
                <w:kern w:val="0"/>
                <w:sz w:val="21"/>
                <w:szCs w:val="21"/>
              </w:rPr>
            </w:pPr>
          </w:p>
        </w:tc>
        <w:tc>
          <w:tcPr>
            <w:tcW w:w="208" w:type="pct"/>
            <w:vMerge w:val="continue"/>
            <w:tcBorders>
              <w:tl2br w:val="nil"/>
              <w:tr2bl w:val="nil"/>
            </w:tcBorders>
            <w:noWrap/>
            <w:vAlign w:val="center"/>
          </w:tcPr>
          <w:p w14:paraId="513AA46C">
            <w:pPr>
              <w:widowControl/>
              <w:snapToGrid w:val="0"/>
              <w:jc w:val="left"/>
              <w:rPr>
                <w:kern w:val="0"/>
                <w:sz w:val="21"/>
                <w:szCs w:val="21"/>
              </w:rPr>
            </w:pPr>
          </w:p>
        </w:tc>
        <w:tc>
          <w:tcPr>
            <w:tcW w:w="256" w:type="pct"/>
            <w:vMerge w:val="continue"/>
            <w:tcBorders>
              <w:tl2br w:val="nil"/>
              <w:tr2bl w:val="nil"/>
            </w:tcBorders>
            <w:noWrap/>
            <w:vAlign w:val="center"/>
          </w:tcPr>
          <w:p w14:paraId="10C6B818">
            <w:pPr>
              <w:widowControl/>
              <w:snapToGrid w:val="0"/>
              <w:jc w:val="left"/>
              <w:rPr>
                <w:kern w:val="0"/>
                <w:sz w:val="21"/>
                <w:szCs w:val="21"/>
              </w:rPr>
            </w:pPr>
          </w:p>
        </w:tc>
        <w:tc>
          <w:tcPr>
            <w:tcW w:w="182" w:type="pct"/>
            <w:vMerge w:val="continue"/>
            <w:tcBorders>
              <w:tl2br w:val="nil"/>
              <w:tr2bl w:val="nil"/>
            </w:tcBorders>
            <w:noWrap/>
            <w:vAlign w:val="center"/>
          </w:tcPr>
          <w:p w14:paraId="787D120C">
            <w:pPr>
              <w:widowControl/>
              <w:snapToGrid w:val="0"/>
              <w:jc w:val="left"/>
              <w:rPr>
                <w:kern w:val="0"/>
                <w:sz w:val="21"/>
                <w:szCs w:val="21"/>
              </w:rPr>
            </w:pPr>
          </w:p>
        </w:tc>
        <w:tc>
          <w:tcPr>
            <w:tcW w:w="178" w:type="pct"/>
            <w:vMerge w:val="continue"/>
            <w:tcBorders>
              <w:tl2br w:val="nil"/>
              <w:tr2bl w:val="nil"/>
            </w:tcBorders>
            <w:noWrap/>
            <w:vAlign w:val="center"/>
          </w:tcPr>
          <w:p w14:paraId="24D3CD84">
            <w:pPr>
              <w:widowControl/>
              <w:snapToGrid w:val="0"/>
              <w:jc w:val="left"/>
              <w:rPr>
                <w:kern w:val="0"/>
                <w:sz w:val="21"/>
                <w:szCs w:val="21"/>
              </w:rPr>
            </w:pPr>
          </w:p>
        </w:tc>
        <w:tc>
          <w:tcPr>
            <w:tcW w:w="155" w:type="pct"/>
            <w:vMerge w:val="continue"/>
            <w:tcBorders>
              <w:tl2br w:val="nil"/>
              <w:tr2bl w:val="nil"/>
            </w:tcBorders>
            <w:noWrap/>
            <w:vAlign w:val="center"/>
          </w:tcPr>
          <w:p w14:paraId="26A7BB65">
            <w:pPr>
              <w:widowControl/>
              <w:snapToGrid w:val="0"/>
              <w:jc w:val="left"/>
              <w:rPr>
                <w:kern w:val="0"/>
                <w:sz w:val="21"/>
                <w:szCs w:val="21"/>
              </w:rPr>
            </w:pPr>
          </w:p>
        </w:tc>
        <w:tc>
          <w:tcPr>
            <w:tcW w:w="301" w:type="pct"/>
            <w:vMerge w:val="continue"/>
            <w:tcBorders>
              <w:tl2br w:val="nil"/>
              <w:tr2bl w:val="nil"/>
            </w:tcBorders>
            <w:noWrap/>
            <w:vAlign w:val="center"/>
          </w:tcPr>
          <w:p w14:paraId="358DE250">
            <w:pPr>
              <w:widowControl/>
              <w:snapToGrid w:val="0"/>
              <w:jc w:val="left"/>
              <w:rPr>
                <w:kern w:val="0"/>
                <w:sz w:val="21"/>
                <w:szCs w:val="21"/>
              </w:rPr>
            </w:pPr>
          </w:p>
        </w:tc>
      </w:tr>
      <w:tr w14:paraId="41BC58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4D8796C5">
            <w:pPr>
              <w:widowControl/>
              <w:snapToGrid w:val="0"/>
              <w:jc w:val="center"/>
              <w:rPr>
                <w:kern w:val="0"/>
                <w:sz w:val="21"/>
                <w:szCs w:val="21"/>
              </w:rPr>
            </w:pPr>
          </w:p>
        </w:tc>
        <w:tc>
          <w:tcPr>
            <w:tcW w:w="273" w:type="pct"/>
            <w:vMerge w:val="continue"/>
            <w:tcBorders>
              <w:tl2br w:val="nil"/>
              <w:tr2bl w:val="nil"/>
            </w:tcBorders>
            <w:noWrap/>
            <w:vAlign w:val="center"/>
          </w:tcPr>
          <w:p w14:paraId="677B8076">
            <w:pPr>
              <w:widowControl/>
              <w:snapToGrid w:val="0"/>
              <w:jc w:val="left"/>
              <w:rPr>
                <w:kern w:val="0"/>
                <w:sz w:val="21"/>
                <w:szCs w:val="21"/>
              </w:rPr>
            </w:pPr>
          </w:p>
        </w:tc>
        <w:tc>
          <w:tcPr>
            <w:tcW w:w="237" w:type="pct"/>
            <w:vMerge w:val="continue"/>
            <w:tcBorders>
              <w:tl2br w:val="nil"/>
              <w:tr2bl w:val="nil"/>
            </w:tcBorders>
            <w:noWrap/>
            <w:vAlign w:val="center"/>
          </w:tcPr>
          <w:p w14:paraId="6F9A7FD2">
            <w:pPr>
              <w:widowControl/>
              <w:snapToGrid w:val="0"/>
              <w:jc w:val="left"/>
              <w:rPr>
                <w:kern w:val="0"/>
                <w:sz w:val="21"/>
                <w:szCs w:val="21"/>
              </w:rPr>
            </w:pPr>
          </w:p>
        </w:tc>
        <w:tc>
          <w:tcPr>
            <w:tcW w:w="250" w:type="pct"/>
            <w:tcBorders>
              <w:tl2br w:val="nil"/>
              <w:tr2bl w:val="nil"/>
            </w:tcBorders>
            <w:noWrap/>
            <w:vAlign w:val="center"/>
          </w:tcPr>
          <w:p w14:paraId="507AB212">
            <w:pPr>
              <w:widowControl/>
              <w:snapToGrid w:val="0"/>
              <w:jc w:val="center"/>
              <w:rPr>
                <w:rFonts w:hAnsi="宋体"/>
                <w:kern w:val="0"/>
                <w:sz w:val="21"/>
                <w:szCs w:val="21"/>
              </w:rPr>
            </w:pPr>
            <w:r>
              <w:rPr>
                <w:kern w:val="0"/>
                <w:sz w:val="21"/>
                <w:szCs w:val="21"/>
              </w:rPr>
              <w:t>H</w:t>
            </w:r>
            <w:r>
              <w:rPr>
                <w:kern w:val="0"/>
                <w:sz w:val="21"/>
                <w:szCs w:val="21"/>
                <w:vertAlign w:val="subscript"/>
              </w:rPr>
              <w:t>2</w:t>
            </w:r>
            <w:r>
              <w:rPr>
                <w:kern w:val="0"/>
                <w:sz w:val="21"/>
                <w:szCs w:val="21"/>
              </w:rPr>
              <w:t>S</w:t>
            </w:r>
          </w:p>
        </w:tc>
        <w:tc>
          <w:tcPr>
            <w:tcW w:w="301" w:type="pct"/>
            <w:tcBorders>
              <w:tl2br w:val="nil"/>
              <w:tr2bl w:val="nil"/>
            </w:tcBorders>
            <w:noWrap/>
            <w:vAlign w:val="center"/>
          </w:tcPr>
          <w:p w14:paraId="7C27EB6C">
            <w:pPr>
              <w:snapToGrid w:val="0"/>
              <w:jc w:val="center"/>
              <w:rPr>
                <w:sz w:val="21"/>
                <w:szCs w:val="21"/>
              </w:rPr>
            </w:pPr>
            <w:r>
              <w:rPr>
                <w:sz w:val="21"/>
                <w:szCs w:val="21"/>
              </w:rPr>
              <w:t>0.35</w:t>
            </w:r>
          </w:p>
        </w:tc>
        <w:tc>
          <w:tcPr>
            <w:tcW w:w="351" w:type="pct"/>
            <w:tcBorders>
              <w:tl2br w:val="nil"/>
              <w:tr2bl w:val="nil"/>
            </w:tcBorders>
            <w:noWrap/>
            <w:vAlign w:val="center"/>
          </w:tcPr>
          <w:p w14:paraId="673364A1">
            <w:pPr>
              <w:snapToGrid w:val="0"/>
              <w:jc w:val="center"/>
              <w:rPr>
                <w:sz w:val="21"/>
                <w:szCs w:val="21"/>
              </w:rPr>
            </w:pPr>
            <w:r>
              <w:rPr>
                <w:sz w:val="21"/>
                <w:szCs w:val="21"/>
              </w:rPr>
              <w:t>0.007</w:t>
            </w:r>
          </w:p>
        </w:tc>
        <w:tc>
          <w:tcPr>
            <w:tcW w:w="359" w:type="pct"/>
            <w:tcBorders>
              <w:tl2br w:val="nil"/>
              <w:tr2bl w:val="nil"/>
            </w:tcBorders>
            <w:noWrap/>
            <w:vAlign w:val="center"/>
          </w:tcPr>
          <w:p w14:paraId="0AB2FE66">
            <w:pPr>
              <w:snapToGrid w:val="0"/>
              <w:jc w:val="center"/>
              <w:rPr>
                <w:sz w:val="21"/>
                <w:szCs w:val="21"/>
              </w:rPr>
            </w:pPr>
            <w:r>
              <w:rPr>
                <w:sz w:val="21"/>
                <w:szCs w:val="21"/>
              </w:rPr>
              <w:t>0.051</w:t>
            </w:r>
          </w:p>
        </w:tc>
        <w:tc>
          <w:tcPr>
            <w:tcW w:w="200" w:type="pct"/>
            <w:vMerge w:val="continue"/>
            <w:tcBorders>
              <w:tl2br w:val="nil"/>
              <w:tr2bl w:val="nil"/>
            </w:tcBorders>
            <w:noWrap/>
            <w:vAlign w:val="center"/>
          </w:tcPr>
          <w:p w14:paraId="0938EA73">
            <w:pPr>
              <w:widowControl/>
              <w:snapToGrid w:val="0"/>
              <w:jc w:val="center"/>
              <w:rPr>
                <w:kern w:val="0"/>
                <w:sz w:val="21"/>
                <w:szCs w:val="21"/>
              </w:rPr>
            </w:pPr>
          </w:p>
        </w:tc>
        <w:tc>
          <w:tcPr>
            <w:tcW w:w="205" w:type="pct"/>
            <w:vMerge w:val="restart"/>
            <w:tcBorders>
              <w:tl2br w:val="nil"/>
              <w:tr2bl w:val="nil"/>
            </w:tcBorders>
            <w:noWrap/>
            <w:vAlign w:val="center"/>
          </w:tcPr>
          <w:p w14:paraId="2A3C35FD">
            <w:pPr>
              <w:widowControl/>
              <w:snapToGrid w:val="0"/>
              <w:jc w:val="center"/>
              <w:rPr>
                <w:kern w:val="0"/>
                <w:sz w:val="21"/>
                <w:szCs w:val="21"/>
              </w:rPr>
            </w:pPr>
            <w:r>
              <w:rPr>
                <w:kern w:val="0"/>
                <w:sz w:val="21"/>
                <w:szCs w:val="21"/>
              </w:rPr>
              <w:t>90</w:t>
            </w:r>
          </w:p>
        </w:tc>
        <w:tc>
          <w:tcPr>
            <w:tcW w:w="259" w:type="pct"/>
            <w:vMerge w:val="restart"/>
            <w:tcBorders>
              <w:tl2br w:val="nil"/>
              <w:tr2bl w:val="nil"/>
            </w:tcBorders>
            <w:noWrap/>
            <w:vAlign w:val="center"/>
          </w:tcPr>
          <w:p w14:paraId="27DEB031">
            <w:pPr>
              <w:widowControl/>
              <w:snapToGrid w:val="0"/>
              <w:jc w:val="center"/>
              <w:rPr>
                <w:kern w:val="0"/>
                <w:sz w:val="21"/>
                <w:szCs w:val="21"/>
              </w:rPr>
            </w:pPr>
            <w:r>
              <w:rPr>
                <w:rFonts w:hAnsi="宋体"/>
                <w:kern w:val="0"/>
                <w:sz w:val="21"/>
                <w:szCs w:val="21"/>
              </w:rPr>
              <w:t>非甲烷总烃</w:t>
            </w:r>
          </w:p>
        </w:tc>
        <w:tc>
          <w:tcPr>
            <w:tcW w:w="309" w:type="pct"/>
            <w:vMerge w:val="restart"/>
            <w:tcBorders>
              <w:tl2br w:val="nil"/>
              <w:tr2bl w:val="nil"/>
            </w:tcBorders>
            <w:noWrap/>
            <w:vAlign w:val="center"/>
          </w:tcPr>
          <w:p w14:paraId="39E0D1CC">
            <w:pPr>
              <w:snapToGrid w:val="0"/>
              <w:jc w:val="center"/>
              <w:rPr>
                <w:sz w:val="21"/>
                <w:szCs w:val="21"/>
              </w:rPr>
            </w:pPr>
            <w:r>
              <w:rPr>
                <w:sz w:val="21"/>
                <w:szCs w:val="21"/>
              </w:rPr>
              <w:t>0.12</w:t>
            </w:r>
          </w:p>
        </w:tc>
        <w:tc>
          <w:tcPr>
            <w:tcW w:w="357" w:type="pct"/>
            <w:vMerge w:val="restart"/>
            <w:tcBorders>
              <w:tl2br w:val="nil"/>
              <w:tr2bl w:val="nil"/>
            </w:tcBorders>
            <w:noWrap/>
            <w:vAlign w:val="center"/>
          </w:tcPr>
          <w:p w14:paraId="337F2E7C">
            <w:pPr>
              <w:snapToGrid w:val="0"/>
              <w:jc w:val="center"/>
              <w:rPr>
                <w:sz w:val="21"/>
                <w:szCs w:val="21"/>
              </w:rPr>
            </w:pPr>
            <w:r>
              <w:rPr>
                <w:sz w:val="21"/>
                <w:szCs w:val="21"/>
              </w:rPr>
              <w:t>0.008</w:t>
            </w:r>
          </w:p>
        </w:tc>
        <w:tc>
          <w:tcPr>
            <w:tcW w:w="414" w:type="pct"/>
            <w:vMerge w:val="restart"/>
            <w:tcBorders>
              <w:tl2br w:val="nil"/>
              <w:tr2bl w:val="nil"/>
            </w:tcBorders>
            <w:noWrap/>
            <w:vAlign w:val="center"/>
          </w:tcPr>
          <w:p w14:paraId="18393488">
            <w:pPr>
              <w:snapToGrid w:val="0"/>
              <w:jc w:val="center"/>
              <w:rPr>
                <w:sz w:val="21"/>
                <w:szCs w:val="21"/>
              </w:rPr>
            </w:pPr>
            <w:r>
              <w:rPr>
                <w:sz w:val="21"/>
                <w:szCs w:val="21"/>
              </w:rPr>
              <w:t>0.0545</w:t>
            </w:r>
          </w:p>
        </w:tc>
        <w:tc>
          <w:tcPr>
            <w:tcW w:w="208" w:type="pct"/>
            <w:vMerge w:val="restart"/>
            <w:tcBorders>
              <w:tl2br w:val="nil"/>
              <w:tr2bl w:val="nil"/>
            </w:tcBorders>
            <w:noWrap/>
            <w:vAlign w:val="center"/>
          </w:tcPr>
          <w:p w14:paraId="2E754396">
            <w:pPr>
              <w:widowControl/>
              <w:snapToGrid w:val="0"/>
              <w:jc w:val="center"/>
              <w:rPr>
                <w:kern w:val="0"/>
                <w:sz w:val="21"/>
                <w:szCs w:val="21"/>
              </w:rPr>
            </w:pPr>
            <w:r>
              <w:rPr>
                <w:rFonts w:hint="eastAsia"/>
                <w:kern w:val="0"/>
                <w:sz w:val="21"/>
                <w:szCs w:val="21"/>
              </w:rPr>
              <w:t>10</w:t>
            </w:r>
          </w:p>
        </w:tc>
        <w:tc>
          <w:tcPr>
            <w:tcW w:w="256" w:type="pct"/>
            <w:vMerge w:val="restart"/>
            <w:tcBorders>
              <w:tl2br w:val="nil"/>
              <w:tr2bl w:val="nil"/>
            </w:tcBorders>
            <w:noWrap/>
            <w:vAlign w:val="center"/>
          </w:tcPr>
          <w:p w14:paraId="59665B53">
            <w:pPr>
              <w:widowControl/>
              <w:snapToGrid w:val="0"/>
              <w:jc w:val="center"/>
              <w:rPr>
                <w:kern w:val="0"/>
                <w:sz w:val="21"/>
                <w:szCs w:val="21"/>
              </w:rPr>
            </w:pPr>
            <w:r>
              <w:rPr>
                <w:rFonts w:hint="eastAsia"/>
                <w:kern w:val="0"/>
                <w:sz w:val="21"/>
                <w:szCs w:val="21"/>
              </w:rPr>
              <w:t>/</w:t>
            </w:r>
          </w:p>
        </w:tc>
        <w:tc>
          <w:tcPr>
            <w:tcW w:w="182" w:type="pct"/>
            <w:vMerge w:val="continue"/>
            <w:tcBorders>
              <w:tl2br w:val="nil"/>
              <w:tr2bl w:val="nil"/>
            </w:tcBorders>
            <w:noWrap/>
            <w:vAlign w:val="center"/>
          </w:tcPr>
          <w:p w14:paraId="03728DF2">
            <w:pPr>
              <w:widowControl/>
              <w:snapToGrid w:val="0"/>
              <w:jc w:val="left"/>
              <w:rPr>
                <w:kern w:val="0"/>
                <w:sz w:val="21"/>
                <w:szCs w:val="21"/>
              </w:rPr>
            </w:pPr>
          </w:p>
        </w:tc>
        <w:tc>
          <w:tcPr>
            <w:tcW w:w="178" w:type="pct"/>
            <w:vMerge w:val="continue"/>
            <w:tcBorders>
              <w:tl2br w:val="nil"/>
              <w:tr2bl w:val="nil"/>
            </w:tcBorders>
            <w:noWrap/>
            <w:vAlign w:val="center"/>
          </w:tcPr>
          <w:p w14:paraId="0D128E00">
            <w:pPr>
              <w:widowControl/>
              <w:snapToGrid w:val="0"/>
              <w:jc w:val="left"/>
              <w:rPr>
                <w:kern w:val="0"/>
                <w:sz w:val="21"/>
                <w:szCs w:val="21"/>
              </w:rPr>
            </w:pPr>
          </w:p>
        </w:tc>
        <w:tc>
          <w:tcPr>
            <w:tcW w:w="155" w:type="pct"/>
            <w:vMerge w:val="continue"/>
            <w:tcBorders>
              <w:tl2br w:val="nil"/>
              <w:tr2bl w:val="nil"/>
            </w:tcBorders>
            <w:noWrap/>
            <w:vAlign w:val="center"/>
          </w:tcPr>
          <w:p w14:paraId="63C752F4">
            <w:pPr>
              <w:widowControl/>
              <w:snapToGrid w:val="0"/>
              <w:jc w:val="left"/>
              <w:rPr>
                <w:kern w:val="0"/>
                <w:sz w:val="21"/>
                <w:szCs w:val="21"/>
              </w:rPr>
            </w:pPr>
          </w:p>
        </w:tc>
        <w:tc>
          <w:tcPr>
            <w:tcW w:w="301" w:type="pct"/>
            <w:vMerge w:val="continue"/>
            <w:tcBorders>
              <w:tl2br w:val="nil"/>
              <w:tr2bl w:val="nil"/>
            </w:tcBorders>
            <w:noWrap/>
            <w:vAlign w:val="center"/>
          </w:tcPr>
          <w:p w14:paraId="49FA720B">
            <w:pPr>
              <w:widowControl/>
              <w:snapToGrid w:val="0"/>
              <w:jc w:val="left"/>
              <w:rPr>
                <w:kern w:val="0"/>
                <w:sz w:val="21"/>
                <w:szCs w:val="21"/>
              </w:rPr>
            </w:pPr>
          </w:p>
        </w:tc>
      </w:tr>
      <w:tr w14:paraId="5472D2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vMerge w:val="continue"/>
            <w:tcBorders>
              <w:tl2br w:val="nil"/>
              <w:tr2bl w:val="nil"/>
            </w:tcBorders>
            <w:noWrap/>
            <w:vAlign w:val="center"/>
          </w:tcPr>
          <w:p w14:paraId="27E863CA">
            <w:pPr>
              <w:widowControl/>
              <w:snapToGrid w:val="0"/>
              <w:jc w:val="center"/>
              <w:rPr>
                <w:kern w:val="0"/>
                <w:sz w:val="21"/>
                <w:szCs w:val="21"/>
              </w:rPr>
            </w:pPr>
          </w:p>
        </w:tc>
        <w:tc>
          <w:tcPr>
            <w:tcW w:w="273" w:type="pct"/>
            <w:vMerge w:val="continue"/>
            <w:tcBorders>
              <w:tl2br w:val="nil"/>
              <w:tr2bl w:val="nil"/>
            </w:tcBorders>
            <w:noWrap/>
            <w:vAlign w:val="center"/>
          </w:tcPr>
          <w:p w14:paraId="2AC4A46F">
            <w:pPr>
              <w:widowControl/>
              <w:snapToGrid w:val="0"/>
              <w:jc w:val="left"/>
              <w:rPr>
                <w:kern w:val="0"/>
                <w:sz w:val="21"/>
                <w:szCs w:val="21"/>
              </w:rPr>
            </w:pPr>
          </w:p>
        </w:tc>
        <w:tc>
          <w:tcPr>
            <w:tcW w:w="237" w:type="pct"/>
            <w:vMerge w:val="continue"/>
            <w:tcBorders>
              <w:tl2br w:val="nil"/>
              <w:tr2bl w:val="nil"/>
            </w:tcBorders>
            <w:noWrap/>
            <w:vAlign w:val="center"/>
          </w:tcPr>
          <w:p w14:paraId="78423C0B">
            <w:pPr>
              <w:widowControl/>
              <w:snapToGrid w:val="0"/>
              <w:jc w:val="left"/>
              <w:rPr>
                <w:kern w:val="0"/>
                <w:sz w:val="21"/>
                <w:szCs w:val="21"/>
              </w:rPr>
            </w:pPr>
          </w:p>
        </w:tc>
        <w:tc>
          <w:tcPr>
            <w:tcW w:w="250" w:type="pct"/>
            <w:tcBorders>
              <w:tl2br w:val="nil"/>
              <w:tr2bl w:val="nil"/>
            </w:tcBorders>
            <w:noWrap/>
            <w:vAlign w:val="center"/>
          </w:tcPr>
          <w:p w14:paraId="46DFFE3A">
            <w:pPr>
              <w:widowControl/>
              <w:snapToGrid w:val="0"/>
              <w:jc w:val="center"/>
              <w:rPr>
                <w:rFonts w:hAnsi="宋体"/>
                <w:kern w:val="0"/>
                <w:sz w:val="21"/>
                <w:szCs w:val="21"/>
              </w:rPr>
            </w:pPr>
            <w:r>
              <w:rPr>
                <w:rFonts w:hAnsi="宋体"/>
                <w:kern w:val="0"/>
                <w:sz w:val="21"/>
                <w:szCs w:val="21"/>
              </w:rPr>
              <w:t>非甲烷总烃</w:t>
            </w:r>
          </w:p>
        </w:tc>
        <w:tc>
          <w:tcPr>
            <w:tcW w:w="301" w:type="pct"/>
            <w:tcBorders>
              <w:tl2br w:val="nil"/>
              <w:tr2bl w:val="nil"/>
            </w:tcBorders>
            <w:noWrap/>
            <w:vAlign w:val="center"/>
          </w:tcPr>
          <w:p w14:paraId="21DE4601">
            <w:pPr>
              <w:snapToGrid w:val="0"/>
              <w:jc w:val="center"/>
              <w:rPr>
                <w:sz w:val="21"/>
                <w:szCs w:val="21"/>
              </w:rPr>
            </w:pPr>
            <w:r>
              <w:rPr>
                <w:sz w:val="21"/>
                <w:szCs w:val="21"/>
              </w:rPr>
              <w:t>1.11</w:t>
            </w:r>
          </w:p>
        </w:tc>
        <w:tc>
          <w:tcPr>
            <w:tcW w:w="351" w:type="pct"/>
            <w:tcBorders>
              <w:tl2br w:val="nil"/>
              <w:tr2bl w:val="nil"/>
            </w:tcBorders>
            <w:noWrap/>
            <w:vAlign w:val="center"/>
          </w:tcPr>
          <w:p w14:paraId="3CDDFCA9">
            <w:pPr>
              <w:snapToGrid w:val="0"/>
              <w:jc w:val="center"/>
              <w:rPr>
                <w:sz w:val="21"/>
                <w:szCs w:val="21"/>
              </w:rPr>
            </w:pPr>
            <w:r>
              <w:rPr>
                <w:sz w:val="21"/>
                <w:szCs w:val="21"/>
              </w:rPr>
              <w:t>0.022</w:t>
            </w:r>
          </w:p>
        </w:tc>
        <w:tc>
          <w:tcPr>
            <w:tcW w:w="359" w:type="pct"/>
            <w:tcBorders>
              <w:tl2br w:val="nil"/>
              <w:tr2bl w:val="nil"/>
            </w:tcBorders>
            <w:noWrap/>
            <w:vAlign w:val="center"/>
          </w:tcPr>
          <w:p w14:paraId="086C195A">
            <w:pPr>
              <w:snapToGrid w:val="0"/>
              <w:jc w:val="center"/>
              <w:rPr>
                <w:sz w:val="21"/>
                <w:szCs w:val="21"/>
              </w:rPr>
            </w:pPr>
            <w:r>
              <w:rPr>
                <w:sz w:val="21"/>
                <w:szCs w:val="21"/>
              </w:rPr>
              <w:t>0.16</w:t>
            </w:r>
          </w:p>
        </w:tc>
        <w:tc>
          <w:tcPr>
            <w:tcW w:w="200" w:type="pct"/>
            <w:vMerge w:val="continue"/>
            <w:tcBorders>
              <w:tl2br w:val="nil"/>
              <w:tr2bl w:val="nil"/>
            </w:tcBorders>
            <w:noWrap/>
            <w:vAlign w:val="center"/>
          </w:tcPr>
          <w:p w14:paraId="19FC0FDD">
            <w:pPr>
              <w:widowControl/>
              <w:snapToGrid w:val="0"/>
              <w:jc w:val="center"/>
              <w:rPr>
                <w:kern w:val="0"/>
                <w:sz w:val="21"/>
                <w:szCs w:val="21"/>
              </w:rPr>
            </w:pPr>
          </w:p>
        </w:tc>
        <w:tc>
          <w:tcPr>
            <w:tcW w:w="205" w:type="pct"/>
            <w:vMerge w:val="continue"/>
            <w:tcBorders>
              <w:tl2br w:val="nil"/>
              <w:tr2bl w:val="nil"/>
            </w:tcBorders>
            <w:noWrap/>
            <w:vAlign w:val="center"/>
          </w:tcPr>
          <w:p w14:paraId="1E80EDC9">
            <w:pPr>
              <w:widowControl/>
              <w:snapToGrid w:val="0"/>
              <w:jc w:val="center"/>
              <w:rPr>
                <w:kern w:val="0"/>
                <w:sz w:val="21"/>
                <w:szCs w:val="21"/>
              </w:rPr>
            </w:pPr>
          </w:p>
        </w:tc>
        <w:tc>
          <w:tcPr>
            <w:tcW w:w="259" w:type="pct"/>
            <w:vMerge w:val="continue"/>
            <w:tcBorders>
              <w:tl2br w:val="nil"/>
              <w:tr2bl w:val="nil"/>
            </w:tcBorders>
            <w:noWrap/>
            <w:vAlign w:val="center"/>
          </w:tcPr>
          <w:p w14:paraId="030E44B6">
            <w:pPr>
              <w:widowControl/>
              <w:snapToGrid w:val="0"/>
              <w:jc w:val="center"/>
              <w:rPr>
                <w:kern w:val="0"/>
                <w:sz w:val="21"/>
                <w:szCs w:val="21"/>
              </w:rPr>
            </w:pPr>
          </w:p>
        </w:tc>
        <w:tc>
          <w:tcPr>
            <w:tcW w:w="309" w:type="pct"/>
            <w:vMerge w:val="continue"/>
            <w:tcBorders>
              <w:tl2br w:val="nil"/>
              <w:tr2bl w:val="nil"/>
            </w:tcBorders>
            <w:noWrap/>
            <w:vAlign w:val="center"/>
          </w:tcPr>
          <w:p w14:paraId="22DC39E3">
            <w:pPr>
              <w:widowControl/>
              <w:snapToGrid w:val="0"/>
              <w:jc w:val="center"/>
              <w:rPr>
                <w:kern w:val="0"/>
                <w:sz w:val="21"/>
                <w:szCs w:val="21"/>
              </w:rPr>
            </w:pPr>
          </w:p>
        </w:tc>
        <w:tc>
          <w:tcPr>
            <w:tcW w:w="357" w:type="pct"/>
            <w:vMerge w:val="continue"/>
            <w:tcBorders>
              <w:tl2br w:val="nil"/>
              <w:tr2bl w:val="nil"/>
            </w:tcBorders>
            <w:noWrap/>
            <w:vAlign w:val="center"/>
          </w:tcPr>
          <w:p w14:paraId="2433A81F">
            <w:pPr>
              <w:widowControl/>
              <w:snapToGrid w:val="0"/>
              <w:jc w:val="center"/>
              <w:rPr>
                <w:kern w:val="0"/>
                <w:sz w:val="21"/>
                <w:szCs w:val="21"/>
              </w:rPr>
            </w:pPr>
          </w:p>
        </w:tc>
        <w:tc>
          <w:tcPr>
            <w:tcW w:w="414" w:type="pct"/>
            <w:vMerge w:val="continue"/>
            <w:tcBorders>
              <w:tl2br w:val="nil"/>
              <w:tr2bl w:val="nil"/>
            </w:tcBorders>
            <w:noWrap/>
            <w:vAlign w:val="center"/>
          </w:tcPr>
          <w:p w14:paraId="5A795651">
            <w:pPr>
              <w:widowControl/>
              <w:snapToGrid w:val="0"/>
              <w:jc w:val="center"/>
              <w:rPr>
                <w:kern w:val="0"/>
                <w:sz w:val="21"/>
                <w:szCs w:val="21"/>
              </w:rPr>
            </w:pPr>
          </w:p>
        </w:tc>
        <w:tc>
          <w:tcPr>
            <w:tcW w:w="208" w:type="pct"/>
            <w:vMerge w:val="continue"/>
            <w:tcBorders>
              <w:tl2br w:val="nil"/>
              <w:tr2bl w:val="nil"/>
            </w:tcBorders>
            <w:noWrap/>
            <w:vAlign w:val="center"/>
          </w:tcPr>
          <w:p w14:paraId="230DFA8A">
            <w:pPr>
              <w:widowControl/>
              <w:snapToGrid w:val="0"/>
              <w:jc w:val="center"/>
              <w:rPr>
                <w:kern w:val="0"/>
                <w:sz w:val="21"/>
                <w:szCs w:val="21"/>
              </w:rPr>
            </w:pPr>
          </w:p>
        </w:tc>
        <w:tc>
          <w:tcPr>
            <w:tcW w:w="256" w:type="pct"/>
            <w:vMerge w:val="continue"/>
            <w:tcBorders>
              <w:tl2br w:val="nil"/>
              <w:tr2bl w:val="nil"/>
            </w:tcBorders>
            <w:noWrap/>
            <w:vAlign w:val="center"/>
          </w:tcPr>
          <w:p w14:paraId="6F6FCF5B">
            <w:pPr>
              <w:widowControl/>
              <w:snapToGrid w:val="0"/>
              <w:jc w:val="center"/>
              <w:rPr>
                <w:kern w:val="0"/>
                <w:sz w:val="21"/>
                <w:szCs w:val="21"/>
              </w:rPr>
            </w:pPr>
          </w:p>
        </w:tc>
        <w:tc>
          <w:tcPr>
            <w:tcW w:w="182" w:type="pct"/>
            <w:vMerge w:val="continue"/>
            <w:tcBorders>
              <w:tl2br w:val="nil"/>
              <w:tr2bl w:val="nil"/>
            </w:tcBorders>
            <w:noWrap/>
            <w:vAlign w:val="center"/>
          </w:tcPr>
          <w:p w14:paraId="39B9C439">
            <w:pPr>
              <w:widowControl/>
              <w:snapToGrid w:val="0"/>
              <w:jc w:val="left"/>
              <w:rPr>
                <w:kern w:val="0"/>
                <w:sz w:val="21"/>
                <w:szCs w:val="21"/>
              </w:rPr>
            </w:pPr>
          </w:p>
        </w:tc>
        <w:tc>
          <w:tcPr>
            <w:tcW w:w="178" w:type="pct"/>
            <w:vMerge w:val="continue"/>
            <w:tcBorders>
              <w:tl2br w:val="nil"/>
              <w:tr2bl w:val="nil"/>
            </w:tcBorders>
            <w:noWrap/>
            <w:vAlign w:val="center"/>
          </w:tcPr>
          <w:p w14:paraId="5362DEC9">
            <w:pPr>
              <w:widowControl/>
              <w:snapToGrid w:val="0"/>
              <w:jc w:val="left"/>
              <w:rPr>
                <w:kern w:val="0"/>
                <w:sz w:val="21"/>
                <w:szCs w:val="21"/>
              </w:rPr>
            </w:pPr>
          </w:p>
        </w:tc>
        <w:tc>
          <w:tcPr>
            <w:tcW w:w="155" w:type="pct"/>
            <w:vMerge w:val="continue"/>
            <w:tcBorders>
              <w:tl2br w:val="nil"/>
              <w:tr2bl w:val="nil"/>
            </w:tcBorders>
            <w:noWrap/>
            <w:vAlign w:val="center"/>
          </w:tcPr>
          <w:p w14:paraId="5F78B468">
            <w:pPr>
              <w:widowControl/>
              <w:snapToGrid w:val="0"/>
              <w:jc w:val="left"/>
              <w:rPr>
                <w:kern w:val="0"/>
                <w:sz w:val="21"/>
                <w:szCs w:val="21"/>
              </w:rPr>
            </w:pPr>
          </w:p>
        </w:tc>
        <w:tc>
          <w:tcPr>
            <w:tcW w:w="301" w:type="pct"/>
            <w:vMerge w:val="continue"/>
            <w:tcBorders>
              <w:tl2br w:val="nil"/>
              <w:tr2bl w:val="nil"/>
            </w:tcBorders>
            <w:noWrap/>
            <w:vAlign w:val="center"/>
          </w:tcPr>
          <w:p w14:paraId="081471AB">
            <w:pPr>
              <w:widowControl/>
              <w:snapToGrid w:val="0"/>
              <w:jc w:val="left"/>
              <w:rPr>
                <w:kern w:val="0"/>
                <w:sz w:val="21"/>
                <w:szCs w:val="21"/>
              </w:rPr>
            </w:pPr>
          </w:p>
        </w:tc>
      </w:tr>
      <w:tr w14:paraId="1F1247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tcBorders>
              <w:tl2br w:val="nil"/>
              <w:tr2bl w:val="nil"/>
            </w:tcBorders>
            <w:noWrap/>
            <w:vAlign w:val="center"/>
          </w:tcPr>
          <w:p w14:paraId="10B3BC76">
            <w:pPr>
              <w:widowControl/>
              <w:snapToGrid w:val="0"/>
              <w:jc w:val="center"/>
              <w:rPr>
                <w:kern w:val="0"/>
                <w:sz w:val="21"/>
                <w:szCs w:val="21"/>
              </w:rPr>
            </w:pPr>
            <w:r>
              <w:rPr>
                <w:kern w:val="0"/>
                <w:sz w:val="21"/>
                <w:szCs w:val="21"/>
              </w:rPr>
              <w:t>4#</w:t>
            </w:r>
          </w:p>
        </w:tc>
        <w:tc>
          <w:tcPr>
            <w:tcW w:w="273" w:type="pct"/>
            <w:tcBorders>
              <w:tl2br w:val="nil"/>
              <w:tr2bl w:val="nil"/>
            </w:tcBorders>
            <w:noWrap/>
            <w:vAlign w:val="center"/>
          </w:tcPr>
          <w:p w14:paraId="618CCA5E">
            <w:pPr>
              <w:widowControl/>
              <w:snapToGrid w:val="0"/>
              <w:jc w:val="center"/>
              <w:rPr>
                <w:kern w:val="0"/>
                <w:sz w:val="21"/>
                <w:szCs w:val="21"/>
              </w:rPr>
            </w:pPr>
            <w:r>
              <w:rPr>
                <w:kern w:val="0"/>
                <w:sz w:val="21"/>
                <w:szCs w:val="21"/>
              </w:rPr>
              <w:t>4000</w:t>
            </w:r>
          </w:p>
        </w:tc>
        <w:tc>
          <w:tcPr>
            <w:tcW w:w="237" w:type="pct"/>
            <w:tcBorders>
              <w:tl2br w:val="nil"/>
              <w:tr2bl w:val="nil"/>
            </w:tcBorders>
            <w:noWrap/>
            <w:vAlign w:val="center"/>
          </w:tcPr>
          <w:p w14:paraId="713FBD84">
            <w:pPr>
              <w:widowControl/>
              <w:snapToGrid w:val="0"/>
              <w:jc w:val="center"/>
              <w:rPr>
                <w:kern w:val="0"/>
                <w:sz w:val="21"/>
                <w:szCs w:val="21"/>
              </w:rPr>
            </w:pPr>
            <w:r>
              <w:rPr>
                <w:rFonts w:hAnsi="宋体"/>
                <w:kern w:val="0"/>
                <w:sz w:val="21"/>
                <w:szCs w:val="21"/>
              </w:rPr>
              <w:t>食堂油烟</w:t>
            </w:r>
          </w:p>
        </w:tc>
        <w:tc>
          <w:tcPr>
            <w:tcW w:w="250" w:type="pct"/>
            <w:tcBorders>
              <w:tl2br w:val="nil"/>
              <w:tr2bl w:val="nil"/>
            </w:tcBorders>
            <w:noWrap/>
            <w:vAlign w:val="center"/>
          </w:tcPr>
          <w:p w14:paraId="5A30B9DE">
            <w:pPr>
              <w:widowControl/>
              <w:snapToGrid w:val="0"/>
              <w:jc w:val="center"/>
              <w:rPr>
                <w:kern w:val="0"/>
                <w:sz w:val="21"/>
                <w:szCs w:val="21"/>
              </w:rPr>
            </w:pPr>
            <w:r>
              <w:rPr>
                <w:rFonts w:hAnsi="宋体"/>
                <w:kern w:val="0"/>
                <w:sz w:val="21"/>
                <w:szCs w:val="21"/>
              </w:rPr>
              <w:t>油烟</w:t>
            </w:r>
          </w:p>
        </w:tc>
        <w:tc>
          <w:tcPr>
            <w:tcW w:w="301" w:type="pct"/>
            <w:tcBorders>
              <w:tl2br w:val="nil"/>
              <w:tr2bl w:val="nil"/>
            </w:tcBorders>
            <w:noWrap/>
            <w:vAlign w:val="center"/>
          </w:tcPr>
          <w:p w14:paraId="64BE9213">
            <w:pPr>
              <w:snapToGrid w:val="0"/>
              <w:jc w:val="center"/>
              <w:rPr>
                <w:sz w:val="21"/>
                <w:szCs w:val="21"/>
              </w:rPr>
            </w:pPr>
            <w:r>
              <w:rPr>
                <w:sz w:val="21"/>
                <w:szCs w:val="21"/>
              </w:rPr>
              <w:t>2.50</w:t>
            </w:r>
          </w:p>
        </w:tc>
        <w:tc>
          <w:tcPr>
            <w:tcW w:w="351" w:type="pct"/>
            <w:tcBorders>
              <w:tl2br w:val="nil"/>
              <w:tr2bl w:val="nil"/>
            </w:tcBorders>
            <w:noWrap/>
            <w:vAlign w:val="center"/>
          </w:tcPr>
          <w:p w14:paraId="01B82E11">
            <w:pPr>
              <w:snapToGrid w:val="0"/>
              <w:jc w:val="center"/>
              <w:rPr>
                <w:sz w:val="21"/>
                <w:szCs w:val="21"/>
              </w:rPr>
            </w:pPr>
            <w:r>
              <w:rPr>
                <w:sz w:val="21"/>
                <w:szCs w:val="21"/>
              </w:rPr>
              <w:t>0.010</w:t>
            </w:r>
          </w:p>
        </w:tc>
        <w:tc>
          <w:tcPr>
            <w:tcW w:w="359" w:type="pct"/>
            <w:tcBorders>
              <w:tl2br w:val="nil"/>
              <w:tr2bl w:val="nil"/>
            </w:tcBorders>
            <w:noWrap/>
            <w:vAlign w:val="center"/>
          </w:tcPr>
          <w:p w14:paraId="27DD500C">
            <w:pPr>
              <w:snapToGrid w:val="0"/>
              <w:jc w:val="center"/>
              <w:rPr>
                <w:sz w:val="21"/>
                <w:szCs w:val="21"/>
              </w:rPr>
            </w:pPr>
            <w:r>
              <w:rPr>
                <w:sz w:val="21"/>
                <w:szCs w:val="21"/>
              </w:rPr>
              <w:t>0.012</w:t>
            </w:r>
          </w:p>
        </w:tc>
        <w:tc>
          <w:tcPr>
            <w:tcW w:w="200" w:type="pct"/>
            <w:tcBorders>
              <w:tl2br w:val="nil"/>
              <w:tr2bl w:val="nil"/>
            </w:tcBorders>
            <w:noWrap/>
            <w:vAlign w:val="center"/>
          </w:tcPr>
          <w:p w14:paraId="34AE8910">
            <w:pPr>
              <w:widowControl/>
              <w:snapToGrid w:val="0"/>
              <w:jc w:val="center"/>
              <w:rPr>
                <w:kern w:val="0"/>
                <w:sz w:val="21"/>
                <w:szCs w:val="21"/>
              </w:rPr>
            </w:pPr>
            <w:r>
              <w:rPr>
                <w:rFonts w:hAnsi="宋体"/>
                <w:kern w:val="0"/>
                <w:sz w:val="21"/>
                <w:szCs w:val="21"/>
              </w:rPr>
              <w:t>脱油烟机</w:t>
            </w:r>
          </w:p>
        </w:tc>
        <w:tc>
          <w:tcPr>
            <w:tcW w:w="205" w:type="pct"/>
            <w:tcBorders>
              <w:tl2br w:val="nil"/>
              <w:tr2bl w:val="nil"/>
            </w:tcBorders>
            <w:noWrap/>
            <w:vAlign w:val="center"/>
          </w:tcPr>
          <w:p w14:paraId="2CA5811A">
            <w:pPr>
              <w:widowControl/>
              <w:snapToGrid w:val="0"/>
              <w:jc w:val="center"/>
              <w:rPr>
                <w:kern w:val="0"/>
                <w:sz w:val="21"/>
                <w:szCs w:val="21"/>
              </w:rPr>
            </w:pPr>
            <w:r>
              <w:rPr>
                <w:kern w:val="0"/>
                <w:sz w:val="21"/>
                <w:szCs w:val="21"/>
              </w:rPr>
              <w:t>85</w:t>
            </w:r>
          </w:p>
        </w:tc>
        <w:tc>
          <w:tcPr>
            <w:tcW w:w="259" w:type="pct"/>
            <w:tcBorders>
              <w:tl2br w:val="nil"/>
              <w:tr2bl w:val="nil"/>
            </w:tcBorders>
            <w:noWrap/>
            <w:vAlign w:val="center"/>
          </w:tcPr>
          <w:p w14:paraId="4258FA77">
            <w:pPr>
              <w:widowControl/>
              <w:snapToGrid w:val="0"/>
              <w:jc w:val="center"/>
              <w:rPr>
                <w:kern w:val="0"/>
                <w:sz w:val="21"/>
                <w:szCs w:val="21"/>
              </w:rPr>
            </w:pPr>
            <w:r>
              <w:rPr>
                <w:rFonts w:hAnsi="宋体"/>
                <w:kern w:val="0"/>
                <w:sz w:val="21"/>
                <w:szCs w:val="21"/>
              </w:rPr>
              <w:t>油烟</w:t>
            </w:r>
          </w:p>
        </w:tc>
        <w:tc>
          <w:tcPr>
            <w:tcW w:w="309" w:type="pct"/>
            <w:tcBorders>
              <w:tl2br w:val="nil"/>
              <w:tr2bl w:val="nil"/>
            </w:tcBorders>
            <w:noWrap/>
            <w:vAlign w:val="center"/>
          </w:tcPr>
          <w:p w14:paraId="641FCA76">
            <w:pPr>
              <w:snapToGrid w:val="0"/>
              <w:jc w:val="center"/>
              <w:rPr>
                <w:sz w:val="21"/>
                <w:szCs w:val="21"/>
              </w:rPr>
            </w:pPr>
            <w:r>
              <w:rPr>
                <w:sz w:val="21"/>
                <w:szCs w:val="21"/>
              </w:rPr>
              <w:t>0.42</w:t>
            </w:r>
          </w:p>
        </w:tc>
        <w:tc>
          <w:tcPr>
            <w:tcW w:w="357" w:type="pct"/>
            <w:tcBorders>
              <w:tl2br w:val="nil"/>
              <w:tr2bl w:val="nil"/>
            </w:tcBorders>
            <w:noWrap/>
            <w:vAlign w:val="center"/>
          </w:tcPr>
          <w:p w14:paraId="3E955CC5">
            <w:pPr>
              <w:snapToGrid w:val="0"/>
              <w:jc w:val="center"/>
              <w:rPr>
                <w:sz w:val="21"/>
                <w:szCs w:val="21"/>
              </w:rPr>
            </w:pPr>
            <w:r>
              <w:rPr>
                <w:sz w:val="21"/>
                <w:szCs w:val="21"/>
              </w:rPr>
              <w:t>0.002</w:t>
            </w:r>
          </w:p>
        </w:tc>
        <w:tc>
          <w:tcPr>
            <w:tcW w:w="414" w:type="pct"/>
            <w:tcBorders>
              <w:tl2br w:val="nil"/>
              <w:tr2bl w:val="nil"/>
            </w:tcBorders>
            <w:noWrap/>
            <w:vAlign w:val="center"/>
          </w:tcPr>
          <w:p w14:paraId="71439377">
            <w:pPr>
              <w:snapToGrid w:val="0"/>
              <w:jc w:val="center"/>
              <w:rPr>
                <w:sz w:val="21"/>
                <w:szCs w:val="21"/>
              </w:rPr>
            </w:pPr>
            <w:r>
              <w:rPr>
                <w:sz w:val="21"/>
                <w:szCs w:val="21"/>
              </w:rPr>
              <w:t>0.002</w:t>
            </w:r>
          </w:p>
        </w:tc>
        <w:tc>
          <w:tcPr>
            <w:tcW w:w="208" w:type="pct"/>
            <w:tcBorders>
              <w:tl2br w:val="nil"/>
              <w:tr2bl w:val="nil"/>
            </w:tcBorders>
            <w:noWrap/>
            <w:vAlign w:val="center"/>
          </w:tcPr>
          <w:p w14:paraId="21B5947F">
            <w:pPr>
              <w:widowControl/>
              <w:snapToGrid w:val="0"/>
              <w:jc w:val="center"/>
              <w:rPr>
                <w:kern w:val="0"/>
                <w:sz w:val="21"/>
                <w:szCs w:val="21"/>
              </w:rPr>
            </w:pPr>
            <w:r>
              <w:rPr>
                <w:kern w:val="0"/>
                <w:sz w:val="21"/>
                <w:szCs w:val="21"/>
              </w:rPr>
              <w:t>2</w:t>
            </w:r>
          </w:p>
        </w:tc>
        <w:tc>
          <w:tcPr>
            <w:tcW w:w="256" w:type="pct"/>
            <w:tcBorders>
              <w:tl2br w:val="nil"/>
              <w:tr2bl w:val="nil"/>
            </w:tcBorders>
            <w:noWrap/>
            <w:vAlign w:val="center"/>
          </w:tcPr>
          <w:p w14:paraId="1F07E0AD">
            <w:pPr>
              <w:widowControl/>
              <w:snapToGrid w:val="0"/>
              <w:jc w:val="center"/>
              <w:rPr>
                <w:kern w:val="0"/>
                <w:sz w:val="21"/>
                <w:szCs w:val="21"/>
              </w:rPr>
            </w:pPr>
            <w:r>
              <w:rPr>
                <w:kern w:val="0"/>
                <w:sz w:val="21"/>
                <w:szCs w:val="21"/>
              </w:rPr>
              <w:t>/</w:t>
            </w:r>
          </w:p>
        </w:tc>
        <w:tc>
          <w:tcPr>
            <w:tcW w:w="182" w:type="pct"/>
            <w:tcBorders>
              <w:tl2br w:val="nil"/>
              <w:tr2bl w:val="nil"/>
            </w:tcBorders>
            <w:noWrap/>
            <w:vAlign w:val="center"/>
          </w:tcPr>
          <w:p w14:paraId="53F67443">
            <w:pPr>
              <w:widowControl/>
              <w:snapToGrid w:val="0"/>
              <w:jc w:val="center"/>
              <w:rPr>
                <w:kern w:val="0"/>
                <w:sz w:val="21"/>
                <w:szCs w:val="21"/>
              </w:rPr>
            </w:pPr>
            <w:r>
              <w:rPr>
                <w:kern w:val="0"/>
                <w:sz w:val="21"/>
                <w:szCs w:val="21"/>
              </w:rPr>
              <w:t>8</w:t>
            </w:r>
          </w:p>
        </w:tc>
        <w:tc>
          <w:tcPr>
            <w:tcW w:w="178" w:type="pct"/>
            <w:tcBorders>
              <w:tl2br w:val="nil"/>
              <w:tr2bl w:val="nil"/>
            </w:tcBorders>
            <w:noWrap/>
            <w:vAlign w:val="center"/>
          </w:tcPr>
          <w:p w14:paraId="12B6CEC9">
            <w:pPr>
              <w:widowControl/>
              <w:snapToGrid w:val="0"/>
              <w:jc w:val="center"/>
              <w:rPr>
                <w:kern w:val="0"/>
                <w:sz w:val="21"/>
                <w:szCs w:val="21"/>
              </w:rPr>
            </w:pPr>
            <w:r>
              <w:rPr>
                <w:rFonts w:hint="eastAsia"/>
                <w:kern w:val="0"/>
                <w:sz w:val="21"/>
                <w:szCs w:val="21"/>
              </w:rPr>
              <w:t>0.3</w:t>
            </w:r>
          </w:p>
        </w:tc>
        <w:tc>
          <w:tcPr>
            <w:tcW w:w="155" w:type="pct"/>
            <w:tcBorders>
              <w:tl2br w:val="nil"/>
              <w:tr2bl w:val="nil"/>
            </w:tcBorders>
            <w:noWrap/>
            <w:vAlign w:val="center"/>
          </w:tcPr>
          <w:p w14:paraId="562F92E4">
            <w:pPr>
              <w:widowControl/>
              <w:snapToGrid w:val="0"/>
              <w:jc w:val="center"/>
              <w:rPr>
                <w:kern w:val="0"/>
                <w:sz w:val="21"/>
                <w:szCs w:val="21"/>
              </w:rPr>
            </w:pPr>
            <w:r>
              <w:rPr>
                <w:kern w:val="0"/>
                <w:sz w:val="21"/>
                <w:szCs w:val="21"/>
              </w:rPr>
              <w:t>40</w:t>
            </w:r>
          </w:p>
        </w:tc>
        <w:tc>
          <w:tcPr>
            <w:tcW w:w="301" w:type="pct"/>
            <w:tcBorders>
              <w:tl2br w:val="nil"/>
              <w:tr2bl w:val="nil"/>
            </w:tcBorders>
            <w:noWrap/>
            <w:vAlign w:val="center"/>
          </w:tcPr>
          <w:p w14:paraId="6D08B596">
            <w:pPr>
              <w:widowControl/>
              <w:snapToGrid w:val="0"/>
              <w:jc w:val="center"/>
              <w:rPr>
                <w:kern w:val="0"/>
                <w:sz w:val="21"/>
                <w:szCs w:val="21"/>
              </w:rPr>
            </w:pPr>
            <w:r>
              <w:rPr>
                <w:rFonts w:hAnsi="宋体"/>
                <w:kern w:val="0"/>
                <w:sz w:val="21"/>
                <w:szCs w:val="21"/>
              </w:rPr>
              <w:t>间歇</w:t>
            </w:r>
          </w:p>
          <w:p w14:paraId="31A65080">
            <w:pPr>
              <w:snapToGrid w:val="0"/>
              <w:jc w:val="center"/>
              <w:rPr>
                <w:kern w:val="0"/>
                <w:sz w:val="21"/>
                <w:szCs w:val="21"/>
              </w:rPr>
            </w:pPr>
            <w:r>
              <w:rPr>
                <w:kern w:val="0"/>
                <w:sz w:val="21"/>
                <w:szCs w:val="21"/>
              </w:rPr>
              <w:t>1200h</w:t>
            </w:r>
          </w:p>
        </w:tc>
      </w:tr>
      <w:tr w14:paraId="1B633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tcBorders>
              <w:tl2br w:val="nil"/>
              <w:tr2bl w:val="nil"/>
            </w:tcBorders>
            <w:noWrap/>
            <w:vAlign w:val="center"/>
          </w:tcPr>
          <w:p w14:paraId="32249AE4">
            <w:pPr>
              <w:widowControl/>
              <w:snapToGrid w:val="0"/>
              <w:jc w:val="center"/>
              <w:rPr>
                <w:kern w:val="0"/>
                <w:sz w:val="21"/>
                <w:szCs w:val="21"/>
              </w:rPr>
            </w:pPr>
            <w:r>
              <w:rPr>
                <w:kern w:val="0"/>
                <w:sz w:val="21"/>
                <w:szCs w:val="21"/>
              </w:rPr>
              <w:t>5#</w:t>
            </w:r>
          </w:p>
        </w:tc>
        <w:tc>
          <w:tcPr>
            <w:tcW w:w="273" w:type="pct"/>
            <w:tcBorders>
              <w:tl2br w:val="nil"/>
              <w:tr2bl w:val="nil"/>
            </w:tcBorders>
            <w:noWrap/>
            <w:vAlign w:val="center"/>
          </w:tcPr>
          <w:p w14:paraId="07B6F150">
            <w:pPr>
              <w:widowControl/>
              <w:snapToGrid w:val="0"/>
              <w:jc w:val="center"/>
              <w:rPr>
                <w:kern w:val="0"/>
                <w:sz w:val="21"/>
                <w:szCs w:val="21"/>
              </w:rPr>
            </w:pPr>
            <w:r>
              <w:rPr>
                <w:rFonts w:hint="eastAsia"/>
                <w:kern w:val="0"/>
                <w:sz w:val="21"/>
                <w:szCs w:val="21"/>
              </w:rPr>
              <w:t>13500</w:t>
            </w:r>
          </w:p>
        </w:tc>
        <w:tc>
          <w:tcPr>
            <w:tcW w:w="237" w:type="pct"/>
            <w:tcBorders>
              <w:tl2br w:val="nil"/>
              <w:tr2bl w:val="nil"/>
            </w:tcBorders>
            <w:noWrap/>
            <w:vAlign w:val="center"/>
          </w:tcPr>
          <w:p w14:paraId="0164CC36">
            <w:pPr>
              <w:widowControl/>
              <w:snapToGrid w:val="0"/>
              <w:jc w:val="center"/>
              <w:rPr>
                <w:kern w:val="0"/>
                <w:sz w:val="21"/>
                <w:szCs w:val="21"/>
              </w:rPr>
            </w:pPr>
            <w:r>
              <w:rPr>
                <w:rFonts w:hAnsi="宋体"/>
                <w:kern w:val="0"/>
                <w:sz w:val="21"/>
                <w:szCs w:val="21"/>
              </w:rPr>
              <w:t>抛丸</w:t>
            </w:r>
            <w:r>
              <w:rPr>
                <w:rFonts w:hint="eastAsia" w:hAnsi="宋体"/>
                <w:kern w:val="0"/>
                <w:sz w:val="21"/>
                <w:szCs w:val="21"/>
              </w:rPr>
              <w:t>/喷砂</w:t>
            </w:r>
          </w:p>
        </w:tc>
        <w:tc>
          <w:tcPr>
            <w:tcW w:w="250" w:type="pct"/>
            <w:tcBorders>
              <w:tl2br w:val="nil"/>
              <w:tr2bl w:val="nil"/>
            </w:tcBorders>
            <w:noWrap/>
            <w:vAlign w:val="center"/>
          </w:tcPr>
          <w:p w14:paraId="68936247">
            <w:pPr>
              <w:widowControl/>
              <w:snapToGrid w:val="0"/>
              <w:jc w:val="center"/>
              <w:rPr>
                <w:kern w:val="0"/>
                <w:sz w:val="21"/>
                <w:szCs w:val="21"/>
              </w:rPr>
            </w:pPr>
            <w:r>
              <w:rPr>
                <w:rFonts w:hAnsi="宋体"/>
                <w:kern w:val="0"/>
                <w:sz w:val="21"/>
                <w:szCs w:val="21"/>
              </w:rPr>
              <w:t>粉尘</w:t>
            </w:r>
          </w:p>
        </w:tc>
        <w:tc>
          <w:tcPr>
            <w:tcW w:w="301" w:type="pct"/>
            <w:tcBorders>
              <w:tl2br w:val="nil"/>
              <w:tr2bl w:val="nil"/>
            </w:tcBorders>
            <w:noWrap/>
            <w:vAlign w:val="center"/>
          </w:tcPr>
          <w:p w14:paraId="1AEA348D">
            <w:pPr>
              <w:snapToGrid w:val="0"/>
              <w:jc w:val="center"/>
              <w:rPr>
                <w:sz w:val="21"/>
                <w:szCs w:val="21"/>
              </w:rPr>
            </w:pPr>
            <w:r>
              <w:rPr>
                <w:sz w:val="21"/>
                <w:szCs w:val="21"/>
              </w:rPr>
              <w:t>54.07</w:t>
            </w:r>
          </w:p>
        </w:tc>
        <w:tc>
          <w:tcPr>
            <w:tcW w:w="351" w:type="pct"/>
            <w:tcBorders>
              <w:tl2br w:val="nil"/>
              <w:tr2bl w:val="nil"/>
            </w:tcBorders>
            <w:noWrap/>
            <w:vAlign w:val="center"/>
          </w:tcPr>
          <w:p w14:paraId="0FD97CA8">
            <w:pPr>
              <w:snapToGrid w:val="0"/>
              <w:jc w:val="center"/>
              <w:rPr>
                <w:sz w:val="21"/>
                <w:szCs w:val="21"/>
              </w:rPr>
            </w:pPr>
            <w:r>
              <w:rPr>
                <w:sz w:val="21"/>
                <w:szCs w:val="21"/>
              </w:rPr>
              <w:t>0.730</w:t>
            </w:r>
          </w:p>
        </w:tc>
        <w:tc>
          <w:tcPr>
            <w:tcW w:w="359" w:type="pct"/>
            <w:tcBorders>
              <w:tl2br w:val="nil"/>
              <w:tr2bl w:val="nil"/>
            </w:tcBorders>
            <w:noWrap/>
            <w:vAlign w:val="center"/>
          </w:tcPr>
          <w:p w14:paraId="4B160838">
            <w:pPr>
              <w:snapToGrid w:val="0"/>
              <w:jc w:val="center"/>
              <w:rPr>
                <w:sz w:val="21"/>
                <w:szCs w:val="21"/>
              </w:rPr>
            </w:pPr>
            <w:r>
              <w:rPr>
                <w:sz w:val="21"/>
                <w:szCs w:val="21"/>
              </w:rPr>
              <w:t>0.219</w:t>
            </w:r>
          </w:p>
        </w:tc>
        <w:tc>
          <w:tcPr>
            <w:tcW w:w="200" w:type="pct"/>
            <w:tcBorders>
              <w:tl2br w:val="nil"/>
              <w:tr2bl w:val="nil"/>
            </w:tcBorders>
            <w:noWrap/>
            <w:vAlign w:val="center"/>
          </w:tcPr>
          <w:p w14:paraId="337EEAFA">
            <w:pPr>
              <w:widowControl/>
              <w:snapToGrid w:val="0"/>
              <w:jc w:val="center"/>
              <w:rPr>
                <w:kern w:val="0"/>
                <w:sz w:val="21"/>
                <w:szCs w:val="21"/>
              </w:rPr>
            </w:pPr>
            <w:r>
              <w:rPr>
                <w:sz w:val="21"/>
                <w:szCs w:val="21"/>
              </w:rPr>
              <w:t>滤芯脉冲反吹除尘装置</w:t>
            </w:r>
          </w:p>
        </w:tc>
        <w:tc>
          <w:tcPr>
            <w:tcW w:w="205" w:type="pct"/>
            <w:tcBorders>
              <w:tl2br w:val="nil"/>
              <w:tr2bl w:val="nil"/>
            </w:tcBorders>
            <w:noWrap/>
            <w:vAlign w:val="center"/>
          </w:tcPr>
          <w:p w14:paraId="7C1B7178">
            <w:pPr>
              <w:widowControl/>
              <w:snapToGrid w:val="0"/>
              <w:jc w:val="center"/>
              <w:rPr>
                <w:kern w:val="0"/>
                <w:sz w:val="21"/>
                <w:szCs w:val="21"/>
              </w:rPr>
            </w:pPr>
            <w:r>
              <w:rPr>
                <w:kern w:val="0"/>
                <w:sz w:val="21"/>
                <w:szCs w:val="21"/>
              </w:rPr>
              <w:t>99</w:t>
            </w:r>
          </w:p>
        </w:tc>
        <w:tc>
          <w:tcPr>
            <w:tcW w:w="259" w:type="pct"/>
            <w:tcBorders>
              <w:tl2br w:val="nil"/>
              <w:tr2bl w:val="nil"/>
            </w:tcBorders>
            <w:noWrap/>
            <w:vAlign w:val="center"/>
          </w:tcPr>
          <w:p w14:paraId="16DFD1E8">
            <w:pPr>
              <w:widowControl/>
              <w:snapToGrid w:val="0"/>
              <w:jc w:val="center"/>
              <w:rPr>
                <w:kern w:val="0"/>
                <w:sz w:val="21"/>
                <w:szCs w:val="21"/>
              </w:rPr>
            </w:pPr>
            <w:r>
              <w:rPr>
                <w:rFonts w:hAnsi="宋体"/>
                <w:kern w:val="0"/>
                <w:sz w:val="21"/>
                <w:szCs w:val="21"/>
              </w:rPr>
              <w:t>粉尘</w:t>
            </w:r>
          </w:p>
        </w:tc>
        <w:tc>
          <w:tcPr>
            <w:tcW w:w="309" w:type="pct"/>
            <w:tcBorders>
              <w:tl2br w:val="nil"/>
              <w:tr2bl w:val="nil"/>
            </w:tcBorders>
            <w:noWrap/>
            <w:vAlign w:val="center"/>
          </w:tcPr>
          <w:p w14:paraId="2EB98808">
            <w:pPr>
              <w:widowControl/>
              <w:jc w:val="center"/>
              <w:textAlignment w:val="center"/>
              <w:rPr>
                <w:sz w:val="21"/>
                <w:szCs w:val="21"/>
              </w:rPr>
            </w:pPr>
            <w:r>
              <w:rPr>
                <w:kern w:val="0"/>
                <w:sz w:val="21"/>
                <w:szCs w:val="21"/>
              </w:rPr>
              <w:t>0.54</w:t>
            </w:r>
          </w:p>
        </w:tc>
        <w:tc>
          <w:tcPr>
            <w:tcW w:w="357" w:type="pct"/>
            <w:tcBorders>
              <w:tl2br w:val="nil"/>
              <w:tr2bl w:val="nil"/>
            </w:tcBorders>
            <w:noWrap/>
            <w:vAlign w:val="center"/>
          </w:tcPr>
          <w:p w14:paraId="6D36A4A1">
            <w:pPr>
              <w:widowControl/>
              <w:jc w:val="center"/>
              <w:textAlignment w:val="center"/>
              <w:rPr>
                <w:sz w:val="21"/>
                <w:szCs w:val="21"/>
              </w:rPr>
            </w:pPr>
            <w:r>
              <w:rPr>
                <w:kern w:val="0"/>
                <w:sz w:val="21"/>
                <w:szCs w:val="21"/>
              </w:rPr>
              <w:t>0.007</w:t>
            </w:r>
          </w:p>
        </w:tc>
        <w:tc>
          <w:tcPr>
            <w:tcW w:w="414" w:type="pct"/>
            <w:tcBorders>
              <w:tl2br w:val="nil"/>
              <w:tr2bl w:val="nil"/>
            </w:tcBorders>
            <w:noWrap/>
            <w:vAlign w:val="center"/>
          </w:tcPr>
          <w:p w14:paraId="736EFFEE">
            <w:pPr>
              <w:widowControl/>
              <w:jc w:val="center"/>
              <w:textAlignment w:val="center"/>
              <w:rPr>
                <w:sz w:val="21"/>
                <w:szCs w:val="21"/>
              </w:rPr>
            </w:pPr>
            <w:r>
              <w:rPr>
                <w:kern w:val="0"/>
                <w:sz w:val="21"/>
                <w:szCs w:val="21"/>
              </w:rPr>
              <w:t>0.002</w:t>
            </w:r>
          </w:p>
        </w:tc>
        <w:tc>
          <w:tcPr>
            <w:tcW w:w="208" w:type="pct"/>
            <w:tcBorders>
              <w:tl2br w:val="nil"/>
              <w:tr2bl w:val="nil"/>
            </w:tcBorders>
            <w:noWrap/>
            <w:vAlign w:val="center"/>
          </w:tcPr>
          <w:p w14:paraId="6176A6DC">
            <w:pPr>
              <w:widowControl/>
              <w:snapToGrid w:val="0"/>
              <w:jc w:val="center"/>
              <w:rPr>
                <w:kern w:val="0"/>
                <w:sz w:val="21"/>
                <w:szCs w:val="21"/>
              </w:rPr>
            </w:pPr>
            <w:r>
              <w:rPr>
                <w:rFonts w:hint="eastAsia"/>
                <w:kern w:val="0"/>
                <w:sz w:val="21"/>
                <w:szCs w:val="21"/>
              </w:rPr>
              <w:t>20</w:t>
            </w:r>
          </w:p>
        </w:tc>
        <w:tc>
          <w:tcPr>
            <w:tcW w:w="256" w:type="pct"/>
            <w:tcBorders>
              <w:tl2br w:val="nil"/>
              <w:tr2bl w:val="nil"/>
            </w:tcBorders>
            <w:noWrap/>
            <w:vAlign w:val="center"/>
          </w:tcPr>
          <w:p w14:paraId="1859CED5">
            <w:pPr>
              <w:pStyle w:val="55"/>
              <w:snapToGrid w:val="0"/>
              <w:ind w:right="0" w:rightChars="0"/>
              <w:rPr>
                <w:rFonts w:ascii="Times New Roman" w:hAnsi="Times New Roman"/>
                <w:sz w:val="21"/>
                <w:szCs w:val="21"/>
              </w:rPr>
            </w:pPr>
            <w:r>
              <w:rPr>
                <w:rFonts w:hint="eastAsia" w:ascii="Times New Roman" w:hAnsi="Times New Roman"/>
                <w:sz w:val="21"/>
                <w:szCs w:val="21"/>
              </w:rPr>
              <w:t>1</w:t>
            </w:r>
          </w:p>
        </w:tc>
        <w:tc>
          <w:tcPr>
            <w:tcW w:w="182" w:type="pct"/>
            <w:tcBorders>
              <w:tl2br w:val="nil"/>
              <w:tr2bl w:val="nil"/>
            </w:tcBorders>
            <w:noWrap/>
            <w:vAlign w:val="center"/>
          </w:tcPr>
          <w:p w14:paraId="3FE84D1B">
            <w:pPr>
              <w:widowControl/>
              <w:snapToGrid w:val="0"/>
              <w:jc w:val="center"/>
              <w:rPr>
                <w:kern w:val="0"/>
                <w:sz w:val="21"/>
                <w:szCs w:val="21"/>
              </w:rPr>
            </w:pPr>
            <w:r>
              <w:rPr>
                <w:kern w:val="0"/>
                <w:sz w:val="21"/>
                <w:szCs w:val="21"/>
              </w:rPr>
              <w:t>15</w:t>
            </w:r>
          </w:p>
        </w:tc>
        <w:tc>
          <w:tcPr>
            <w:tcW w:w="178" w:type="pct"/>
            <w:tcBorders>
              <w:tl2br w:val="nil"/>
              <w:tr2bl w:val="nil"/>
            </w:tcBorders>
            <w:noWrap/>
            <w:vAlign w:val="center"/>
          </w:tcPr>
          <w:p w14:paraId="4C3884D6">
            <w:pPr>
              <w:widowControl/>
              <w:snapToGrid w:val="0"/>
              <w:jc w:val="center"/>
              <w:rPr>
                <w:kern w:val="0"/>
                <w:sz w:val="21"/>
                <w:szCs w:val="21"/>
              </w:rPr>
            </w:pPr>
            <w:r>
              <w:rPr>
                <w:kern w:val="0"/>
                <w:sz w:val="21"/>
                <w:szCs w:val="21"/>
              </w:rPr>
              <w:t>0.5</w:t>
            </w:r>
          </w:p>
        </w:tc>
        <w:tc>
          <w:tcPr>
            <w:tcW w:w="155" w:type="pct"/>
            <w:tcBorders>
              <w:tl2br w:val="nil"/>
              <w:tr2bl w:val="nil"/>
            </w:tcBorders>
            <w:noWrap/>
            <w:vAlign w:val="center"/>
          </w:tcPr>
          <w:p w14:paraId="21C2B803">
            <w:pPr>
              <w:widowControl/>
              <w:snapToGrid w:val="0"/>
              <w:jc w:val="center"/>
              <w:rPr>
                <w:kern w:val="0"/>
                <w:sz w:val="21"/>
                <w:szCs w:val="21"/>
              </w:rPr>
            </w:pPr>
            <w:r>
              <w:rPr>
                <w:kern w:val="0"/>
                <w:sz w:val="21"/>
                <w:szCs w:val="21"/>
              </w:rPr>
              <w:t>2</w:t>
            </w:r>
            <w:r>
              <w:rPr>
                <w:rFonts w:hint="eastAsia"/>
                <w:kern w:val="0"/>
                <w:sz w:val="21"/>
                <w:szCs w:val="21"/>
              </w:rPr>
              <w:t>5</w:t>
            </w:r>
          </w:p>
        </w:tc>
        <w:tc>
          <w:tcPr>
            <w:tcW w:w="301" w:type="pct"/>
            <w:tcBorders>
              <w:tl2br w:val="nil"/>
              <w:tr2bl w:val="nil"/>
            </w:tcBorders>
            <w:noWrap/>
            <w:vAlign w:val="center"/>
          </w:tcPr>
          <w:p w14:paraId="6F6F3182">
            <w:pPr>
              <w:widowControl/>
              <w:snapToGrid w:val="0"/>
              <w:jc w:val="center"/>
              <w:rPr>
                <w:kern w:val="0"/>
                <w:sz w:val="21"/>
                <w:szCs w:val="21"/>
              </w:rPr>
            </w:pPr>
            <w:r>
              <w:rPr>
                <w:rFonts w:hAnsi="宋体"/>
                <w:kern w:val="0"/>
                <w:sz w:val="21"/>
                <w:szCs w:val="21"/>
              </w:rPr>
              <w:t>间歇</w:t>
            </w:r>
            <w:r>
              <w:rPr>
                <w:kern w:val="0"/>
                <w:sz w:val="21"/>
                <w:szCs w:val="21"/>
              </w:rPr>
              <w:t>300h</w:t>
            </w:r>
          </w:p>
        </w:tc>
      </w:tr>
      <w:tr w14:paraId="03DBAD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4" w:type="pct"/>
            <w:tcBorders>
              <w:tl2br w:val="nil"/>
              <w:tr2bl w:val="nil"/>
            </w:tcBorders>
            <w:noWrap/>
            <w:vAlign w:val="center"/>
          </w:tcPr>
          <w:p w14:paraId="7FDC74F0">
            <w:pPr>
              <w:widowControl/>
              <w:snapToGrid w:val="0"/>
              <w:jc w:val="center"/>
              <w:rPr>
                <w:kern w:val="0"/>
                <w:sz w:val="21"/>
                <w:szCs w:val="21"/>
              </w:rPr>
            </w:pPr>
            <w:r>
              <w:rPr>
                <w:rFonts w:hint="eastAsia"/>
                <w:kern w:val="0"/>
                <w:sz w:val="21"/>
                <w:szCs w:val="21"/>
              </w:rPr>
              <w:t>6#</w:t>
            </w:r>
          </w:p>
        </w:tc>
        <w:tc>
          <w:tcPr>
            <w:tcW w:w="273" w:type="pct"/>
            <w:tcBorders>
              <w:tl2br w:val="nil"/>
              <w:tr2bl w:val="nil"/>
            </w:tcBorders>
            <w:noWrap/>
            <w:vAlign w:val="center"/>
          </w:tcPr>
          <w:p w14:paraId="3DAE89C3">
            <w:pPr>
              <w:widowControl/>
              <w:snapToGrid w:val="0"/>
              <w:jc w:val="left"/>
              <w:rPr>
                <w:kern w:val="0"/>
                <w:sz w:val="21"/>
                <w:szCs w:val="21"/>
              </w:rPr>
            </w:pPr>
            <w:r>
              <w:rPr>
                <w:rFonts w:hint="eastAsia"/>
                <w:kern w:val="0"/>
                <w:sz w:val="21"/>
                <w:szCs w:val="21"/>
              </w:rPr>
              <w:t>50000</w:t>
            </w:r>
          </w:p>
        </w:tc>
        <w:tc>
          <w:tcPr>
            <w:tcW w:w="237" w:type="pct"/>
            <w:tcBorders>
              <w:tl2br w:val="nil"/>
              <w:tr2bl w:val="nil"/>
            </w:tcBorders>
            <w:noWrap/>
            <w:vAlign w:val="center"/>
          </w:tcPr>
          <w:p w14:paraId="61684933">
            <w:pPr>
              <w:widowControl/>
              <w:snapToGrid w:val="0"/>
              <w:jc w:val="center"/>
              <w:rPr>
                <w:kern w:val="0"/>
                <w:sz w:val="21"/>
                <w:szCs w:val="21"/>
              </w:rPr>
            </w:pPr>
            <w:r>
              <w:rPr>
                <w:rFonts w:hAnsi="宋体"/>
                <w:kern w:val="0"/>
                <w:sz w:val="21"/>
                <w:szCs w:val="21"/>
              </w:rPr>
              <w:t>喷、浸、涂胶及干燥</w:t>
            </w:r>
          </w:p>
        </w:tc>
        <w:tc>
          <w:tcPr>
            <w:tcW w:w="250" w:type="pct"/>
            <w:tcBorders>
              <w:tl2br w:val="nil"/>
              <w:tr2bl w:val="nil"/>
            </w:tcBorders>
            <w:noWrap/>
            <w:vAlign w:val="center"/>
          </w:tcPr>
          <w:p w14:paraId="560B8CE7">
            <w:pPr>
              <w:widowControl/>
              <w:snapToGrid w:val="0"/>
              <w:jc w:val="center"/>
              <w:rPr>
                <w:kern w:val="0"/>
                <w:sz w:val="21"/>
                <w:szCs w:val="21"/>
              </w:rPr>
            </w:pPr>
            <w:r>
              <w:rPr>
                <w:rFonts w:hAnsi="宋体"/>
                <w:kern w:val="0"/>
                <w:sz w:val="21"/>
                <w:szCs w:val="21"/>
              </w:rPr>
              <w:t>非甲烷总烃</w:t>
            </w:r>
          </w:p>
        </w:tc>
        <w:tc>
          <w:tcPr>
            <w:tcW w:w="301" w:type="pct"/>
            <w:tcBorders>
              <w:tl2br w:val="nil"/>
              <w:tr2bl w:val="nil"/>
            </w:tcBorders>
            <w:noWrap/>
            <w:vAlign w:val="center"/>
          </w:tcPr>
          <w:p w14:paraId="1767CA25">
            <w:pPr>
              <w:jc w:val="center"/>
              <w:rPr>
                <w:sz w:val="21"/>
                <w:szCs w:val="21"/>
              </w:rPr>
            </w:pPr>
            <w:r>
              <w:rPr>
                <w:sz w:val="21"/>
                <w:szCs w:val="21"/>
              </w:rPr>
              <w:t>0.01</w:t>
            </w:r>
          </w:p>
        </w:tc>
        <w:tc>
          <w:tcPr>
            <w:tcW w:w="351" w:type="pct"/>
            <w:tcBorders>
              <w:tl2br w:val="nil"/>
              <w:tr2bl w:val="nil"/>
            </w:tcBorders>
            <w:noWrap/>
            <w:vAlign w:val="center"/>
          </w:tcPr>
          <w:p w14:paraId="415AD0E5">
            <w:pPr>
              <w:jc w:val="center"/>
              <w:rPr>
                <w:sz w:val="21"/>
                <w:szCs w:val="21"/>
              </w:rPr>
            </w:pPr>
            <w:r>
              <w:rPr>
                <w:sz w:val="21"/>
                <w:szCs w:val="21"/>
              </w:rPr>
              <w:t>0.0004</w:t>
            </w:r>
          </w:p>
        </w:tc>
        <w:tc>
          <w:tcPr>
            <w:tcW w:w="359" w:type="pct"/>
            <w:tcBorders>
              <w:tl2br w:val="nil"/>
              <w:tr2bl w:val="nil"/>
            </w:tcBorders>
            <w:noWrap/>
            <w:vAlign w:val="center"/>
          </w:tcPr>
          <w:p w14:paraId="3E9C5A37">
            <w:pPr>
              <w:jc w:val="center"/>
              <w:rPr>
                <w:sz w:val="21"/>
                <w:szCs w:val="21"/>
              </w:rPr>
            </w:pPr>
            <w:r>
              <w:rPr>
                <w:sz w:val="21"/>
                <w:szCs w:val="21"/>
              </w:rPr>
              <w:t>0.002</w:t>
            </w:r>
          </w:p>
        </w:tc>
        <w:tc>
          <w:tcPr>
            <w:tcW w:w="200" w:type="pct"/>
            <w:tcBorders>
              <w:tl2br w:val="nil"/>
              <w:tr2bl w:val="nil"/>
            </w:tcBorders>
            <w:noWrap/>
            <w:vAlign w:val="center"/>
          </w:tcPr>
          <w:p w14:paraId="349DFDDE">
            <w:pPr>
              <w:widowControl/>
              <w:snapToGrid w:val="0"/>
              <w:jc w:val="center"/>
              <w:rPr>
                <w:kern w:val="0"/>
                <w:sz w:val="21"/>
                <w:szCs w:val="21"/>
              </w:rPr>
            </w:pPr>
            <w:r>
              <w:rPr>
                <w:rFonts w:hint="eastAsia"/>
                <w:kern w:val="0"/>
                <w:sz w:val="21"/>
                <w:szCs w:val="21"/>
              </w:rPr>
              <w:t>二级活性炭装置</w:t>
            </w:r>
          </w:p>
        </w:tc>
        <w:tc>
          <w:tcPr>
            <w:tcW w:w="205" w:type="pct"/>
            <w:tcBorders>
              <w:tl2br w:val="nil"/>
              <w:tr2bl w:val="nil"/>
            </w:tcBorders>
            <w:noWrap/>
            <w:vAlign w:val="center"/>
          </w:tcPr>
          <w:p w14:paraId="348A9D42">
            <w:pPr>
              <w:widowControl/>
              <w:snapToGrid w:val="0"/>
              <w:jc w:val="center"/>
              <w:rPr>
                <w:kern w:val="0"/>
                <w:sz w:val="21"/>
                <w:szCs w:val="21"/>
              </w:rPr>
            </w:pPr>
            <w:r>
              <w:rPr>
                <w:kern w:val="0"/>
                <w:sz w:val="21"/>
                <w:szCs w:val="21"/>
              </w:rPr>
              <w:t>90</w:t>
            </w:r>
          </w:p>
        </w:tc>
        <w:tc>
          <w:tcPr>
            <w:tcW w:w="259" w:type="pct"/>
            <w:tcBorders>
              <w:tl2br w:val="nil"/>
              <w:tr2bl w:val="nil"/>
            </w:tcBorders>
            <w:noWrap/>
            <w:vAlign w:val="center"/>
          </w:tcPr>
          <w:p w14:paraId="3BAA0104">
            <w:pPr>
              <w:widowControl/>
              <w:snapToGrid w:val="0"/>
              <w:jc w:val="center"/>
              <w:rPr>
                <w:kern w:val="0"/>
                <w:sz w:val="21"/>
                <w:szCs w:val="21"/>
              </w:rPr>
            </w:pPr>
            <w:r>
              <w:rPr>
                <w:rFonts w:hAnsi="宋体"/>
                <w:kern w:val="0"/>
                <w:sz w:val="21"/>
                <w:szCs w:val="21"/>
              </w:rPr>
              <w:t>非甲烷总烃</w:t>
            </w:r>
          </w:p>
        </w:tc>
        <w:tc>
          <w:tcPr>
            <w:tcW w:w="309" w:type="pct"/>
            <w:tcBorders>
              <w:tl2br w:val="nil"/>
              <w:tr2bl w:val="nil"/>
            </w:tcBorders>
            <w:noWrap/>
            <w:vAlign w:val="center"/>
          </w:tcPr>
          <w:p w14:paraId="4A073C59">
            <w:pPr>
              <w:jc w:val="center"/>
              <w:rPr>
                <w:sz w:val="21"/>
                <w:szCs w:val="21"/>
              </w:rPr>
            </w:pPr>
            <w:r>
              <w:rPr>
                <w:sz w:val="21"/>
                <w:szCs w:val="21"/>
              </w:rPr>
              <w:t>0.001</w:t>
            </w:r>
          </w:p>
        </w:tc>
        <w:tc>
          <w:tcPr>
            <w:tcW w:w="357" w:type="pct"/>
            <w:tcBorders>
              <w:tl2br w:val="nil"/>
              <w:tr2bl w:val="nil"/>
            </w:tcBorders>
            <w:noWrap/>
            <w:vAlign w:val="center"/>
          </w:tcPr>
          <w:p w14:paraId="25999BEE">
            <w:pPr>
              <w:jc w:val="center"/>
              <w:rPr>
                <w:sz w:val="21"/>
                <w:szCs w:val="21"/>
              </w:rPr>
            </w:pPr>
            <w:r>
              <w:rPr>
                <w:sz w:val="21"/>
                <w:szCs w:val="21"/>
              </w:rPr>
              <w:t>0.00004</w:t>
            </w:r>
          </w:p>
        </w:tc>
        <w:tc>
          <w:tcPr>
            <w:tcW w:w="414" w:type="pct"/>
            <w:tcBorders>
              <w:tl2br w:val="nil"/>
              <w:tr2bl w:val="nil"/>
            </w:tcBorders>
            <w:noWrap/>
            <w:vAlign w:val="center"/>
          </w:tcPr>
          <w:p w14:paraId="09CE370A">
            <w:pPr>
              <w:jc w:val="center"/>
              <w:rPr>
                <w:sz w:val="21"/>
                <w:szCs w:val="21"/>
              </w:rPr>
            </w:pPr>
            <w:r>
              <w:rPr>
                <w:sz w:val="21"/>
                <w:szCs w:val="21"/>
              </w:rPr>
              <w:t>0.0002</w:t>
            </w:r>
          </w:p>
        </w:tc>
        <w:tc>
          <w:tcPr>
            <w:tcW w:w="208" w:type="pct"/>
            <w:tcBorders>
              <w:tl2br w:val="nil"/>
              <w:tr2bl w:val="nil"/>
            </w:tcBorders>
            <w:noWrap/>
            <w:vAlign w:val="center"/>
          </w:tcPr>
          <w:p w14:paraId="755E074F">
            <w:pPr>
              <w:widowControl/>
              <w:snapToGrid w:val="0"/>
              <w:jc w:val="center"/>
              <w:rPr>
                <w:kern w:val="0"/>
                <w:sz w:val="21"/>
                <w:szCs w:val="21"/>
              </w:rPr>
            </w:pPr>
            <w:r>
              <w:rPr>
                <w:rFonts w:hint="eastAsia"/>
                <w:kern w:val="0"/>
                <w:sz w:val="21"/>
                <w:szCs w:val="21"/>
              </w:rPr>
              <w:t>10</w:t>
            </w:r>
          </w:p>
        </w:tc>
        <w:tc>
          <w:tcPr>
            <w:tcW w:w="256" w:type="pct"/>
            <w:tcBorders>
              <w:tl2br w:val="nil"/>
              <w:tr2bl w:val="nil"/>
            </w:tcBorders>
            <w:noWrap/>
            <w:vAlign w:val="center"/>
          </w:tcPr>
          <w:p w14:paraId="06ECA669">
            <w:pPr>
              <w:widowControl/>
              <w:snapToGrid w:val="0"/>
              <w:jc w:val="center"/>
              <w:rPr>
                <w:kern w:val="0"/>
                <w:sz w:val="21"/>
                <w:szCs w:val="21"/>
              </w:rPr>
            </w:pPr>
            <w:r>
              <w:rPr>
                <w:rFonts w:hint="eastAsia"/>
                <w:kern w:val="0"/>
                <w:sz w:val="21"/>
                <w:szCs w:val="21"/>
              </w:rPr>
              <w:t>/</w:t>
            </w:r>
          </w:p>
        </w:tc>
        <w:tc>
          <w:tcPr>
            <w:tcW w:w="182" w:type="pct"/>
            <w:tcBorders>
              <w:tl2br w:val="nil"/>
              <w:tr2bl w:val="nil"/>
            </w:tcBorders>
            <w:noWrap/>
            <w:vAlign w:val="center"/>
          </w:tcPr>
          <w:p w14:paraId="1B9F399B">
            <w:pPr>
              <w:widowControl/>
              <w:snapToGrid w:val="0"/>
              <w:jc w:val="center"/>
              <w:rPr>
                <w:kern w:val="0"/>
                <w:sz w:val="21"/>
                <w:szCs w:val="21"/>
              </w:rPr>
            </w:pPr>
            <w:r>
              <w:rPr>
                <w:kern w:val="0"/>
                <w:sz w:val="21"/>
                <w:szCs w:val="21"/>
              </w:rPr>
              <w:t>15</w:t>
            </w:r>
          </w:p>
        </w:tc>
        <w:tc>
          <w:tcPr>
            <w:tcW w:w="178" w:type="pct"/>
            <w:tcBorders>
              <w:tl2br w:val="nil"/>
              <w:tr2bl w:val="nil"/>
            </w:tcBorders>
            <w:noWrap/>
            <w:vAlign w:val="center"/>
          </w:tcPr>
          <w:p w14:paraId="15600E4C">
            <w:pPr>
              <w:widowControl/>
              <w:snapToGrid w:val="0"/>
              <w:jc w:val="center"/>
              <w:rPr>
                <w:kern w:val="0"/>
                <w:sz w:val="21"/>
                <w:szCs w:val="21"/>
              </w:rPr>
            </w:pPr>
            <w:r>
              <w:rPr>
                <w:rFonts w:hint="eastAsia"/>
                <w:kern w:val="0"/>
                <w:sz w:val="21"/>
                <w:szCs w:val="21"/>
              </w:rPr>
              <w:t>1.0</w:t>
            </w:r>
          </w:p>
        </w:tc>
        <w:tc>
          <w:tcPr>
            <w:tcW w:w="155" w:type="pct"/>
            <w:tcBorders>
              <w:tl2br w:val="nil"/>
              <w:tr2bl w:val="nil"/>
            </w:tcBorders>
            <w:noWrap/>
            <w:vAlign w:val="center"/>
          </w:tcPr>
          <w:p w14:paraId="140DD1C3">
            <w:pPr>
              <w:widowControl/>
              <w:snapToGrid w:val="0"/>
              <w:jc w:val="center"/>
              <w:rPr>
                <w:kern w:val="0"/>
                <w:sz w:val="21"/>
                <w:szCs w:val="21"/>
              </w:rPr>
            </w:pPr>
            <w:r>
              <w:rPr>
                <w:kern w:val="0"/>
                <w:sz w:val="21"/>
                <w:szCs w:val="21"/>
              </w:rPr>
              <w:t>40</w:t>
            </w:r>
          </w:p>
        </w:tc>
        <w:tc>
          <w:tcPr>
            <w:tcW w:w="301" w:type="pct"/>
            <w:tcBorders>
              <w:tl2br w:val="nil"/>
              <w:tr2bl w:val="nil"/>
            </w:tcBorders>
            <w:noWrap/>
            <w:vAlign w:val="center"/>
          </w:tcPr>
          <w:p w14:paraId="61EA85EA">
            <w:pPr>
              <w:widowControl/>
              <w:snapToGrid w:val="0"/>
              <w:jc w:val="left"/>
              <w:rPr>
                <w:kern w:val="0"/>
                <w:sz w:val="21"/>
                <w:szCs w:val="21"/>
              </w:rPr>
            </w:pPr>
            <w:r>
              <w:rPr>
                <w:rFonts w:hAnsi="宋体"/>
                <w:kern w:val="0"/>
                <w:sz w:val="21"/>
                <w:szCs w:val="21"/>
              </w:rPr>
              <w:t>间歇</w:t>
            </w:r>
            <w:r>
              <w:rPr>
                <w:rFonts w:hint="eastAsia"/>
                <w:kern w:val="0"/>
                <w:sz w:val="21"/>
                <w:szCs w:val="21"/>
              </w:rPr>
              <w:t>4800h</w:t>
            </w:r>
          </w:p>
        </w:tc>
      </w:tr>
    </w:tbl>
    <w:p w14:paraId="32E6FE7F">
      <w:pPr>
        <w:pStyle w:val="86"/>
        <w:spacing w:beforeLines="0" w:line="240" w:lineRule="auto"/>
        <w:ind w:firstLine="315" w:firstLineChars="150"/>
        <w:rPr>
          <w:rFonts w:ascii="Times New Roman" w:hAnsi="Times New Roman"/>
          <w:sz w:val="21"/>
          <w:szCs w:val="21"/>
        </w:rPr>
      </w:pPr>
      <w:r>
        <w:rPr>
          <w:rFonts w:ascii="Times New Roman" w:hAnsi="Times New Roman"/>
          <w:sz w:val="21"/>
          <w:szCs w:val="21"/>
        </w:rPr>
        <w:t>注：硫化工段年运行时间为7200h，</w:t>
      </w:r>
      <w:r>
        <w:rPr>
          <w:rFonts w:hint="eastAsia" w:ascii="Times New Roman" w:hAnsi="Times New Roman"/>
          <w:sz w:val="21"/>
          <w:szCs w:val="21"/>
        </w:rPr>
        <w:t>挤出成型年运行时间为7200h，</w:t>
      </w:r>
      <w:r>
        <w:rPr>
          <w:rFonts w:ascii="Times New Roman" w:hAnsi="Times New Roman"/>
          <w:sz w:val="21"/>
          <w:szCs w:val="21"/>
        </w:rPr>
        <w:t>抛丸</w:t>
      </w:r>
      <w:r>
        <w:rPr>
          <w:rFonts w:hint="eastAsia" w:ascii="Times New Roman" w:hAnsi="Times New Roman"/>
          <w:sz w:val="21"/>
          <w:szCs w:val="21"/>
        </w:rPr>
        <w:t>/喷砂</w:t>
      </w:r>
      <w:r>
        <w:rPr>
          <w:rFonts w:ascii="Times New Roman" w:hAnsi="Times New Roman"/>
          <w:sz w:val="21"/>
          <w:szCs w:val="21"/>
        </w:rPr>
        <w:t>工段年运行时间为300h，喷、浸、涂胶及干燥工段年运行时间为4800h，其余工段年工作时间为</w:t>
      </w:r>
      <w:r>
        <w:rPr>
          <w:rFonts w:hint="eastAsia" w:ascii="Times New Roman" w:hAnsi="Times New Roman"/>
          <w:sz w:val="21"/>
          <w:szCs w:val="21"/>
        </w:rPr>
        <w:t>72</w:t>
      </w:r>
      <w:r>
        <w:rPr>
          <w:rFonts w:ascii="Times New Roman" w:hAnsi="Times New Roman"/>
          <w:sz w:val="21"/>
          <w:szCs w:val="21"/>
        </w:rPr>
        <w:t>00h。</w:t>
      </w:r>
    </w:p>
    <w:p w14:paraId="53FB116E">
      <w:pPr>
        <w:adjustRightInd w:val="0"/>
        <w:snapToGrid w:val="0"/>
        <w:spacing w:beforeLines="50"/>
        <w:jc w:val="center"/>
        <w:rPr>
          <w:b/>
          <w:bCs/>
          <w:szCs w:val="21"/>
        </w:rPr>
      </w:pPr>
      <w:r>
        <w:rPr>
          <w:b/>
          <w:bCs/>
          <w:szCs w:val="21"/>
        </w:rPr>
        <w:t>表4-2  扩建项目无组织废气污染源强核算结果一览表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968"/>
        <w:gridCol w:w="1038"/>
        <w:gridCol w:w="1513"/>
        <w:gridCol w:w="1620"/>
        <w:gridCol w:w="1474"/>
        <w:gridCol w:w="975"/>
        <w:gridCol w:w="831"/>
        <w:gridCol w:w="1505"/>
        <w:gridCol w:w="1419"/>
        <w:gridCol w:w="725"/>
      </w:tblGrid>
      <w:tr w14:paraId="19724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0CFB2158">
            <w:pPr>
              <w:pStyle w:val="67"/>
              <w:rPr>
                <w:bCs/>
                <w:spacing w:val="-2"/>
                <w:kern w:val="28"/>
              </w:rPr>
            </w:pPr>
            <w:r>
              <w:rPr>
                <w:b/>
                <w:bCs/>
              </w:rPr>
              <w:t>工序/生产线</w:t>
            </w:r>
          </w:p>
        </w:tc>
        <w:tc>
          <w:tcPr>
            <w:tcW w:w="397" w:type="pct"/>
            <w:vMerge w:val="restart"/>
            <w:vAlign w:val="center"/>
          </w:tcPr>
          <w:p w14:paraId="6D1A4F7A">
            <w:pPr>
              <w:pStyle w:val="67"/>
              <w:rPr>
                <w:bCs/>
                <w:spacing w:val="-2"/>
                <w:kern w:val="28"/>
              </w:rPr>
            </w:pPr>
            <w:r>
              <w:rPr>
                <w:b/>
                <w:spacing w:val="-2"/>
                <w:kern w:val="28"/>
              </w:rPr>
              <w:t>污染源</w:t>
            </w:r>
          </w:p>
        </w:tc>
        <w:tc>
          <w:tcPr>
            <w:tcW w:w="579" w:type="pct"/>
            <w:vMerge w:val="restart"/>
            <w:vAlign w:val="center"/>
          </w:tcPr>
          <w:p w14:paraId="7BBEBEC5">
            <w:pPr>
              <w:pStyle w:val="58"/>
              <w:rPr>
                <w:rFonts w:eastAsia="宋体"/>
                <w:bCs/>
                <w:spacing w:val="-2"/>
                <w:kern w:val="28"/>
                <w:szCs w:val="21"/>
              </w:rPr>
            </w:pPr>
            <w:r>
              <w:rPr>
                <w:rFonts w:eastAsia="宋体"/>
                <w:bCs/>
                <w:spacing w:val="-2"/>
                <w:kern w:val="28"/>
                <w:szCs w:val="21"/>
              </w:rPr>
              <w:t>污染物</w:t>
            </w:r>
          </w:p>
        </w:tc>
        <w:tc>
          <w:tcPr>
            <w:tcW w:w="1184" w:type="pct"/>
            <w:gridSpan w:val="2"/>
            <w:vAlign w:val="center"/>
          </w:tcPr>
          <w:p w14:paraId="0E7381FC">
            <w:pPr>
              <w:pStyle w:val="67"/>
              <w:rPr>
                <w:b/>
                <w:bCs/>
              </w:rPr>
            </w:pPr>
            <w:r>
              <w:rPr>
                <w:b/>
                <w:bCs/>
              </w:rPr>
              <w:t>污染物产生</w:t>
            </w:r>
          </w:p>
        </w:tc>
        <w:tc>
          <w:tcPr>
            <w:tcW w:w="691" w:type="pct"/>
            <w:gridSpan w:val="2"/>
            <w:vAlign w:val="center"/>
          </w:tcPr>
          <w:p w14:paraId="50DBA6A0">
            <w:pPr>
              <w:pStyle w:val="67"/>
              <w:rPr>
                <w:b/>
                <w:bCs/>
              </w:rPr>
            </w:pPr>
            <w:r>
              <w:rPr>
                <w:b/>
                <w:bCs/>
              </w:rPr>
              <w:t>治理措施</w:t>
            </w:r>
          </w:p>
        </w:tc>
        <w:tc>
          <w:tcPr>
            <w:tcW w:w="1119" w:type="pct"/>
            <w:gridSpan w:val="2"/>
            <w:vAlign w:val="center"/>
          </w:tcPr>
          <w:p w14:paraId="07F14941">
            <w:pPr>
              <w:pStyle w:val="67"/>
              <w:rPr>
                <w:b/>
                <w:bCs/>
              </w:rPr>
            </w:pPr>
            <w:r>
              <w:rPr>
                <w:b/>
                <w:bCs/>
              </w:rPr>
              <w:t>污染物排放</w:t>
            </w:r>
          </w:p>
        </w:tc>
        <w:tc>
          <w:tcPr>
            <w:tcW w:w="277" w:type="pct"/>
            <w:vMerge w:val="restart"/>
            <w:vAlign w:val="center"/>
          </w:tcPr>
          <w:p w14:paraId="22E9AB6C">
            <w:pPr>
              <w:pStyle w:val="67"/>
            </w:pPr>
            <w:r>
              <w:rPr>
                <w:b/>
                <w:bCs/>
              </w:rPr>
              <w:t>排放时间h/a</w:t>
            </w:r>
          </w:p>
        </w:tc>
      </w:tr>
      <w:tr w14:paraId="4DB8B6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0C00075A">
            <w:pPr>
              <w:pStyle w:val="58"/>
              <w:rPr>
                <w:rFonts w:eastAsia="宋体"/>
                <w:bCs/>
                <w:spacing w:val="-2"/>
                <w:kern w:val="28"/>
                <w:szCs w:val="21"/>
              </w:rPr>
            </w:pPr>
          </w:p>
        </w:tc>
        <w:tc>
          <w:tcPr>
            <w:tcW w:w="397" w:type="pct"/>
            <w:vMerge w:val="continue"/>
            <w:vAlign w:val="center"/>
          </w:tcPr>
          <w:p w14:paraId="7045B22E">
            <w:pPr>
              <w:pStyle w:val="58"/>
              <w:rPr>
                <w:rFonts w:eastAsia="宋体"/>
                <w:bCs/>
                <w:spacing w:val="-2"/>
                <w:kern w:val="28"/>
                <w:szCs w:val="21"/>
              </w:rPr>
            </w:pPr>
          </w:p>
        </w:tc>
        <w:tc>
          <w:tcPr>
            <w:tcW w:w="579" w:type="pct"/>
            <w:vMerge w:val="continue"/>
            <w:vAlign w:val="center"/>
          </w:tcPr>
          <w:p w14:paraId="2219011A">
            <w:pPr>
              <w:pStyle w:val="58"/>
              <w:rPr>
                <w:rFonts w:eastAsia="宋体"/>
                <w:bCs/>
                <w:spacing w:val="-2"/>
                <w:kern w:val="28"/>
                <w:szCs w:val="21"/>
              </w:rPr>
            </w:pPr>
          </w:p>
        </w:tc>
        <w:tc>
          <w:tcPr>
            <w:tcW w:w="620" w:type="pct"/>
            <w:vAlign w:val="center"/>
          </w:tcPr>
          <w:p w14:paraId="683084C9">
            <w:pPr>
              <w:pStyle w:val="67"/>
              <w:rPr>
                <w:b/>
                <w:bCs/>
              </w:rPr>
            </w:pPr>
            <w:r>
              <w:rPr>
                <w:b/>
                <w:bCs/>
              </w:rPr>
              <w:t>产生速率kg/h</w:t>
            </w:r>
          </w:p>
        </w:tc>
        <w:tc>
          <w:tcPr>
            <w:tcW w:w="564" w:type="pct"/>
            <w:vAlign w:val="center"/>
          </w:tcPr>
          <w:p w14:paraId="23323759">
            <w:pPr>
              <w:pStyle w:val="67"/>
              <w:rPr>
                <w:b/>
                <w:bCs/>
              </w:rPr>
            </w:pPr>
            <w:r>
              <w:rPr>
                <w:b/>
                <w:bCs/>
              </w:rPr>
              <w:t>产生量t/a</w:t>
            </w:r>
          </w:p>
        </w:tc>
        <w:tc>
          <w:tcPr>
            <w:tcW w:w="373" w:type="pct"/>
            <w:vAlign w:val="center"/>
          </w:tcPr>
          <w:p w14:paraId="1FA97DFB">
            <w:pPr>
              <w:pStyle w:val="67"/>
              <w:rPr>
                <w:b/>
                <w:bCs/>
              </w:rPr>
            </w:pPr>
            <w:r>
              <w:rPr>
                <w:b/>
                <w:bCs/>
              </w:rPr>
              <w:t>工艺</w:t>
            </w:r>
          </w:p>
        </w:tc>
        <w:tc>
          <w:tcPr>
            <w:tcW w:w="318" w:type="pct"/>
            <w:vAlign w:val="center"/>
          </w:tcPr>
          <w:p w14:paraId="5AC4FBBA">
            <w:pPr>
              <w:pStyle w:val="67"/>
              <w:rPr>
                <w:b/>
                <w:bCs/>
              </w:rPr>
            </w:pPr>
            <w:r>
              <w:rPr>
                <w:b/>
                <w:bCs/>
              </w:rPr>
              <w:t>效率%</w:t>
            </w:r>
          </w:p>
        </w:tc>
        <w:tc>
          <w:tcPr>
            <w:tcW w:w="576" w:type="pct"/>
            <w:vAlign w:val="center"/>
          </w:tcPr>
          <w:p w14:paraId="23D1FFB8">
            <w:pPr>
              <w:pStyle w:val="67"/>
              <w:rPr>
                <w:b/>
                <w:bCs/>
              </w:rPr>
            </w:pPr>
            <w:r>
              <w:rPr>
                <w:b/>
                <w:bCs/>
              </w:rPr>
              <w:t>排放速率kg/h</w:t>
            </w:r>
          </w:p>
        </w:tc>
        <w:tc>
          <w:tcPr>
            <w:tcW w:w="543" w:type="pct"/>
            <w:vAlign w:val="center"/>
          </w:tcPr>
          <w:p w14:paraId="6B6F6290">
            <w:pPr>
              <w:pStyle w:val="67"/>
            </w:pPr>
            <w:r>
              <w:rPr>
                <w:b/>
                <w:bCs/>
              </w:rPr>
              <w:t>排放量t/a</w:t>
            </w:r>
          </w:p>
        </w:tc>
        <w:tc>
          <w:tcPr>
            <w:tcW w:w="277" w:type="pct"/>
            <w:vMerge w:val="continue"/>
            <w:vAlign w:val="center"/>
          </w:tcPr>
          <w:p w14:paraId="40F9DFD8">
            <w:pPr>
              <w:pStyle w:val="67"/>
            </w:pPr>
          </w:p>
        </w:tc>
      </w:tr>
      <w:tr w14:paraId="397182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753" w:type="pct"/>
            <w:vAlign w:val="center"/>
          </w:tcPr>
          <w:p w14:paraId="1300D64C">
            <w:pPr>
              <w:jc w:val="center"/>
              <w:rPr>
                <w:spacing w:val="-2"/>
                <w:kern w:val="28"/>
                <w:szCs w:val="21"/>
              </w:rPr>
            </w:pPr>
            <w:r>
              <w:rPr>
                <w:rFonts w:hint="eastAsia"/>
                <w:spacing w:val="-2"/>
                <w:kern w:val="28"/>
                <w:szCs w:val="21"/>
              </w:rPr>
              <w:t>配料</w:t>
            </w:r>
          </w:p>
        </w:tc>
        <w:tc>
          <w:tcPr>
            <w:tcW w:w="397" w:type="pct"/>
            <w:vMerge w:val="restart"/>
            <w:vAlign w:val="center"/>
          </w:tcPr>
          <w:p w14:paraId="7513A693">
            <w:pPr>
              <w:pStyle w:val="67"/>
            </w:pPr>
            <w:r>
              <w:rPr>
                <w:rFonts w:hint="eastAsia"/>
              </w:rPr>
              <w:t>3#</w:t>
            </w:r>
            <w:r>
              <w:t>车间</w:t>
            </w:r>
          </w:p>
        </w:tc>
        <w:tc>
          <w:tcPr>
            <w:tcW w:w="579" w:type="pct"/>
            <w:vAlign w:val="center"/>
          </w:tcPr>
          <w:p w14:paraId="1F8C7829">
            <w:pPr>
              <w:jc w:val="center"/>
              <w:rPr>
                <w:kern w:val="0"/>
                <w:szCs w:val="21"/>
              </w:rPr>
            </w:pPr>
            <w:r>
              <w:rPr>
                <w:rFonts w:hint="eastAsia"/>
                <w:kern w:val="0"/>
                <w:szCs w:val="21"/>
              </w:rPr>
              <w:t>颗粒物</w:t>
            </w:r>
          </w:p>
        </w:tc>
        <w:tc>
          <w:tcPr>
            <w:tcW w:w="620" w:type="pct"/>
            <w:vAlign w:val="center"/>
          </w:tcPr>
          <w:p w14:paraId="62B1C690">
            <w:pPr>
              <w:widowControl/>
              <w:jc w:val="center"/>
              <w:textAlignment w:val="center"/>
              <w:rPr>
                <w:kern w:val="0"/>
                <w:szCs w:val="21"/>
              </w:rPr>
            </w:pPr>
            <w:r>
              <w:rPr>
                <w:kern w:val="0"/>
                <w:szCs w:val="21"/>
              </w:rPr>
              <w:t>0.0056</w:t>
            </w:r>
          </w:p>
        </w:tc>
        <w:tc>
          <w:tcPr>
            <w:tcW w:w="564" w:type="pct"/>
            <w:vAlign w:val="center"/>
          </w:tcPr>
          <w:p w14:paraId="6048AEF4">
            <w:pPr>
              <w:widowControl/>
              <w:jc w:val="center"/>
              <w:textAlignment w:val="center"/>
            </w:pPr>
            <w:r>
              <w:rPr>
                <w:kern w:val="0"/>
                <w:szCs w:val="21"/>
              </w:rPr>
              <w:t>0.04</w:t>
            </w:r>
          </w:p>
        </w:tc>
        <w:tc>
          <w:tcPr>
            <w:tcW w:w="373" w:type="pct"/>
            <w:vAlign w:val="center"/>
          </w:tcPr>
          <w:p w14:paraId="0959D80F">
            <w:pPr>
              <w:pStyle w:val="67"/>
            </w:pPr>
            <w:r>
              <w:t>/</w:t>
            </w:r>
          </w:p>
        </w:tc>
        <w:tc>
          <w:tcPr>
            <w:tcW w:w="318" w:type="pct"/>
            <w:vAlign w:val="center"/>
          </w:tcPr>
          <w:p w14:paraId="212E4422">
            <w:pPr>
              <w:pStyle w:val="67"/>
            </w:pPr>
            <w:r>
              <w:t>/</w:t>
            </w:r>
          </w:p>
        </w:tc>
        <w:tc>
          <w:tcPr>
            <w:tcW w:w="576" w:type="pct"/>
            <w:vAlign w:val="center"/>
          </w:tcPr>
          <w:p w14:paraId="6B1AFF0B">
            <w:pPr>
              <w:widowControl/>
              <w:jc w:val="center"/>
              <w:textAlignment w:val="center"/>
              <w:rPr>
                <w:kern w:val="0"/>
                <w:szCs w:val="21"/>
              </w:rPr>
            </w:pPr>
            <w:r>
              <w:rPr>
                <w:kern w:val="0"/>
                <w:szCs w:val="21"/>
              </w:rPr>
              <w:t>0.0056</w:t>
            </w:r>
          </w:p>
        </w:tc>
        <w:tc>
          <w:tcPr>
            <w:tcW w:w="543" w:type="pct"/>
            <w:vAlign w:val="center"/>
          </w:tcPr>
          <w:p w14:paraId="42827FC4">
            <w:pPr>
              <w:widowControl/>
              <w:jc w:val="center"/>
              <w:textAlignment w:val="center"/>
            </w:pPr>
            <w:r>
              <w:rPr>
                <w:kern w:val="0"/>
                <w:szCs w:val="21"/>
              </w:rPr>
              <w:t>0.04</w:t>
            </w:r>
          </w:p>
        </w:tc>
        <w:tc>
          <w:tcPr>
            <w:tcW w:w="277" w:type="pct"/>
            <w:vAlign w:val="center"/>
          </w:tcPr>
          <w:p w14:paraId="2A91B41E">
            <w:pPr>
              <w:pStyle w:val="67"/>
            </w:pPr>
            <w:r>
              <w:rPr>
                <w:rFonts w:hint="eastAsia"/>
              </w:rPr>
              <w:t>7200</w:t>
            </w:r>
          </w:p>
        </w:tc>
      </w:tr>
      <w:tr w14:paraId="02AE84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2533F151">
            <w:pPr>
              <w:jc w:val="center"/>
              <w:rPr>
                <w:szCs w:val="21"/>
              </w:rPr>
            </w:pPr>
            <w:r>
              <w:rPr>
                <w:rFonts w:hint="eastAsia"/>
                <w:spacing w:val="-2"/>
                <w:kern w:val="28"/>
                <w:szCs w:val="21"/>
              </w:rPr>
              <w:t>混料</w:t>
            </w:r>
          </w:p>
        </w:tc>
        <w:tc>
          <w:tcPr>
            <w:tcW w:w="397" w:type="pct"/>
            <w:vMerge w:val="continue"/>
            <w:vAlign w:val="center"/>
          </w:tcPr>
          <w:p w14:paraId="3345E622">
            <w:pPr>
              <w:pStyle w:val="67"/>
            </w:pPr>
          </w:p>
        </w:tc>
        <w:tc>
          <w:tcPr>
            <w:tcW w:w="579" w:type="pct"/>
            <w:vAlign w:val="center"/>
          </w:tcPr>
          <w:p w14:paraId="4B93C8A1">
            <w:pPr>
              <w:jc w:val="center"/>
              <w:rPr>
                <w:spacing w:val="-2"/>
                <w:kern w:val="28"/>
                <w:szCs w:val="21"/>
              </w:rPr>
            </w:pPr>
            <w:r>
              <w:rPr>
                <w:rFonts w:hint="eastAsia"/>
                <w:spacing w:val="-2"/>
                <w:kern w:val="28"/>
                <w:szCs w:val="21"/>
              </w:rPr>
              <w:t>颗粒物</w:t>
            </w:r>
          </w:p>
        </w:tc>
        <w:tc>
          <w:tcPr>
            <w:tcW w:w="620" w:type="pct"/>
            <w:vAlign w:val="center"/>
          </w:tcPr>
          <w:p w14:paraId="75B25BFB">
            <w:pPr>
              <w:widowControl/>
              <w:jc w:val="center"/>
              <w:textAlignment w:val="center"/>
              <w:rPr>
                <w:kern w:val="0"/>
                <w:szCs w:val="21"/>
              </w:rPr>
            </w:pPr>
            <w:r>
              <w:rPr>
                <w:kern w:val="0"/>
                <w:szCs w:val="21"/>
              </w:rPr>
              <w:t>0.0094</w:t>
            </w:r>
          </w:p>
        </w:tc>
        <w:tc>
          <w:tcPr>
            <w:tcW w:w="564" w:type="pct"/>
            <w:vAlign w:val="center"/>
          </w:tcPr>
          <w:p w14:paraId="581788DC">
            <w:pPr>
              <w:widowControl/>
              <w:jc w:val="center"/>
              <w:textAlignment w:val="center"/>
            </w:pPr>
            <w:r>
              <w:rPr>
                <w:kern w:val="0"/>
                <w:szCs w:val="21"/>
              </w:rPr>
              <w:t>0.068</w:t>
            </w:r>
          </w:p>
        </w:tc>
        <w:tc>
          <w:tcPr>
            <w:tcW w:w="373" w:type="pct"/>
            <w:vAlign w:val="center"/>
          </w:tcPr>
          <w:p w14:paraId="22FB7D25">
            <w:pPr>
              <w:pStyle w:val="67"/>
            </w:pPr>
            <w:r>
              <w:t>/</w:t>
            </w:r>
          </w:p>
        </w:tc>
        <w:tc>
          <w:tcPr>
            <w:tcW w:w="318" w:type="pct"/>
            <w:vAlign w:val="center"/>
          </w:tcPr>
          <w:p w14:paraId="46828DF1">
            <w:pPr>
              <w:pStyle w:val="67"/>
            </w:pPr>
            <w:r>
              <w:t>/</w:t>
            </w:r>
          </w:p>
        </w:tc>
        <w:tc>
          <w:tcPr>
            <w:tcW w:w="576" w:type="pct"/>
            <w:vAlign w:val="center"/>
          </w:tcPr>
          <w:p w14:paraId="54DC4F2F">
            <w:pPr>
              <w:widowControl/>
              <w:jc w:val="center"/>
              <w:textAlignment w:val="center"/>
              <w:rPr>
                <w:kern w:val="0"/>
                <w:szCs w:val="21"/>
              </w:rPr>
            </w:pPr>
            <w:r>
              <w:rPr>
                <w:kern w:val="0"/>
                <w:szCs w:val="21"/>
              </w:rPr>
              <w:t>0.0094</w:t>
            </w:r>
          </w:p>
        </w:tc>
        <w:tc>
          <w:tcPr>
            <w:tcW w:w="543" w:type="pct"/>
            <w:vAlign w:val="center"/>
          </w:tcPr>
          <w:p w14:paraId="4050E9F5">
            <w:pPr>
              <w:widowControl/>
              <w:jc w:val="center"/>
              <w:textAlignment w:val="center"/>
            </w:pPr>
            <w:r>
              <w:rPr>
                <w:kern w:val="0"/>
                <w:szCs w:val="21"/>
              </w:rPr>
              <w:t>0.068</w:t>
            </w:r>
          </w:p>
        </w:tc>
        <w:tc>
          <w:tcPr>
            <w:tcW w:w="277" w:type="pct"/>
            <w:vMerge w:val="restart"/>
            <w:vAlign w:val="center"/>
          </w:tcPr>
          <w:p w14:paraId="70C6F964">
            <w:pPr>
              <w:pStyle w:val="67"/>
            </w:pPr>
            <w:r>
              <w:rPr>
                <w:rFonts w:hint="eastAsia"/>
              </w:rPr>
              <w:t>7200</w:t>
            </w:r>
          </w:p>
        </w:tc>
      </w:tr>
      <w:tr w14:paraId="04E6B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7D370DCA">
            <w:pPr>
              <w:jc w:val="center"/>
              <w:rPr>
                <w:spacing w:val="-2"/>
                <w:kern w:val="28"/>
                <w:szCs w:val="21"/>
              </w:rPr>
            </w:pPr>
          </w:p>
        </w:tc>
        <w:tc>
          <w:tcPr>
            <w:tcW w:w="397" w:type="pct"/>
            <w:vMerge w:val="continue"/>
            <w:vAlign w:val="center"/>
          </w:tcPr>
          <w:p w14:paraId="2E8ED01C">
            <w:pPr>
              <w:pStyle w:val="67"/>
            </w:pPr>
          </w:p>
        </w:tc>
        <w:tc>
          <w:tcPr>
            <w:tcW w:w="579" w:type="pct"/>
            <w:vAlign w:val="center"/>
          </w:tcPr>
          <w:p w14:paraId="66A8837B">
            <w:pPr>
              <w:jc w:val="center"/>
              <w:rPr>
                <w:spacing w:val="-2"/>
                <w:kern w:val="28"/>
                <w:szCs w:val="21"/>
              </w:rPr>
            </w:pPr>
            <w:r>
              <w:rPr>
                <w:spacing w:val="-2"/>
                <w:kern w:val="28"/>
                <w:szCs w:val="21"/>
              </w:rPr>
              <w:t>非甲烷总烃</w:t>
            </w:r>
          </w:p>
        </w:tc>
        <w:tc>
          <w:tcPr>
            <w:tcW w:w="620" w:type="pct"/>
            <w:vAlign w:val="center"/>
          </w:tcPr>
          <w:p w14:paraId="4B315E73">
            <w:pPr>
              <w:widowControl/>
              <w:jc w:val="center"/>
              <w:textAlignment w:val="center"/>
              <w:rPr>
                <w:kern w:val="0"/>
                <w:szCs w:val="21"/>
              </w:rPr>
            </w:pPr>
            <w:r>
              <w:rPr>
                <w:kern w:val="0"/>
                <w:szCs w:val="21"/>
              </w:rPr>
              <w:t>0.0144</w:t>
            </w:r>
          </w:p>
        </w:tc>
        <w:tc>
          <w:tcPr>
            <w:tcW w:w="564" w:type="pct"/>
            <w:vAlign w:val="center"/>
          </w:tcPr>
          <w:p w14:paraId="23B16392">
            <w:pPr>
              <w:widowControl/>
              <w:jc w:val="center"/>
              <w:textAlignment w:val="center"/>
            </w:pPr>
            <w:r>
              <w:rPr>
                <w:kern w:val="0"/>
                <w:szCs w:val="21"/>
              </w:rPr>
              <w:t>0.104</w:t>
            </w:r>
          </w:p>
        </w:tc>
        <w:tc>
          <w:tcPr>
            <w:tcW w:w="373" w:type="pct"/>
            <w:vAlign w:val="center"/>
          </w:tcPr>
          <w:p w14:paraId="536363B0">
            <w:pPr>
              <w:pStyle w:val="67"/>
            </w:pPr>
            <w:r>
              <w:t>/</w:t>
            </w:r>
          </w:p>
        </w:tc>
        <w:tc>
          <w:tcPr>
            <w:tcW w:w="318" w:type="pct"/>
            <w:vAlign w:val="center"/>
          </w:tcPr>
          <w:p w14:paraId="03644153">
            <w:pPr>
              <w:pStyle w:val="67"/>
            </w:pPr>
            <w:r>
              <w:t>/</w:t>
            </w:r>
          </w:p>
        </w:tc>
        <w:tc>
          <w:tcPr>
            <w:tcW w:w="576" w:type="pct"/>
            <w:vAlign w:val="center"/>
          </w:tcPr>
          <w:p w14:paraId="6EA32828">
            <w:pPr>
              <w:widowControl/>
              <w:jc w:val="center"/>
              <w:textAlignment w:val="center"/>
              <w:rPr>
                <w:kern w:val="0"/>
                <w:szCs w:val="21"/>
              </w:rPr>
            </w:pPr>
            <w:r>
              <w:rPr>
                <w:kern w:val="0"/>
                <w:szCs w:val="21"/>
              </w:rPr>
              <w:t>0.0144</w:t>
            </w:r>
          </w:p>
        </w:tc>
        <w:tc>
          <w:tcPr>
            <w:tcW w:w="543" w:type="pct"/>
            <w:vAlign w:val="center"/>
          </w:tcPr>
          <w:p w14:paraId="4BCAFAC3">
            <w:pPr>
              <w:widowControl/>
              <w:jc w:val="center"/>
              <w:textAlignment w:val="center"/>
            </w:pPr>
            <w:r>
              <w:rPr>
                <w:kern w:val="0"/>
                <w:szCs w:val="21"/>
              </w:rPr>
              <w:t>0.104</w:t>
            </w:r>
          </w:p>
        </w:tc>
        <w:tc>
          <w:tcPr>
            <w:tcW w:w="277" w:type="pct"/>
            <w:vMerge w:val="continue"/>
            <w:vAlign w:val="center"/>
          </w:tcPr>
          <w:p w14:paraId="10EC9210">
            <w:pPr>
              <w:pStyle w:val="67"/>
            </w:pPr>
          </w:p>
        </w:tc>
      </w:tr>
      <w:tr w14:paraId="2436D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392B8000">
            <w:pPr>
              <w:jc w:val="center"/>
              <w:rPr>
                <w:szCs w:val="21"/>
              </w:rPr>
            </w:pPr>
          </w:p>
        </w:tc>
        <w:tc>
          <w:tcPr>
            <w:tcW w:w="397" w:type="pct"/>
            <w:vMerge w:val="continue"/>
            <w:vAlign w:val="center"/>
          </w:tcPr>
          <w:p w14:paraId="7EE08D41">
            <w:pPr>
              <w:pStyle w:val="67"/>
            </w:pPr>
          </w:p>
        </w:tc>
        <w:tc>
          <w:tcPr>
            <w:tcW w:w="579" w:type="pct"/>
            <w:vAlign w:val="center"/>
          </w:tcPr>
          <w:p w14:paraId="5157B903">
            <w:pPr>
              <w:jc w:val="center"/>
              <w:rPr>
                <w:spacing w:val="-2"/>
                <w:kern w:val="28"/>
                <w:szCs w:val="21"/>
              </w:rPr>
            </w:pPr>
            <w:r>
              <w:rPr>
                <w:spacing w:val="-2"/>
                <w:kern w:val="28"/>
                <w:szCs w:val="21"/>
              </w:rPr>
              <w:t>硫化氢</w:t>
            </w:r>
          </w:p>
        </w:tc>
        <w:tc>
          <w:tcPr>
            <w:tcW w:w="620" w:type="pct"/>
            <w:vAlign w:val="center"/>
          </w:tcPr>
          <w:p w14:paraId="601D767E">
            <w:pPr>
              <w:widowControl/>
              <w:jc w:val="center"/>
              <w:textAlignment w:val="center"/>
              <w:rPr>
                <w:kern w:val="0"/>
                <w:szCs w:val="21"/>
              </w:rPr>
            </w:pPr>
            <w:r>
              <w:rPr>
                <w:kern w:val="0"/>
                <w:szCs w:val="21"/>
              </w:rPr>
              <w:t>0.0003</w:t>
            </w:r>
          </w:p>
        </w:tc>
        <w:tc>
          <w:tcPr>
            <w:tcW w:w="564" w:type="pct"/>
            <w:vAlign w:val="center"/>
          </w:tcPr>
          <w:p w14:paraId="7CAF643A">
            <w:pPr>
              <w:widowControl/>
              <w:jc w:val="center"/>
              <w:textAlignment w:val="center"/>
            </w:pPr>
            <w:r>
              <w:rPr>
                <w:kern w:val="0"/>
                <w:szCs w:val="21"/>
              </w:rPr>
              <w:t>0.002</w:t>
            </w:r>
          </w:p>
        </w:tc>
        <w:tc>
          <w:tcPr>
            <w:tcW w:w="373" w:type="pct"/>
            <w:vAlign w:val="center"/>
          </w:tcPr>
          <w:p w14:paraId="18953438">
            <w:pPr>
              <w:pStyle w:val="67"/>
            </w:pPr>
            <w:r>
              <w:t>/</w:t>
            </w:r>
          </w:p>
        </w:tc>
        <w:tc>
          <w:tcPr>
            <w:tcW w:w="318" w:type="pct"/>
            <w:vAlign w:val="center"/>
          </w:tcPr>
          <w:p w14:paraId="4F5466F4">
            <w:pPr>
              <w:pStyle w:val="67"/>
            </w:pPr>
            <w:r>
              <w:t>/</w:t>
            </w:r>
          </w:p>
        </w:tc>
        <w:tc>
          <w:tcPr>
            <w:tcW w:w="576" w:type="pct"/>
            <w:vAlign w:val="center"/>
          </w:tcPr>
          <w:p w14:paraId="1965F881">
            <w:pPr>
              <w:widowControl/>
              <w:jc w:val="center"/>
              <w:textAlignment w:val="center"/>
              <w:rPr>
                <w:kern w:val="0"/>
                <w:szCs w:val="21"/>
              </w:rPr>
            </w:pPr>
            <w:r>
              <w:rPr>
                <w:kern w:val="0"/>
                <w:szCs w:val="21"/>
              </w:rPr>
              <w:t>0.0003</w:t>
            </w:r>
          </w:p>
        </w:tc>
        <w:tc>
          <w:tcPr>
            <w:tcW w:w="543" w:type="pct"/>
            <w:vAlign w:val="center"/>
          </w:tcPr>
          <w:p w14:paraId="13CFB665">
            <w:pPr>
              <w:widowControl/>
              <w:jc w:val="center"/>
              <w:textAlignment w:val="center"/>
            </w:pPr>
            <w:r>
              <w:rPr>
                <w:kern w:val="0"/>
                <w:szCs w:val="21"/>
              </w:rPr>
              <w:t>0.002</w:t>
            </w:r>
          </w:p>
        </w:tc>
        <w:tc>
          <w:tcPr>
            <w:tcW w:w="277" w:type="pct"/>
            <w:vMerge w:val="continue"/>
            <w:vAlign w:val="center"/>
          </w:tcPr>
          <w:p w14:paraId="7D6C034D">
            <w:pPr>
              <w:pStyle w:val="67"/>
            </w:pPr>
          </w:p>
        </w:tc>
      </w:tr>
      <w:tr w14:paraId="4390E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7CC0A966">
            <w:pPr>
              <w:jc w:val="center"/>
              <w:rPr>
                <w:spacing w:val="-2"/>
                <w:kern w:val="28"/>
                <w:szCs w:val="21"/>
              </w:rPr>
            </w:pPr>
            <w:r>
              <w:rPr>
                <w:rFonts w:hint="eastAsia"/>
                <w:spacing w:val="-2"/>
                <w:kern w:val="28"/>
                <w:szCs w:val="21"/>
              </w:rPr>
              <w:t>返炼</w:t>
            </w:r>
          </w:p>
        </w:tc>
        <w:tc>
          <w:tcPr>
            <w:tcW w:w="397" w:type="pct"/>
            <w:vMerge w:val="continue"/>
            <w:vAlign w:val="center"/>
          </w:tcPr>
          <w:p w14:paraId="24DD3D3E">
            <w:pPr>
              <w:pStyle w:val="67"/>
            </w:pPr>
          </w:p>
        </w:tc>
        <w:tc>
          <w:tcPr>
            <w:tcW w:w="579" w:type="pct"/>
            <w:vAlign w:val="center"/>
          </w:tcPr>
          <w:p w14:paraId="289B434D">
            <w:pPr>
              <w:jc w:val="center"/>
              <w:rPr>
                <w:spacing w:val="-2"/>
                <w:kern w:val="28"/>
                <w:szCs w:val="21"/>
              </w:rPr>
            </w:pPr>
            <w:r>
              <w:rPr>
                <w:rFonts w:hint="eastAsia"/>
                <w:spacing w:val="-2"/>
                <w:kern w:val="28"/>
                <w:szCs w:val="21"/>
              </w:rPr>
              <w:t>颗粒物</w:t>
            </w:r>
          </w:p>
        </w:tc>
        <w:tc>
          <w:tcPr>
            <w:tcW w:w="620" w:type="pct"/>
            <w:vAlign w:val="center"/>
          </w:tcPr>
          <w:p w14:paraId="62B8FCA3">
            <w:pPr>
              <w:widowControl/>
              <w:jc w:val="center"/>
              <w:textAlignment w:val="center"/>
              <w:rPr>
                <w:kern w:val="0"/>
                <w:szCs w:val="21"/>
              </w:rPr>
            </w:pPr>
            <w:r>
              <w:rPr>
                <w:kern w:val="0"/>
                <w:szCs w:val="21"/>
              </w:rPr>
              <w:t>0.0022</w:t>
            </w:r>
          </w:p>
        </w:tc>
        <w:tc>
          <w:tcPr>
            <w:tcW w:w="564" w:type="pct"/>
            <w:vAlign w:val="center"/>
          </w:tcPr>
          <w:p w14:paraId="786D88DA">
            <w:pPr>
              <w:widowControl/>
              <w:jc w:val="center"/>
              <w:textAlignment w:val="center"/>
            </w:pPr>
            <w:r>
              <w:rPr>
                <w:kern w:val="0"/>
                <w:szCs w:val="21"/>
              </w:rPr>
              <w:t>0.016</w:t>
            </w:r>
          </w:p>
        </w:tc>
        <w:tc>
          <w:tcPr>
            <w:tcW w:w="373" w:type="pct"/>
            <w:vAlign w:val="center"/>
          </w:tcPr>
          <w:p w14:paraId="7C7F1088">
            <w:pPr>
              <w:pStyle w:val="67"/>
            </w:pPr>
            <w:r>
              <w:t>/</w:t>
            </w:r>
          </w:p>
        </w:tc>
        <w:tc>
          <w:tcPr>
            <w:tcW w:w="318" w:type="pct"/>
            <w:vAlign w:val="center"/>
          </w:tcPr>
          <w:p w14:paraId="15368B6A">
            <w:pPr>
              <w:pStyle w:val="67"/>
            </w:pPr>
            <w:r>
              <w:t>/</w:t>
            </w:r>
          </w:p>
        </w:tc>
        <w:tc>
          <w:tcPr>
            <w:tcW w:w="576" w:type="pct"/>
            <w:vAlign w:val="center"/>
          </w:tcPr>
          <w:p w14:paraId="4B8D123C">
            <w:pPr>
              <w:widowControl/>
              <w:jc w:val="center"/>
              <w:textAlignment w:val="center"/>
              <w:rPr>
                <w:kern w:val="0"/>
                <w:szCs w:val="21"/>
              </w:rPr>
            </w:pPr>
            <w:r>
              <w:rPr>
                <w:kern w:val="0"/>
                <w:szCs w:val="21"/>
              </w:rPr>
              <w:t>0.0022</w:t>
            </w:r>
          </w:p>
        </w:tc>
        <w:tc>
          <w:tcPr>
            <w:tcW w:w="543" w:type="pct"/>
            <w:vAlign w:val="center"/>
          </w:tcPr>
          <w:p w14:paraId="1FDDA74E">
            <w:pPr>
              <w:widowControl/>
              <w:jc w:val="center"/>
              <w:textAlignment w:val="center"/>
            </w:pPr>
            <w:r>
              <w:rPr>
                <w:kern w:val="0"/>
                <w:szCs w:val="21"/>
              </w:rPr>
              <w:t>0.016</w:t>
            </w:r>
          </w:p>
        </w:tc>
        <w:tc>
          <w:tcPr>
            <w:tcW w:w="277" w:type="pct"/>
            <w:vMerge w:val="restart"/>
            <w:vAlign w:val="center"/>
          </w:tcPr>
          <w:p w14:paraId="4133824E">
            <w:pPr>
              <w:pStyle w:val="67"/>
            </w:pPr>
            <w:r>
              <w:rPr>
                <w:rFonts w:hint="eastAsia"/>
              </w:rPr>
              <w:t>7200</w:t>
            </w:r>
          </w:p>
        </w:tc>
      </w:tr>
      <w:tr w14:paraId="1A2AF4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0BCFD11C">
            <w:pPr>
              <w:jc w:val="center"/>
              <w:rPr>
                <w:spacing w:val="-2"/>
                <w:kern w:val="28"/>
                <w:szCs w:val="21"/>
              </w:rPr>
            </w:pPr>
          </w:p>
        </w:tc>
        <w:tc>
          <w:tcPr>
            <w:tcW w:w="397" w:type="pct"/>
            <w:vMerge w:val="continue"/>
            <w:vAlign w:val="center"/>
          </w:tcPr>
          <w:p w14:paraId="405CB328">
            <w:pPr>
              <w:pStyle w:val="67"/>
            </w:pPr>
          </w:p>
        </w:tc>
        <w:tc>
          <w:tcPr>
            <w:tcW w:w="579" w:type="pct"/>
            <w:vAlign w:val="center"/>
          </w:tcPr>
          <w:p w14:paraId="00FCAE1B">
            <w:pPr>
              <w:jc w:val="center"/>
              <w:rPr>
                <w:spacing w:val="-2"/>
                <w:kern w:val="28"/>
                <w:szCs w:val="21"/>
              </w:rPr>
            </w:pPr>
            <w:r>
              <w:rPr>
                <w:spacing w:val="-2"/>
                <w:kern w:val="28"/>
                <w:szCs w:val="21"/>
              </w:rPr>
              <w:t>非甲烷总烃</w:t>
            </w:r>
          </w:p>
        </w:tc>
        <w:tc>
          <w:tcPr>
            <w:tcW w:w="620" w:type="pct"/>
            <w:vAlign w:val="center"/>
          </w:tcPr>
          <w:p w14:paraId="78B8D90B">
            <w:pPr>
              <w:widowControl/>
              <w:jc w:val="center"/>
              <w:textAlignment w:val="center"/>
              <w:rPr>
                <w:kern w:val="0"/>
                <w:szCs w:val="21"/>
              </w:rPr>
            </w:pPr>
            <w:r>
              <w:rPr>
                <w:kern w:val="0"/>
                <w:szCs w:val="21"/>
              </w:rPr>
              <w:t>0.0024</w:t>
            </w:r>
          </w:p>
        </w:tc>
        <w:tc>
          <w:tcPr>
            <w:tcW w:w="564" w:type="pct"/>
            <w:vAlign w:val="center"/>
          </w:tcPr>
          <w:p w14:paraId="5899DB02">
            <w:pPr>
              <w:widowControl/>
              <w:jc w:val="center"/>
              <w:textAlignment w:val="center"/>
            </w:pPr>
            <w:r>
              <w:rPr>
                <w:kern w:val="0"/>
                <w:szCs w:val="21"/>
              </w:rPr>
              <w:t>0.017</w:t>
            </w:r>
          </w:p>
        </w:tc>
        <w:tc>
          <w:tcPr>
            <w:tcW w:w="373" w:type="pct"/>
            <w:vAlign w:val="center"/>
          </w:tcPr>
          <w:p w14:paraId="6B9B2871">
            <w:pPr>
              <w:pStyle w:val="67"/>
            </w:pPr>
            <w:r>
              <w:t>/</w:t>
            </w:r>
          </w:p>
        </w:tc>
        <w:tc>
          <w:tcPr>
            <w:tcW w:w="318" w:type="pct"/>
            <w:vAlign w:val="center"/>
          </w:tcPr>
          <w:p w14:paraId="61A516C0">
            <w:pPr>
              <w:pStyle w:val="67"/>
            </w:pPr>
            <w:r>
              <w:t>/</w:t>
            </w:r>
          </w:p>
        </w:tc>
        <w:tc>
          <w:tcPr>
            <w:tcW w:w="576" w:type="pct"/>
            <w:vAlign w:val="center"/>
          </w:tcPr>
          <w:p w14:paraId="7CEB0D4B">
            <w:pPr>
              <w:widowControl/>
              <w:jc w:val="center"/>
              <w:textAlignment w:val="center"/>
              <w:rPr>
                <w:kern w:val="0"/>
                <w:szCs w:val="21"/>
              </w:rPr>
            </w:pPr>
            <w:r>
              <w:rPr>
                <w:kern w:val="0"/>
                <w:szCs w:val="21"/>
              </w:rPr>
              <w:t>0.0024</w:t>
            </w:r>
          </w:p>
        </w:tc>
        <w:tc>
          <w:tcPr>
            <w:tcW w:w="543" w:type="pct"/>
            <w:vAlign w:val="center"/>
          </w:tcPr>
          <w:p w14:paraId="09482677">
            <w:pPr>
              <w:widowControl/>
              <w:jc w:val="center"/>
              <w:textAlignment w:val="center"/>
            </w:pPr>
            <w:r>
              <w:rPr>
                <w:kern w:val="0"/>
                <w:szCs w:val="21"/>
              </w:rPr>
              <w:t>0.017</w:t>
            </w:r>
          </w:p>
        </w:tc>
        <w:tc>
          <w:tcPr>
            <w:tcW w:w="277" w:type="pct"/>
            <w:vMerge w:val="continue"/>
            <w:vAlign w:val="center"/>
          </w:tcPr>
          <w:p w14:paraId="22EBB952">
            <w:pPr>
              <w:pStyle w:val="67"/>
            </w:pPr>
          </w:p>
        </w:tc>
      </w:tr>
      <w:tr w14:paraId="4D20F5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339E4A4E">
            <w:pPr>
              <w:jc w:val="center"/>
              <w:rPr>
                <w:szCs w:val="21"/>
              </w:rPr>
            </w:pPr>
          </w:p>
        </w:tc>
        <w:tc>
          <w:tcPr>
            <w:tcW w:w="397" w:type="pct"/>
            <w:vMerge w:val="continue"/>
            <w:vAlign w:val="center"/>
          </w:tcPr>
          <w:p w14:paraId="6AF338EC">
            <w:pPr>
              <w:pStyle w:val="67"/>
            </w:pPr>
          </w:p>
        </w:tc>
        <w:tc>
          <w:tcPr>
            <w:tcW w:w="579" w:type="pct"/>
            <w:vAlign w:val="center"/>
          </w:tcPr>
          <w:p w14:paraId="06CC198C">
            <w:pPr>
              <w:jc w:val="center"/>
              <w:rPr>
                <w:spacing w:val="-2"/>
                <w:kern w:val="28"/>
                <w:szCs w:val="21"/>
              </w:rPr>
            </w:pPr>
            <w:r>
              <w:rPr>
                <w:spacing w:val="-2"/>
                <w:kern w:val="28"/>
                <w:szCs w:val="21"/>
              </w:rPr>
              <w:t>硫化氢</w:t>
            </w:r>
          </w:p>
        </w:tc>
        <w:tc>
          <w:tcPr>
            <w:tcW w:w="620" w:type="pct"/>
            <w:vAlign w:val="center"/>
          </w:tcPr>
          <w:p w14:paraId="18B12EF7">
            <w:pPr>
              <w:widowControl/>
              <w:jc w:val="center"/>
              <w:textAlignment w:val="center"/>
              <w:rPr>
                <w:kern w:val="0"/>
                <w:szCs w:val="21"/>
              </w:rPr>
            </w:pPr>
            <w:r>
              <w:rPr>
                <w:kern w:val="0"/>
                <w:szCs w:val="21"/>
              </w:rPr>
              <w:t>0.0004</w:t>
            </w:r>
          </w:p>
        </w:tc>
        <w:tc>
          <w:tcPr>
            <w:tcW w:w="564" w:type="pct"/>
            <w:vAlign w:val="center"/>
          </w:tcPr>
          <w:p w14:paraId="67D1B31E">
            <w:pPr>
              <w:widowControl/>
              <w:jc w:val="center"/>
              <w:textAlignment w:val="center"/>
            </w:pPr>
            <w:r>
              <w:rPr>
                <w:kern w:val="0"/>
                <w:szCs w:val="21"/>
              </w:rPr>
              <w:t>0.003</w:t>
            </w:r>
          </w:p>
        </w:tc>
        <w:tc>
          <w:tcPr>
            <w:tcW w:w="373" w:type="pct"/>
            <w:vAlign w:val="center"/>
          </w:tcPr>
          <w:p w14:paraId="7C317376">
            <w:pPr>
              <w:pStyle w:val="67"/>
            </w:pPr>
            <w:r>
              <w:t>/</w:t>
            </w:r>
          </w:p>
        </w:tc>
        <w:tc>
          <w:tcPr>
            <w:tcW w:w="318" w:type="pct"/>
            <w:vAlign w:val="center"/>
          </w:tcPr>
          <w:p w14:paraId="4ABF897A">
            <w:pPr>
              <w:pStyle w:val="67"/>
            </w:pPr>
            <w:r>
              <w:t>/</w:t>
            </w:r>
          </w:p>
        </w:tc>
        <w:tc>
          <w:tcPr>
            <w:tcW w:w="576" w:type="pct"/>
            <w:vAlign w:val="center"/>
          </w:tcPr>
          <w:p w14:paraId="798A1D36">
            <w:pPr>
              <w:widowControl/>
              <w:jc w:val="center"/>
              <w:textAlignment w:val="center"/>
              <w:rPr>
                <w:kern w:val="0"/>
                <w:szCs w:val="21"/>
              </w:rPr>
            </w:pPr>
            <w:r>
              <w:rPr>
                <w:kern w:val="0"/>
                <w:szCs w:val="21"/>
              </w:rPr>
              <w:t>0.0004</w:t>
            </w:r>
          </w:p>
        </w:tc>
        <w:tc>
          <w:tcPr>
            <w:tcW w:w="543" w:type="pct"/>
            <w:vAlign w:val="center"/>
          </w:tcPr>
          <w:p w14:paraId="71BBE28C">
            <w:pPr>
              <w:widowControl/>
              <w:jc w:val="center"/>
              <w:textAlignment w:val="center"/>
            </w:pPr>
            <w:r>
              <w:rPr>
                <w:kern w:val="0"/>
                <w:szCs w:val="21"/>
              </w:rPr>
              <w:t>0.003</w:t>
            </w:r>
          </w:p>
        </w:tc>
        <w:tc>
          <w:tcPr>
            <w:tcW w:w="277" w:type="pct"/>
            <w:vMerge w:val="continue"/>
            <w:vAlign w:val="center"/>
          </w:tcPr>
          <w:p w14:paraId="36B648E4">
            <w:pPr>
              <w:pStyle w:val="67"/>
            </w:pPr>
          </w:p>
        </w:tc>
      </w:tr>
      <w:tr w14:paraId="52773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219669F8">
            <w:pPr>
              <w:jc w:val="center"/>
              <w:rPr>
                <w:spacing w:val="-2"/>
                <w:kern w:val="28"/>
                <w:szCs w:val="21"/>
              </w:rPr>
            </w:pPr>
            <w:r>
              <w:rPr>
                <w:spacing w:val="-2"/>
                <w:kern w:val="28"/>
                <w:szCs w:val="21"/>
              </w:rPr>
              <w:t>挤出</w:t>
            </w:r>
          </w:p>
        </w:tc>
        <w:tc>
          <w:tcPr>
            <w:tcW w:w="397" w:type="pct"/>
            <w:vMerge w:val="continue"/>
            <w:vAlign w:val="center"/>
          </w:tcPr>
          <w:p w14:paraId="7D87A489">
            <w:pPr>
              <w:pStyle w:val="67"/>
            </w:pPr>
          </w:p>
        </w:tc>
        <w:tc>
          <w:tcPr>
            <w:tcW w:w="579" w:type="pct"/>
            <w:vAlign w:val="center"/>
          </w:tcPr>
          <w:p w14:paraId="5AECFC7A">
            <w:pPr>
              <w:jc w:val="center"/>
              <w:rPr>
                <w:spacing w:val="-2"/>
                <w:kern w:val="28"/>
                <w:szCs w:val="21"/>
              </w:rPr>
            </w:pPr>
            <w:r>
              <w:rPr>
                <w:spacing w:val="-2"/>
                <w:kern w:val="28"/>
                <w:szCs w:val="21"/>
              </w:rPr>
              <w:t>非甲烷总烃</w:t>
            </w:r>
          </w:p>
        </w:tc>
        <w:tc>
          <w:tcPr>
            <w:tcW w:w="620" w:type="pct"/>
            <w:vAlign w:val="center"/>
          </w:tcPr>
          <w:p w14:paraId="16A79DCD">
            <w:pPr>
              <w:widowControl/>
              <w:jc w:val="center"/>
              <w:textAlignment w:val="center"/>
              <w:rPr>
                <w:kern w:val="0"/>
                <w:szCs w:val="21"/>
              </w:rPr>
            </w:pPr>
            <w:r>
              <w:rPr>
                <w:kern w:val="0"/>
                <w:szCs w:val="21"/>
              </w:rPr>
              <w:t>0.0031</w:t>
            </w:r>
          </w:p>
        </w:tc>
        <w:tc>
          <w:tcPr>
            <w:tcW w:w="564" w:type="pct"/>
            <w:vAlign w:val="center"/>
          </w:tcPr>
          <w:p w14:paraId="3E78997A">
            <w:pPr>
              <w:widowControl/>
              <w:jc w:val="center"/>
              <w:textAlignment w:val="center"/>
            </w:pPr>
            <w:r>
              <w:rPr>
                <w:kern w:val="0"/>
                <w:szCs w:val="21"/>
              </w:rPr>
              <w:t>0.022</w:t>
            </w:r>
          </w:p>
        </w:tc>
        <w:tc>
          <w:tcPr>
            <w:tcW w:w="373" w:type="pct"/>
            <w:vAlign w:val="center"/>
          </w:tcPr>
          <w:p w14:paraId="1B65B706">
            <w:pPr>
              <w:pStyle w:val="67"/>
            </w:pPr>
            <w:r>
              <w:t>/</w:t>
            </w:r>
          </w:p>
        </w:tc>
        <w:tc>
          <w:tcPr>
            <w:tcW w:w="318" w:type="pct"/>
            <w:vAlign w:val="center"/>
          </w:tcPr>
          <w:p w14:paraId="34C0C5CF">
            <w:pPr>
              <w:pStyle w:val="67"/>
            </w:pPr>
            <w:r>
              <w:t>/</w:t>
            </w:r>
          </w:p>
        </w:tc>
        <w:tc>
          <w:tcPr>
            <w:tcW w:w="576" w:type="pct"/>
            <w:vAlign w:val="center"/>
          </w:tcPr>
          <w:p w14:paraId="3D8753AA">
            <w:pPr>
              <w:widowControl/>
              <w:jc w:val="center"/>
              <w:textAlignment w:val="center"/>
              <w:rPr>
                <w:kern w:val="0"/>
                <w:szCs w:val="21"/>
              </w:rPr>
            </w:pPr>
            <w:r>
              <w:rPr>
                <w:kern w:val="0"/>
                <w:szCs w:val="21"/>
              </w:rPr>
              <w:t>0.0031</w:t>
            </w:r>
          </w:p>
        </w:tc>
        <w:tc>
          <w:tcPr>
            <w:tcW w:w="543" w:type="pct"/>
            <w:vAlign w:val="center"/>
          </w:tcPr>
          <w:p w14:paraId="0DAE8A3B">
            <w:pPr>
              <w:widowControl/>
              <w:jc w:val="center"/>
              <w:textAlignment w:val="center"/>
            </w:pPr>
            <w:r>
              <w:rPr>
                <w:kern w:val="0"/>
                <w:szCs w:val="21"/>
              </w:rPr>
              <w:t>0.022</w:t>
            </w:r>
          </w:p>
        </w:tc>
        <w:tc>
          <w:tcPr>
            <w:tcW w:w="277" w:type="pct"/>
            <w:vMerge w:val="restart"/>
            <w:vAlign w:val="center"/>
          </w:tcPr>
          <w:p w14:paraId="00A253DD">
            <w:pPr>
              <w:widowControl/>
              <w:jc w:val="center"/>
              <w:textAlignment w:val="center"/>
            </w:pPr>
            <w:r>
              <w:rPr>
                <w:rFonts w:hint="eastAsia"/>
              </w:rPr>
              <w:t>7200</w:t>
            </w:r>
          </w:p>
        </w:tc>
      </w:tr>
      <w:tr w14:paraId="1C6834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53E28703">
            <w:pPr>
              <w:jc w:val="center"/>
              <w:rPr>
                <w:szCs w:val="21"/>
              </w:rPr>
            </w:pPr>
          </w:p>
        </w:tc>
        <w:tc>
          <w:tcPr>
            <w:tcW w:w="397" w:type="pct"/>
            <w:vMerge w:val="continue"/>
            <w:vAlign w:val="center"/>
          </w:tcPr>
          <w:p w14:paraId="6D47E7B0">
            <w:pPr>
              <w:pStyle w:val="67"/>
            </w:pPr>
          </w:p>
        </w:tc>
        <w:tc>
          <w:tcPr>
            <w:tcW w:w="579" w:type="pct"/>
            <w:vAlign w:val="center"/>
          </w:tcPr>
          <w:p w14:paraId="75EA391A">
            <w:pPr>
              <w:jc w:val="center"/>
              <w:rPr>
                <w:spacing w:val="-2"/>
                <w:kern w:val="28"/>
                <w:szCs w:val="21"/>
              </w:rPr>
            </w:pPr>
            <w:r>
              <w:rPr>
                <w:spacing w:val="-2"/>
                <w:kern w:val="28"/>
                <w:szCs w:val="21"/>
              </w:rPr>
              <w:t>硫化氢</w:t>
            </w:r>
          </w:p>
        </w:tc>
        <w:tc>
          <w:tcPr>
            <w:tcW w:w="620" w:type="pct"/>
            <w:vAlign w:val="center"/>
          </w:tcPr>
          <w:p w14:paraId="6C3ACB66">
            <w:pPr>
              <w:widowControl/>
              <w:jc w:val="center"/>
              <w:textAlignment w:val="center"/>
              <w:rPr>
                <w:kern w:val="0"/>
                <w:szCs w:val="21"/>
              </w:rPr>
            </w:pPr>
            <w:r>
              <w:rPr>
                <w:kern w:val="0"/>
                <w:szCs w:val="21"/>
              </w:rPr>
              <w:t>0.0013</w:t>
            </w:r>
          </w:p>
        </w:tc>
        <w:tc>
          <w:tcPr>
            <w:tcW w:w="564" w:type="pct"/>
            <w:vAlign w:val="center"/>
          </w:tcPr>
          <w:p w14:paraId="0F3C5C9D">
            <w:pPr>
              <w:widowControl/>
              <w:jc w:val="center"/>
              <w:textAlignment w:val="center"/>
            </w:pPr>
            <w:r>
              <w:rPr>
                <w:kern w:val="0"/>
                <w:szCs w:val="21"/>
              </w:rPr>
              <w:t>0.009</w:t>
            </w:r>
          </w:p>
        </w:tc>
        <w:tc>
          <w:tcPr>
            <w:tcW w:w="373" w:type="pct"/>
            <w:vAlign w:val="center"/>
          </w:tcPr>
          <w:p w14:paraId="0181E24E">
            <w:pPr>
              <w:pStyle w:val="67"/>
            </w:pPr>
            <w:r>
              <w:t>/</w:t>
            </w:r>
          </w:p>
        </w:tc>
        <w:tc>
          <w:tcPr>
            <w:tcW w:w="318" w:type="pct"/>
            <w:vAlign w:val="center"/>
          </w:tcPr>
          <w:p w14:paraId="5C023048">
            <w:pPr>
              <w:pStyle w:val="67"/>
            </w:pPr>
            <w:r>
              <w:t>/</w:t>
            </w:r>
          </w:p>
        </w:tc>
        <w:tc>
          <w:tcPr>
            <w:tcW w:w="576" w:type="pct"/>
            <w:vAlign w:val="center"/>
          </w:tcPr>
          <w:p w14:paraId="6A1755C1">
            <w:pPr>
              <w:widowControl/>
              <w:jc w:val="center"/>
              <w:textAlignment w:val="center"/>
              <w:rPr>
                <w:kern w:val="0"/>
                <w:szCs w:val="21"/>
              </w:rPr>
            </w:pPr>
            <w:r>
              <w:rPr>
                <w:kern w:val="0"/>
                <w:szCs w:val="21"/>
              </w:rPr>
              <w:t>0.0013</w:t>
            </w:r>
          </w:p>
        </w:tc>
        <w:tc>
          <w:tcPr>
            <w:tcW w:w="543" w:type="pct"/>
            <w:vAlign w:val="center"/>
          </w:tcPr>
          <w:p w14:paraId="1040617F">
            <w:pPr>
              <w:widowControl/>
              <w:jc w:val="center"/>
              <w:textAlignment w:val="center"/>
            </w:pPr>
            <w:r>
              <w:rPr>
                <w:kern w:val="0"/>
                <w:szCs w:val="21"/>
              </w:rPr>
              <w:t>0.009</w:t>
            </w:r>
          </w:p>
        </w:tc>
        <w:tc>
          <w:tcPr>
            <w:tcW w:w="277" w:type="pct"/>
            <w:vMerge w:val="continue"/>
            <w:vAlign w:val="center"/>
          </w:tcPr>
          <w:p w14:paraId="77B35A90">
            <w:pPr>
              <w:pStyle w:val="67"/>
            </w:pPr>
          </w:p>
        </w:tc>
      </w:tr>
      <w:tr w14:paraId="0341C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3F5D35A0">
            <w:pPr>
              <w:jc w:val="center"/>
              <w:rPr>
                <w:spacing w:val="-2"/>
                <w:kern w:val="28"/>
                <w:szCs w:val="21"/>
              </w:rPr>
            </w:pPr>
            <w:r>
              <w:rPr>
                <w:b/>
                <w:bCs/>
                <w:spacing w:val="-2"/>
                <w:kern w:val="28"/>
                <w:szCs w:val="21"/>
              </w:rPr>
              <w:t>合计</w:t>
            </w:r>
          </w:p>
        </w:tc>
        <w:tc>
          <w:tcPr>
            <w:tcW w:w="397" w:type="pct"/>
            <w:vMerge w:val="continue"/>
            <w:vAlign w:val="center"/>
          </w:tcPr>
          <w:p w14:paraId="4A55BF7D">
            <w:pPr>
              <w:pStyle w:val="67"/>
            </w:pPr>
          </w:p>
        </w:tc>
        <w:tc>
          <w:tcPr>
            <w:tcW w:w="579" w:type="pct"/>
            <w:vAlign w:val="center"/>
          </w:tcPr>
          <w:p w14:paraId="300C5431">
            <w:pPr>
              <w:jc w:val="center"/>
              <w:rPr>
                <w:b/>
                <w:bCs/>
                <w:spacing w:val="-2"/>
                <w:kern w:val="28"/>
                <w:szCs w:val="21"/>
              </w:rPr>
            </w:pPr>
            <w:r>
              <w:rPr>
                <w:b/>
                <w:bCs/>
                <w:spacing w:val="-2"/>
                <w:kern w:val="28"/>
                <w:szCs w:val="21"/>
              </w:rPr>
              <w:t>非甲烷总烃</w:t>
            </w:r>
          </w:p>
        </w:tc>
        <w:tc>
          <w:tcPr>
            <w:tcW w:w="620" w:type="pct"/>
            <w:vAlign w:val="center"/>
          </w:tcPr>
          <w:p w14:paraId="6A77D75C">
            <w:pPr>
              <w:widowControl/>
              <w:jc w:val="center"/>
              <w:textAlignment w:val="center"/>
              <w:rPr>
                <w:kern w:val="0"/>
                <w:szCs w:val="21"/>
              </w:rPr>
            </w:pPr>
            <w:r>
              <w:rPr>
                <w:kern w:val="0"/>
                <w:szCs w:val="21"/>
              </w:rPr>
              <w:t>0.0199</w:t>
            </w:r>
          </w:p>
        </w:tc>
        <w:tc>
          <w:tcPr>
            <w:tcW w:w="564" w:type="pct"/>
            <w:vAlign w:val="center"/>
          </w:tcPr>
          <w:p w14:paraId="19F45A9D">
            <w:pPr>
              <w:widowControl/>
              <w:jc w:val="center"/>
              <w:textAlignment w:val="center"/>
            </w:pPr>
            <w:r>
              <w:rPr>
                <w:kern w:val="0"/>
                <w:szCs w:val="21"/>
              </w:rPr>
              <w:t>0.143</w:t>
            </w:r>
          </w:p>
        </w:tc>
        <w:tc>
          <w:tcPr>
            <w:tcW w:w="373" w:type="pct"/>
            <w:vAlign w:val="center"/>
          </w:tcPr>
          <w:p w14:paraId="3C1BB1DC">
            <w:pPr>
              <w:pStyle w:val="67"/>
            </w:pPr>
            <w:r>
              <w:t>/</w:t>
            </w:r>
          </w:p>
        </w:tc>
        <w:tc>
          <w:tcPr>
            <w:tcW w:w="318" w:type="pct"/>
            <w:vAlign w:val="center"/>
          </w:tcPr>
          <w:p w14:paraId="184B107C">
            <w:pPr>
              <w:pStyle w:val="67"/>
            </w:pPr>
            <w:r>
              <w:t>/</w:t>
            </w:r>
          </w:p>
        </w:tc>
        <w:tc>
          <w:tcPr>
            <w:tcW w:w="576" w:type="pct"/>
            <w:vAlign w:val="center"/>
          </w:tcPr>
          <w:p w14:paraId="60B06E56">
            <w:pPr>
              <w:widowControl/>
              <w:jc w:val="center"/>
              <w:textAlignment w:val="center"/>
              <w:rPr>
                <w:kern w:val="0"/>
                <w:szCs w:val="21"/>
              </w:rPr>
            </w:pPr>
            <w:r>
              <w:rPr>
                <w:kern w:val="0"/>
                <w:szCs w:val="21"/>
              </w:rPr>
              <w:t>0.0199</w:t>
            </w:r>
          </w:p>
        </w:tc>
        <w:tc>
          <w:tcPr>
            <w:tcW w:w="543" w:type="pct"/>
            <w:vAlign w:val="center"/>
          </w:tcPr>
          <w:p w14:paraId="59E05396">
            <w:pPr>
              <w:widowControl/>
              <w:jc w:val="center"/>
              <w:textAlignment w:val="center"/>
            </w:pPr>
            <w:r>
              <w:rPr>
                <w:kern w:val="0"/>
                <w:szCs w:val="21"/>
              </w:rPr>
              <w:t>0.143</w:t>
            </w:r>
          </w:p>
        </w:tc>
        <w:tc>
          <w:tcPr>
            <w:tcW w:w="277" w:type="pct"/>
            <w:vMerge w:val="restart"/>
            <w:vAlign w:val="center"/>
          </w:tcPr>
          <w:p w14:paraId="5D620E31">
            <w:pPr>
              <w:widowControl/>
              <w:jc w:val="center"/>
              <w:textAlignment w:val="center"/>
            </w:pPr>
            <w:r>
              <w:rPr>
                <w:rFonts w:hint="eastAsia"/>
              </w:rPr>
              <w:t>/</w:t>
            </w:r>
          </w:p>
        </w:tc>
      </w:tr>
      <w:tr w14:paraId="5DBADB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642FF0AE">
            <w:pPr>
              <w:jc w:val="center"/>
              <w:rPr>
                <w:spacing w:val="-2"/>
                <w:kern w:val="28"/>
                <w:szCs w:val="21"/>
              </w:rPr>
            </w:pPr>
          </w:p>
        </w:tc>
        <w:tc>
          <w:tcPr>
            <w:tcW w:w="397" w:type="pct"/>
            <w:vMerge w:val="continue"/>
            <w:vAlign w:val="center"/>
          </w:tcPr>
          <w:p w14:paraId="0AF7393C">
            <w:pPr>
              <w:pStyle w:val="67"/>
            </w:pPr>
          </w:p>
        </w:tc>
        <w:tc>
          <w:tcPr>
            <w:tcW w:w="579" w:type="pct"/>
            <w:vAlign w:val="center"/>
          </w:tcPr>
          <w:p w14:paraId="4AF99092">
            <w:pPr>
              <w:jc w:val="center"/>
              <w:rPr>
                <w:b/>
                <w:bCs/>
                <w:spacing w:val="-2"/>
                <w:kern w:val="28"/>
                <w:szCs w:val="21"/>
              </w:rPr>
            </w:pPr>
            <w:r>
              <w:rPr>
                <w:b/>
                <w:bCs/>
                <w:spacing w:val="-2"/>
                <w:kern w:val="28"/>
                <w:szCs w:val="21"/>
              </w:rPr>
              <w:t>硫化氢</w:t>
            </w:r>
          </w:p>
        </w:tc>
        <w:tc>
          <w:tcPr>
            <w:tcW w:w="620" w:type="pct"/>
            <w:vAlign w:val="center"/>
          </w:tcPr>
          <w:p w14:paraId="07622D87">
            <w:pPr>
              <w:widowControl/>
              <w:jc w:val="center"/>
              <w:textAlignment w:val="center"/>
              <w:rPr>
                <w:kern w:val="0"/>
                <w:szCs w:val="21"/>
              </w:rPr>
            </w:pPr>
            <w:r>
              <w:rPr>
                <w:kern w:val="0"/>
                <w:szCs w:val="21"/>
              </w:rPr>
              <w:t>0.0019</w:t>
            </w:r>
          </w:p>
        </w:tc>
        <w:tc>
          <w:tcPr>
            <w:tcW w:w="564" w:type="pct"/>
            <w:vAlign w:val="center"/>
          </w:tcPr>
          <w:p w14:paraId="784ECB74">
            <w:pPr>
              <w:widowControl/>
              <w:jc w:val="center"/>
              <w:textAlignment w:val="center"/>
            </w:pPr>
            <w:r>
              <w:rPr>
                <w:kern w:val="0"/>
                <w:szCs w:val="21"/>
              </w:rPr>
              <w:t>0.014</w:t>
            </w:r>
          </w:p>
        </w:tc>
        <w:tc>
          <w:tcPr>
            <w:tcW w:w="373" w:type="pct"/>
            <w:vAlign w:val="center"/>
          </w:tcPr>
          <w:p w14:paraId="38BEB0E4">
            <w:pPr>
              <w:pStyle w:val="67"/>
            </w:pPr>
            <w:r>
              <w:t>/</w:t>
            </w:r>
          </w:p>
        </w:tc>
        <w:tc>
          <w:tcPr>
            <w:tcW w:w="318" w:type="pct"/>
            <w:vAlign w:val="center"/>
          </w:tcPr>
          <w:p w14:paraId="4EAB9D01">
            <w:pPr>
              <w:pStyle w:val="67"/>
            </w:pPr>
            <w:r>
              <w:t>/</w:t>
            </w:r>
          </w:p>
        </w:tc>
        <w:tc>
          <w:tcPr>
            <w:tcW w:w="576" w:type="pct"/>
            <w:vAlign w:val="center"/>
          </w:tcPr>
          <w:p w14:paraId="08E39EE8">
            <w:pPr>
              <w:widowControl/>
              <w:jc w:val="center"/>
              <w:textAlignment w:val="center"/>
              <w:rPr>
                <w:kern w:val="0"/>
                <w:szCs w:val="21"/>
              </w:rPr>
            </w:pPr>
            <w:r>
              <w:rPr>
                <w:kern w:val="0"/>
                <w:szCs w:val="21"/>
              </w:rPr>
              <w:t>0.0019</w:t>
            </w:r>
          </w:p>
        </w:tc>
        <w:tc>
          <w:tcPr>
            <w:tcW w:w="543" w:type="pct"/>
            <w:vAlign w:val="center"/>
          </w:tcPr>
          <w:p w14:paraId="5F38A5E1">
            <w:pPr>
              <w:widowControl/>
              <w:jc w:val="center"/>
              <w:textAlignment w:val="center"/>
            </w:pPr>
            <w:r>
              <w:rPr>
                <w:kern w:val="0"/>
                <w:szCs w:val="21"/>
              </w:rPr>
              <w:t>0.014</w:t>
            </w:r>
          </w:p>
        </w:tc>
        <w:tc>
          <w:tcPr>
            <w:tcW w:w="277" w:type="pct"/>
            <w:vMerge w:val="continue"/>
            <w:vAlign w:val="center"/>
          </w:tcPr>
          <w:p w14:paraId="351B85A4">
            <w:pPr>
              <w:widowControl/>
              <w:jc w:val="center"/>
              <w:textAlignment w:val="center"/>
            </w:pPr>
          </w:p>
        </w:tc>
      </w:tr>
      <w:tr w14:paraId="0293AD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59505578">
            <w:pPr>
              <w:jc w:val="center"/>
              <w:rPr>
                <w:spacing w:val="-2"/>
                <w:kern w:val="28"/>
                <w:szCs w:val="21"/>
              </w:rPr>
            </w:pPr>
          </w:p>
        </w:tc>
        <w:tc>
          <w:tcPr>
            <w:tcW w:w="397" w:type="pct"/>
            <w:vMerge w:val="continue"/>
            <w:vAlign w:val="center"/>
          </w:tcPr>
          <w:p w14:paraId="401D92A9">
            <w:pPr>
              <w:pStyle w:val="67"/>
            </w:pPr>
          </w:p>
        </w:tc>
        <w:tc>
          <w:tcPr>
            <w:tcW w:w="579" w:type="pct"/>
            <w:vAlign w:val="center"/>
          </w:tcPr>
          <w:p w14:paraId="2A4E7037">
            <w:pPr>
              <w:jc w:val="center"/>
              <w:rPr>
                <w:b/>
                <w:bCs/>
                <w:kern w:val="0"/>
                <w:szCs w:val="21"/>
              </w:rPr>
            </w:pPr>
            <w:r>
              <w:rPr>
                <w:b/>
                <w:bCs/>
                <w:spacing w:val="-2"/>
                <w:kern w:val="28"/>
                <w:szCs w:val="21"/>
              </w:rPr>
              <w:t>颗粒物</w:t>
            </w:r>
          </w:p>
        </w:tc>
        <w:tc>
          <w:tcPr>
            <w:tcW w:w="620" w:type="pct"/>
            <w:vAlign w:val="center"/>
          </w:tcPr>
          <w:p w14:paraId="2466BC58">
            <w:pPr>
              <w:widowControl/>
              <w:jc w:val="center"/>
              <w:textAlignment w:val="center"/>
              <w:rPr>
                <w:kern w:val="0"/>
                <w:szCs w:val="21"/>
              </w:rPr>
            </w:pPr>
            <w:r>
              <w:rPr>
                <w:kern w:val="0"/>
                <w:szCs w:val="21"/>
              </w:rPr>
              <w:t>0.0172</w:t>
            </w:r>
          </w:p>
        </w:tc>
        <w:tc>
          <w:tcPr>
            <w:tcW w:w="564" w:type="pct"/>
            <w:vAlign w:val="center"/>
          </w:tcPr>
          <w:p w14:paraId="35EC4242">
            <w:pPr>
              <w:widowControl/>
              <w:jc w:val="center"/>
              <w:textAlignment w:val="center"/>
            </w:pPr>
            <w:r>
              <w:rPr>
                <w:kern w:val="0"/>
                <w:szCs w:val="21"/>
              </w:rPr>
              <w:t>0.124</w:t>
            </w:r>
          </w:p>
        </w:tc>
        <w:tc>
          <w:tcPr>
            <w:tcW w:w="373" w:type="pct"/>
            <w:vAlign w:val="center"/>
          </w:tcPr>
          <w:p w14:paraId="7D5C0143">
            <w:pPr>
              <w:pStyle w:val="67"/>
            </w:pPr>
            <w:r>
              <w:t>/</w:t>
            </w:r>
          </w:p>
        </w:tc>
        <w:tc>
          <w:tcPr>
            <w:tcW w:w="318" w:type="pct"/>
            <w:vAlign w:val="center"/>
          </w:tcPr>
          <w:p w14:paraId="3A942D8D">
            <w:pPr>
              <w:pStyle w:val="67"/>
            </w:pPr>
            <w:r>
              <w:t>/</w:t>
            </w:r>
          </w:p>
        </w:tc>
        <w:tc>
          <w:tcPr>
            <w:tcW w:w="576" w:type="pct"/>
            <w:vAlign w:val="center"/>
          </w:tcPr>
          <w:p w14:paraId="1853B074">
            <w:pPr>
              <w:widowControl/>
              <w:jc w:val="center"/>
              <w:textAlignment w:val="center"/>
              <w:rPr>
                <w:kern w:val="0"/>
                <w:szCs w:val="21"/>
              </w:rPr>
            </w:pPr>
            <w:r>
              <w:rPr>
                <w:kern w:val="0"/>
                <w:szCs w:val="21"/>
              </w:rPr>
              <w:t>0.0172</w:t>
            </w:r>
          </w:p>
        </w:tc>
        <w:tc>
          <w:tcPr>
            <w:tcW w:w="543" w:type="pct"/>
            <w:vAlign w:val="center"/>
          </w:tcPr>
          <w:p w14:paraId="35C238B6">
            <w:pPr>
              <w:widowControl/>
              <w:jc w:val="center"/>
              <w:textAlignment w:val="center"/>
            </w:pPr>
            <w:r>
              <w:rPr>
                <w:kern w:val="0"/>
                <w:szCs w:val="21"/>
              </w:rPr>
              <w:t>0.124</w:t>
            </w:r>
          </w:p>
        </w:tc>
        <w:tc>
          <w:tcPr>
            <w:tcW w:w="277" w:type="pct"/>
            <w:vMerge w:val="continue"/>
            <w:vAlign w:val="center"/>
          </w:tcPr>
          <w:p w14:paraId="0675D428">
            <w:pPr>
              <w:widowControl/>
              <w:jc w:val="center"/>
              <w:textAlignment w:val="center"/>
            </w:pPr>
          </w:p>
        </w:tc>
      </w:tr>
      <w:tr w14:paraId="4636A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0E0834A3">
            <w:pPr>
              <w:jc w:val="center"/>
              <w:rPr>
                <w:spacing w:val="-2"/>
                <w:kern w:val="28"/>
                <w:szCs w:val="21"/>
              </w:rPr>
            </w:pPr>
            <w:r>
              <w:rPr>
                <w:spacing w:val="-2"/>
                <w:kern w:val="28"/>
                <w:szCs w:val="21"/>
              </w:rPr>
              <w:t>硫化</w:t>
            </w:r>
          </w:p>
        </w:tc>
        <w:tc>
          <w:tcPr>
            <w:tcW w:w="397" w:type="pct"/>
            <w:vMerge w:val="restart"/>
            <w:vAlign w:val="center"/>
          </w:tcPr>
          <w:p w14:paraId="6C244169">
            <w:pPr>
              <w:pStyle w:val="67"/>
            </w:pPr>
            <w:r>
              <w:rPr>
                <w:rFonts w:hint="eastAsia"/>
              </w:rPr>
              <w:t>1#</w:t>
            </w:r>
            <w:r>
              <w:t>车间</w:t>
            </w:r>
          </w:p>
        </w:tc>
        <w:tc>
          <w:tcPr>
            <w:tcW w:w="579" w:type="pct"/>
            <w:vAlign w:val="center"/>
          </w:tcPr>
          <w:p w14:paraId="675844F4">
            <w:pPr>
              <w:jc w:val="center"/>
              <w:rPr>
                <w:spacing w:val="-2"/>
                <w:kern w:val="28"/>
                <w:szCs w:val="21"/>
              </w:rPr>
            </w:pPr>
            <w:r>
              <w:rPr>
                <w:spacing w:val="-2"/>
                <w:kern w:val="28"/>
                <w:szCs w:val="21"/>
              </w:rPr>
              <w:t>非甲烷总烃</w:t>
            </w:r>
          </w:p>
        </w:tc>
        <w:tc>
          <w:tcPr>
            <w:tcW w:w="620" w:type="pct"/>
            <w:vAlign w:val="center"/>
          </w:tcPr>
          <w:p w14:paraId="2158D375">
            <w:pPr>
              <w:widowControl/>
              <w:jc w:val="center"/>
              <w:textAlignment w:val="center"/>
              <w:rPr>
                <w:kern w:val="0"/>
                <w:szCs w:val="21"/>
              </w:rPr>
            </w:pPr>
            <w:r>
              <w:rPr>
                <w:kern w:val="0"/>
                <w:szCs w:val="21"/>
              </w:rPr>
              <w:t>0.0060</w:t>
            </w:r>
          </w:p>
        </w:tc>
        <w:tc>
          <w:tcPr>
            <w:tcW w:w="564" w:type="pct"/>
            <w:vAlign w:val="center"/>
          </w:tcPr>
          <w:p w14:paraId="21ED7C7A">
            <w:pPr>
              <w:widowControl/>
              <w:jc w:val="center"/>
              <w:textAlignment w:val="center"/>
            </w:pPr>
            <w:r>
              <w:rPr>
                <w:kern w:val="0"/>
                <w:szCs w:val="21"/>
              </w:rPr>
              <w:t>0.043</w:t>
            </w:r>
          </w:p>
        </w:tc>
        <w:tc>
          <w:tcPr>
            <w:tcW w:w="373" w:type="pct"/>
            <w:vAlign w:val="center"/>
          </w:tcPr>
          <w:p w14:paraId="52E79E6B">
            <w:pPr>
              <w:pStyle w:val="67"/>
            </w:pPr>
            <w:r>
              <w:t>/</w:t>
            </w:r>
          </w:p>
        </w:tc>
        <w:tc>
          <w:tcPr>
            <w:tcW w:w="318" w:type="pct"/>
            <w:vAlign w:val="center"/>
          </w:tcPr>
          <w:p w14:paraId="2F5C5A56">
            <w:pPr>
              <w:pStyle w:val="67"/>
            </w:pPr>
            <w:r>
              <w:t>/</w:t>
            </w:r>
          </w:p>
        </w:tc>
        <w:tc>
          <w:tcPr>
            <w:tcW w:w="576" w:type="pct"/>
            <w:vAlign w:val="center"/>
          </w:tcPr>
          <w:p w14:paraId="4F37A011">
            <w:pPr>
              <w:widowControl/>
              <w:jc w:val="center"/>
              <w:textAlignment w:val="center"/>
              <w:rPr>
                <w:kern w:val="0"/>
                <w:szCs w:val="21"/>
              </w:rPr>
            </w:pPr>
            <w:r>
              <w:rPr>
                <w:kern w:val="0"/>
                <w:szCs w:val="21"/>
              </w:rPr>
              <w:t>0.0060</w:t>
            </w:r>
          </w:p>
        </w:tc>
        <w:tc>
          <w:tcPr>
            <w:tcW w:w="543" w:type="pct"/>
            <w:vAlign w:val="center"/>
          </w:tcPr>
          <w:p w14:paraId="00ED10EB">
            <w:pPr>
              <w:widowControl/>
              <w:jc w:val="center"/>
              <w:textAlignment w:val="center"/>
            </w:pPr>
            <w:r>
              <w:rPr>
                <w:kern w:val="0"/>
                <w:szCs w:val="21"/>
              </w:rPr>
              <w:t>0.043</w:t>
            </w:r>
          </w:p>
        </w:tc>
        <w:tc>
          <w:tcPr>
            <w:tcW w:w="277" w:type="pct"/>
            <w:vMerge w:val="restart"/>
            <w:vAlign w:val="center"/>
          </w:tcPr>
          <w:p w14:paraId="6DE245BC">
            <w:pPr>
              <w:widowControl/>
              <w:jc w:val="center"/>
              <w:textAlignment w:val="center"/>
            </w:pPr>
            <w:r>
              <w:rPr>
                <w:rFonts w:hint="eastAsia"/>
              </w:rPr>
              <w:t>7200</w:t>
            </w:r>
          </w:p>
        </w:tc>
      </w:tr>
      <w:tr w14:paraId="6F148E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79761FC7">
            <w:pPr>
              <w:jc w:val="center"/>
              <w:rPr>
                <w:szCs w:val="21"/>
              </w:rPr>
            </w:pPr>
          </w:p>
        </w:tc>
        <w:tc>
          <w:tcPr>
            <w:tcW w:w="397" w:type="pct"/>
            <w:vMerge w:val="continue"/>
            <w:vAlign w:val="center"/>
          </w:tcPr>
          <w:p w14:paraId="31F3FFB0">
            <w:pPr>
              <w:pStyle w:val="67"/>
            </w:pPr>
          </w:p>
        </w:tc>
        <w:tc>
          <w:tcPr>
            <w:tcW w:w="579" w:type="pct"/>
            <w:vAlign w:val="center"/>
          </w:tcPr>
          <w:p w14:paraId="7B6965B8">
            <w:pPr>
              <w:jc w:val="center"/>
              <w:rPr>
                <w:spacing w:val="-2"/>
                <w:kern w:val="28"/>
                <w:szCs w:val="21"/>
              </w:rPr>
            </w:pPr>
            <w:r>
              <w:rPr>
                <w:spacing w:val="-2"/>
                <w:kern w:val="28"/>
                <w:szCs w:val="21"/>
              </w:rPr>
              <w:t>硫化氢</w:t>
            </w:r>
          </w:p>
        </w:tc>
        <w:tc>
          <w:tcPr>
            <w:tcW w:w="620" w:type="pct"/>
            <w:vAlign w:val="center"/>
          </w:tcPr>
          <w:p w14:paraId="67DD0814">
            <w:pPr>
              <w:widowControl/>
              <w:jc w:val="center"/>
              <w:textAlignment w:val="center"/>
              <w:rPr>
                <w:kern w:val="0"/>
                <w:szCs w:val="21"/>
              </w:rPr>
            </w:pPr>
            <w:r>
              <w:rPr>
                <w:kern w:val="0"/>
                <w:szCs w:val="21"/>
              </w:rPr>
              <w:t>0.0015</w:t>
            </w:r>
          </w:p>
        </w:tc>
        <w:tc>
          <w:tcPr>
            <w:tcW w:w="564" w:type="pct"/>
            <w:vAlign w:val="center"/>
          </w:tcPr>
          <w:p w14:paraId="277C069E">
            <w:pPr>
              <w:widowControl/>
              <w:jc w:val="center"/>
              <w:textAlignment w:val="center"/>
            </w:pPr>
            <w:r>
              <w:rPr>
                <w:kern w:val="0"/>
                <w:szCs w:val="21"/>
              </w:rPr>
              <w:t>0.011</w:t>
            </w:r>
          </w:p>
        </w:tc>
        <w:tc>
          <w:tcPr>
            <w:tcW w:w="373" w:type="pct"/>
            <w:vAlign w:val="center"/>
          </w:tcPr>
          <w:p w14:paraId="02D9472A">
            <w:pPr>
              <w:pStyle w:val="67"/>
            </w:pPr>
            <w:r>
              <w:t>/</w:t>
            </w:r>
          </w:p>
        </w:tc>
        <w:tc>
          <w:tcPr>
            <w:tcW w:w="318" w:type="pct"/>
            <w:vAlign w:val="center"/>
          </w:tcPr>
          <w:p w14:paraId="63FB004E">
            <w:pPr>
              <w:pStyle w:val="67"/>
            </w:pPr>
            <w:r>
              <w:t>/</w:t>
            </w:r>
          </w:p>
        </w:tc>
        <w:tc>
          <w:tcPr>
            <w:tcW w:w="576" w:type="pct"/>
            <w:vAlign w:val="center"/>
          </w:tcPr>
          <w:p w14:paraId="025486AE">
            <w:pPr>
              <w:widowControl/>
              <w:jc w:val="center"/>
              <w:textAlignment w:val="center"/>
              <w:rPr>
                <w:kern w:val="0"/>
                <w:szCs w:val="21"/>
              </w:rPr>
            </w:pPr>
            <w:r>
              <w:rPr>
                <w:kern w:val="0"/>
                <w:szCs w:val="21"/>
              </w:rPr>
              <w:t>0.0015</w:t>
            </w:r>
          </w:p>
        </w:tc>
        <w:tc>
          <w:tcPr>
            <w:tcW w:w="543" w:type="pct"/>
            <w:vAlign w:val="center"/>
          </w:tcPr>
          <w:p w14:paraId="75CABF71">
            <w:pPr>
              <w:widowControl/>
              <w:jc w:val="center"/>
              <w:textAlignment w:val="center"/>
            </w:pPr>
            <w:r>
              <w:rPr>
                <w:kern w:val="0"/>
                <w:szCs w:val="21"/>
              </w:rPr>
              <w:t>0.011</w:t>
            </w:r>
          </w:p>
        </w:tc>
        <w:tc>
          <w:tcPr>
            <w:tcW w:w="277" w:type="pct"/>
            <w:vMerge w:val="continue"/>
            <w:vAlign w:val="center"/>
          </w:tcPr>
          <w:p w14:paraId="3AB4A9AB">
            <w:pPr>
              <w:pStyle w:val="67"/>
            </w:pPr>
          </w:p>
        </w:tc>
      </w:tr>
      <w:tr w14:paraId="1D7D7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5AB1CFF8">
            <w:pPr>
              <w:jc w:val="center"/>
              <w:rPr>
                <w:szCs w:val="21"/>
              </w:rPr>
            </w:pPr>
          </w:p>
        </w:tc>
        <w:tc>
          <w:tcPr>
            <w:tcW w:w="397" w:type="pct"/>
            <w:vMerge w:val="continue"/>
            <w:vAlign w:val="center"/>
          </w:tcPr>
          <w:p w14:paraId="6890FAC9">
            <w:pPr>
              <w:pStyle w:val="67"/>
            </w:pPr>
          </w:p>
        </w:tc>
        <w:tc>
          <w:tcPr>
            <w:tcW w:w="579" w:type="pct"/>
            <w:vAlign w:val="center"/>
          </w:tcPr>
          <w:p w14:paraId="45B3670B">
            <w:pPr>
              <w:jc w:val="center"/>
              <w:rPr>
                <w:spacing w:val="-2"/>
                <w:kern w:val="28"/>
                <w:szCs w:val="21"/>
              </w:rPr>
            </w:pPr>
            <w:r>
              <w:rPr>
                <w:rFonts w:hint="eastAsia"/>
                <w:spacing w:val="-2"/>
                <w:kern w:val="28"/>
                <w:szCs w:val="21"/>
              </w:rPr>
              <w:t>氟化物</w:t>
            </w:r>
          </w:p>
        </w:tc>
        <w:tc>
          <w:tcPr>
            <w:tcW w:w="620" w:type="pct"/>
            <w:vAlign w:val="center"/>
          </w:tcPr>
          <w:p w14:paraId="49043C36">
            <w:pPr>
              <w:widowControl/>
              <w:jc w:val="center"/>
              <w:textAlignment w:val="center"/>
              <w:rPr>
                <w:kern w:val="0"/>
                <w:szCs w:val="21"/>
              </w:rPr>
            </w:pPr>
            <w:r>
              <w:rPr>
                <w:kern w:val="0"/>
                <w:szCs w:val="21"/>
              </w:rPr>
              <w:t>0.000001</w:t>
            </w:r>
          </w:p>
        </w:tc>
        <w:tc>
          <w:tcPr>
            <w:tcW w:w="564" w:type="pct"/>
            <w:vAlign w:val="center"/>
          </w:tcPr>
          <w:p w14:paraId="31A8CAA0">
            <w:pPr>
              <w:widowControl/>
              <w:jc w:val="center"/>
              <w:textAlignment w:val="center"/>
            </w:pPr>
            <w:r>
              <w:rPr>
                <w:kern w:val="0"/>
                <w:szCs w:val="21"/>
              </w:rPr>
              <w:t>0.000005</w:t>
            </w:r>
          </w:p>
        </w:tc>
        <w:tc>
          <w:tcPr>
            <w:tcW w:w="373" w:type="pct"/>
            <w:vAlign w:val="center"/>
          </w:tcPr>
          <w:p w14:paraId="16083DD3">
            <w:pPr>
              <w:pStyle w:val="67"/>
            </w:pPr>
            <w:r>
              <w:t>/</w:t>
            </w:r>
          </w:p>
        </w:tc>
        <w:tc>
          <w:tcPr>
            <w:tcW w:w="318" w:type="pct"/>
            <w:vAlign w:val="center"/>
          </w:tcPr>
          <w:p w14:paraId="16BD744B">
            <w:pPr>
              <w:pStyle w:val="67"/>
            </w:pPr>
            <w:r>
              <w:t>/</w:t>
            </w:r>
          </w:p>
        </w:tc>
        <w:tc>
          <w:tcPr>
            <w:tcW w:w="576" w:type="pct"/>
            <w:vAlign w:val="center"/>
          </w:tcPr>
          <w:p w14:paraId="171D0B87">
            <w:pPr>
              <w:widowControl/>
              <w:jc w:val="center"/>
              <w:textAlignment w:val="center"/>
              <w:rPr>
                <w:kern w:val="0"/>
                <w:szCs w:val="21"/>
              </w:rPr>
            </w:pPr>
            <w:r>
              <w:rPr>
                <w:kern w:val="0"/>
                <w:szCs w:val="21"/>
              </w:rPr>
              <w:t>0.000001</w:t>
            </w:r>
          </w:p>
        </w:tc>
        <w:tc>
          <w:tcPr>
            <w:tcW w:w="543" w:type="pct"/>
            <w:vAlign w:val="center"/>
          </w:tcPr>
          <w:p w14:paraId="5D500C2A">
            <w:pPr>
              <w:widowControl/>
              <w:jc w:val="center"/>
              <w:textAlignment w:val="center"/>
            </w:pPr>
            <w:r>
              <w:rPr>
                <w:kern w:val="0"/>
                <w:szCs w:val="21"/>
              </w:rPr>
              <w:t>0.000005</w:t>
            </w:r>
          </w:p>
        </w:tc>
        <w:tc>
          <w:tcPr>
            <w:tcW w:w="277" w:type="pct"/>
            <w:vMerge w:val="continue"/>
            <w:vAlign w:val="center"/>
          </w:tcPr>
          <w:p w14:paraId="44BC0A28">
            <w:pPr>
              <w:pStyle w:val="67"/>
            </w:pPr>
          </w:p>
        </w:tc>
      </w:tr>
      <w:tr w14:paraId="43B783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34898ED1">
            <w:pPr>
              <w:jc w:val="center"/>
              <w:rPr>
                <w:spacing w:val="-2"/>
                <w:kern w:val="28"/>
                <w:szCs w:val="21"/>
              </w:rPr>
            </w:pPr>
            <w:r>
              <w:rPr>
                <w:spacing w:val="-2"/>
                <w:kern w:val="28"/>
                <w:szCs w:val="21"/>
              </w:rPr>
              <w:t>二次硫化</w:t>
            </w:r>
          </w:p>
        </w:tc>
        <w:tc>
          <w:tcPr>
            <w:tcW w:w="397" w:type="pct"/>
            <w:vMerge w:val="continue"/>
            <w:vAlign w:val="center"/>
          </w:tcPr>
          <w:p w14:paraId="66E44131">
            <w:pPr>
              <w:pStyle w:val="67"/>
            </w:pPr>
          </w:p>
        </w:tc>
        <w:tc>
          <w:tcPr>
            <w:tcW w:w="579" w:type="pct"/>
            <w:vAlign w:val="center"/>
          </w:tcPr>
          <w:p w14:paraId="186BE907">
            <w:pPr>
              <w:jc w:val="center"/>
              <w:rPr>
                <w:spacing w:val="-2"/>
                <w:kern w:val="28"/>
                <w:szCs w:val="21"/>
              </w:rPr>
            </w:pPr>
            <w:r>
              <w:rPr>
                <w:spacing w:val="-2"/>
                <w:kern w:val="28"/>
                <w:szCs w:val="21"/>
              </w:rPr>
              <w:t>非甲烷总烃</w:t>
            </w:r>
          </w:p>
        </w:tc>
        <w:tc>
          <w:tcPr>
            <w:tcW w:w="620" w:type="pct"/>
            <w:vAlign w:val="center"/>
          </w:tcPr>
          <w:p w14:paraId="3C57F324">
            <w:pPr>
              <w:widowControl/>
              <w:jc w:val="center"/>
              <w:textAlignment w:val="center"/>
              <w:rPr>
                <w:kern w:val="0"/>
                <w:szCs w:val="21"/>
              </w:rPr>
            </w:pPr>
            <w:r>
              <w:rPr>
                <w:kern w:val="0"/>
                <w:szCs w:val="21"/>
              </w:rPr>
              <w:t>0.0025</w:t>
            </w:r>
          </w:p>
        </w:tc>
        <w:tc>
          <w:tcPr>
            <w:tcW w:w="564" w:type="pct"/>
            <w:vAlign w:val="center"/>
          </w:tcPr>
          <w:p w14:paraId="088C30E7">
            <w:pPr>
              <w:widowControl/>
              <w:jc w:val="center"/>
              <w:textAlignment w:val="center"/>
            </w:pPr>
            <w:r>
              <w:rPr>
                <w:kern w:val="0"/>
                <w:szCs w:val="21"/>
              </w:rPr>
              <w:t>0.018</w:t>
            </w:r>
          </w:p>
        </w:tc>
        <w:tc>
          <w:tcPr>
            <w:tcW w:w="373" w:type="pct"/>
            <w:vAlign w:val="center"/>
          </w:tcPr>
          <w:p w14:paraId="635CEAF3">
            <w:pPr>
              <w:pStyle w:val="67"/>
            </w:pPr>
            <w:r>
              <w:t>/</w:t>
            </w:r>
          </w:p>
        </w:tc>
        <w:tc>
          <w:tcPr>
            <w:tcW w:w="318" w:type="pct"/>
            <w:vAlign w:val="center"/>
          </w:tcPr>
          <w:p w14:paraId="17CCD04C">
            <w:pPr>
              <w:pStyle w:val="67"/>
            </w:pPr>
            <w:r>
              <w:t>/</w:t>
            </w:r>
          </w:p>
        </w:tc>
        <w:tc>
          <w:tcPr>
            <w:tcW w:w="576" w:type="pct"/>
            <w:vAlign w:val="center"/>
          </w:tcPr>
          <w:p w14:paraId="14DEC6E5">
            <w:pPr>
              <w:widowControl/>
              <w:jc w:val="center"/>
              <w:textAlignment w:val="center"/>
              <w:rPr>
                <w:kern w:val="0"/>
                <w:szCs w:val="21"/>
              </w:rPr>
            </w:pPr>
            <w:r>
              <w:rPr>
                <w:kern w:val="0"/>
                <w:szCs w:val="21"/>
              </w:rPr>
              <w:t>0.0025</w:t>
            </w:r>
          </w:p>
        </w:tc>
        <w:tc>
          <w:tcPr>
            <w:tcW w:w="543" w:type="pct"/>
            <w:vAlign w:val="center"/>
          </w:tcPr>
          <w:p w14:paraId="7225FCC8">
            <w:pPr>
              <w:widowControl/>
              <w:jc w:val="center"/>
              <w:textAlignment w:val="center"/>
            </w:pPr>
            <w:r>
              <w:rPr>
                <w:kern w:val="0"/>
                <w:szCs w:val="21"/>
              </w:rPr>
              <w:t>0.018</w:t>
            </w:r>
          </w:p>
        </w:tc>
        <w:tc>
          <w:tcPr>
            <w:tcW w:w="277" w:type="pct"/>
            <w:vMerge w:val="restart"/>
            <w:vAlign w:val="center"/>
          </w:tcPr>
          <w:p w14:paraId="7BA681E9">
            <w:pPr>
              <w:widowControl/>
              <w:jc w:val="center"/>
              <w:textAlignment w:val="center"/>
            </w:pPr>
            <w:r>
              <w:rPr>
                <w:rFonts w:hint="eastAsia"/>
              </w:rPr>
              <w:t>7200</w:t>
            </w:r>
          </w:p>
        </w:tc>
      </w:tr>
      <w:tr w14:paraId="7C4CA1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66944877">
            <w:pPr>
              <w:jc w:val="center"/>
              <w:rPr>
                <w:szCs w:val="21"/>
              </w:rPr>
            </w:pPr>
          </w:p>
        </w:tc>
        <w:tc>
          <w:tcPr>
            <w:tcW w:w="397" w:type="pct"/>
            <w:vMerge w:val="continue"/>
            <w:vAlign w:val="center"/>
          </w:tcPr>
          <w:p w14:paraId="3E44DDAC">
            <w:pPr>
              <w:pStyle w:val="67"/>
            </w:pPr>
          </w:p>
        </w:tc>
        <w:tc>
          <w:tcPr>
            <w:tcW w:w="579" w:type="pct"/>
            <w:vAlign w:val="center"/>
          </w:tcPr>
          <w:p w14:paraId="150CCC3D">
            <w:pPr>
              <w:jc w:val="center"/>
              <w:rPr>
                <w:spacing w:val="-2"/>
                <w:kern w:val="28"/>
                <w:szCs w:val="21"/>
              </w:rPr>
            </w:pPr>
            <w:r>
              <w:rPr>
                <w:spacing w:val="-2"/>
                <w:kern w:val="28"/>
                <w:szCs w:val="21"/>
              </w:rPr>
              <w:t>硫化氢</w:t>
            </w:r>
          </w:p>
        </w:tc>
        <w:tc>
          <w:tcPr>
            <w:tcW w:w="620" w:type="pct"/>
            <w:vAlign w:val="center"/>
          </w:tcPr>
          <w:p w14:paraId="26A7B5FD">
            <w:pPr>
              <w:widowControl/>
              <w:jc w:val="center"/>
              <w:textAlignment w:val="center"/>
              <w:rPr>
                <w:kern w:val="0"/>
                <w:szCs w:val="21"/>
              </w:rPr>
            </w:pPr>
            <w:r>
              <w:rPr>
                <w:kern w:val="0"/>
                <w:szCs w:val="21"/>
              </w:rPr>
              <w:t>0.0008</w:t>
            </w:r>
          </w:p>
        </w:tc>
        <w:tc>
          <w:tcPr>
            <w:tcW w:w="564" w:type="pct"/>
            <w:vAlign w:val="center"/>
          </w:tcPr>
          <w:p w14:paraId="2804E7C4">
            <w:pPr>
              <w:widowControl/>
              <w:jc w:val="center"/>
              <w:textAlignment w:val="center"/>
            </w:pPr>
            <w:r>
              <w:rPr>
                <w:kern w:val="0"/>
                <w:szCs w:val="21"/>
              </w:rPr>
              <w:t>0.006</w:t>
            </w:r>
          </w:p>
        </w:tc>
        <w:tc>
          <w:tcPr>
            <w:tcW w:w="373" w:type="pct"/>
            <w:vAlign w:val="center"/>
          </w:tcPr>
          <w:p w14:paraId="69CAE39D">
            <w:pPr>
              <w:pStyle w:val="67"/>
            </w:pPr>
            <w:r>
              <w:t>/</w:t>
            </w:r>
          </w:p>
        </w:tc>
        <w:tc>
          <w:tcPr>
            <w:tcW w:w="318" w:type="pct"/>
            <w:vAlign w:val="center"/>
          </w:tcPr>
          <w:p w14:paraId="30513F34">
            <w:pPr>
              <w:pStyle w:val="67"/>
            </w:pPr>
            <w:r>
              <w:t>/</w:t>
            </w:r>
          </w:p>
        </w:tc>
        <w:tc>
          <w:tcPr>
            <w:tcW w:w="576" w:type="pct"/>
            <w:vAlign w:val="center"/>
          </w:tcPr>
          <w:p w14:paraId="341068CC">
            <w:pPr>
              <w:widowControl/>
              <w:jc w:val="center"/>
              <w:textAlignment w:val="center"/>
              <w:rPr>
                <w:kern w:val="0"/>
                <w:szCs w:val="21"/>
              </w:rPr>
            </w:pPr>
            <w:r>
              <w:rPr>
                <w:kern w:val="0"/>
                <w:szCs w:val="21"/>
              </w:rPr>
              <w:t>0.0008</w:t>
            </w:r>
          </w:p>
        </w:tc>
        <w:tc>
          <w:tcPr>
            <w:tcW w:w="543" w:type="pct"/>
            <w:vAlign w:val="center"/>
          </w:tcPr>
          <w:p w14:paraId="73C9E99B">
            <w:pPr>
              <w:widowControl/>
              <w:jc w:val="center"/>
              <w:textAlignment w:val="center"/>
            </w:pPr>
            <w:r>
              <w:rPr>
                <w:kern w:val="0"/>
                <w:szCs w:val="21"/>
              </w:rPr>
              <w:t>0.006</w:t>
            </w:r>
          </w:p>
        </w:tc>
        <w:tc>
          <w:tcPr>
            <w:tcW w:w="277" w:type="pct"/>
            <w:vMerge w:val="continue"/>
            <w:vAlign w:val="center"/>
          </w:tcPr>
          <w:p w14:paraId="21EDB1B3">
            <w:pPr>
              <w:pStyle w:val="67"/>
            </w:pPr>
          </w:p>
        </w:tc>
      </w:tr>
      <w:tr w14:paraId="1A24E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74B18A82">
            <w:pPr>
              <w:jc w:val="center"/>
              <w:rPr>
                <w:szCs w:val="21"/>
              </w:rPr>
            </w:pPr>
          </w:p>
        </w:tc>
        <w:tc>
          <w:tcPr>
            <w:tcW w:w="397" w:type="pct"/>
            <w:vMerge w:val="continue"/>
            <w:vAlign w:val="center"/>
          </w:tcPr>
          <w:p w14:paraId="20EDFA86">
            <w:pPr>
              <w:pStyle w:val="67"/>
            </w:pPr>
          </w:p>
        </w:tc>
        <w:tc>
          <w:tcPr>
            <w:tcW w:w="579" w:type="pct"/>
            <w:vAlign w:val="center"/>
          </w:tcPr>
          <w:p w14:paraId="2A9287BE">
            <w:pPr>
              <w:jc w:val="center"/>
              <w:rPr>
                <w:spacing w:val="-2"/>
                <w:kern w:val="28"/>
                <w:szCs w:val="21"/>
              </w:rPr>
            </w:pPr>
            <w:r>
              <w:rPr>
                <w:rFonts w:hint="eastAsia"/>
                <w:spacing w:val="-2"/>
                <w:kern w:val="28"/>
                <w:szCs w:val="21"/>
              </w:rPr>
              <w:t>氟化物</w:t>
            </w:r>
          </w:p>
        </w:tc>
        <w:tc>
          <w:tcPr>
            <w:tcW w:w="620" w:type="pct"/>
            <w:vAlign w:val="center"/>
          </w:tcPr>
          <w:p w14:paraId="6440A561">
            <w:pPr>
              <w:widowControl/>
              <w:jc w:val="center"/>
              <w:textAlignment w:val="center"/>
              <w:rPr>
                <w:kern w:val="0"/>
                <w:szCs w:val="21"/>
              </w:rPr>
            </w:pPr>
            <w:r>
              <w:rPr>
                <w:kern w:val="0"/>
                <w:szCs w:val="21"/>
              </w:rPr>
              <w:t>0.000014</w:t>
            </w:r>
          </w:p>
        </w:tc>
        <w:tc>
          <w:tcPr>
            <w:tcW w:w="564" w:type="pct"/>
            <w:vAlign w:val="center"/>
          </w:tcPr>
          <w:p w14:paraId="61CB7BBF">
            <w:pPr>
              <w:widowControl/>
              <w:jc w:val="center"/>
              <w:textAlignment w:val="center"/>
            </w:pPr>
            <w:r>
              <w:rPr>
                <w:kern w:val="0"/>
                <w:szCs w:val="21"/>
              </w:rPr>
              <w:t>0.0001</w:t>
            </w:r>
          </w:p>
        </w:tc>
        <w:tc>
          <w:tcPr>
            <w:tcW w:w="373" w:type="pct"/>
            <w:vAlign w:val="center"/>
          </w:tcPr>
          <w:p w14:paraId="4C1BCE8C">
            <w:pPr>
              <w:pStyle w:val="67"/>
            </w:pPr>
            <w:r>
              <w:t>/</w:t>
            </w:r>
          </w:p>
        </w:tc>
        <w:tc>
          <w:tcPr>
            <w:tcW w:w="318" w:type="pct"/>
            <w:vAlign w:val="center"/>
          </w:tcPr>
          <w:p w14:paraId="55EBCE73">
            <w:pPr>
              <w:pStyle w:val="67"/>
            </w:pPr>
            <w:r>
              <w:t>/</w:t>
            </w:r>
          </w:p>
        </w:tc>
        <w:tc>
          <w:tcPr>
            <w:tcW w:w="576" w:type="pct"/>
            <w:vAlign w:val="center"/>
          </w:tcPr>
          <w:p w14:paraId="3BA7AC2B">
            <w:pPr>
              <w:widowControl/>
              <w:jc w:val="center"/>
              <w:textAlignment w:val="center"/>
              <w:rPr>
                <w:kern w:val="0"/>
                <w:szCs w:val="21"/>
              </w:rPr>
            </w:pPr>
            <w:r>
              <w:rPr>
                <w:kern w:val="0"/>
                <w:szCs w:val="21"/>
              </w:rPr>
              <w:t>0.000014</w:t>
            </w:r>
          </w:p>
        </w:tc>
        <w:tc>
          <w:tcPr>
            <w:tcW w:w="543" w:type="pct"/>
            <w:vAlign w:val="center"/>
          </w:tcPr>
          <w:p w14:paraId="63502112">
            <w:pPr>
              <w:widowControl/>
              <w:jc w:val="center"/>
              <w:textAlignment w:val="center"/>
            </w:pPr>
            <w:r>
              <w:rPr>
                <w:kern w:val="0"/>
                <w:szCs w:val="21"/>
              </w:rPr>
              <w:t>0.0001</w:t>
            </w:r>
          </w:p>
        </w:tc>
        <w:tc>
          <w:tcPr>
            <w:tcW w:w="277" w:type="pct"/>
            <w:vMerge w:val="continue"/>
            <w:vAlign w:val="center"/>
          </w:tcPr>
          <w:p w14:paraId="59DC6B5B">
            <w:pPr>
              <w:pStyle w:val="67"/>
            </w:pPr>
          </w:p>
        </w:tc>
      </w:tr>
      <w:tr w14:paraId="4413A6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23A28417">
            <w:pPr>
              <w:jc w:val="center"/>
              <w:rPr>
                <w:szCs w:val="21"/>
              </w:rPr>
            </w:pPr>
            <w:r>
              <w:rPr>
                <w:b/>
                <w:bCs/>
                <w:szCs w:val="21"/>
              </w:rPr>
              <w:t>合计</w:t>
            </w:r>
          </w:p>
        </w:tc>
        <w:tc>
          <w:tcPr>
            <w:tcW w:w="397" w:type="pct"/>
            <w:vMerge w:val="continue"/>
            <w:vAlign w:val="center"/>
          </w:tcPr>
          <w:p w14:paraId="7ED9A702">
            <w:pPr>
              <w:pStyle w:val="67"/>
            </w:pPr>
          </w:p>
        </w:tc>
        <w:tc>
          <w:tcPr>
            <w:tcW w:w="579" w:type="pct"/>
            <w:vAlign w:val="center"/>
          </w:tcPr>
          <w:p w14:paraId="0E7C5982">
            <w:pPr>
              <w:jc w:val="center"/>
              <w:rPr>
                <w:b/>
                <w:bCs/>
                <w:spacing w:val="-2"/>
                <w:kern w:val="28"/>
                <w:szCs w:val="21"/>
              </w:rPr>
            </w:pPr>
            <w:r>
              <w:rPr>
                <w:b/>
                <w:bCs/>
                <w:spacing w:val="-2"/>
                <w:kern w:val="28"/>
                <w:szCs w:val="21"/>
              </w:rPr>
              <w:t>非甲烷总烃</w:t>
            </w:r>
          </w:p>
        </w:tc>
        <w:tc>
          <w:tcPr>
            <w:tcW w:w="620" w:type="pct"/>
            <w:vAlign w:val="center"/>
          </w:tcPr>
          <w:p w14:paraId="2800ED41">
            <w:pPr>
              <w:widowControl/>
              <w:jc w:val="center"/>
              <w:textAlignment w:val="center"/>
              <w:rPr>
                <w:kern w:val="0"/>
                <w:szCs w:val="21"/>
              </w:rPr>
            </w:pPr>
            <w:r>
              <w:rPr>
                <w:kern w:val="0"/>
                <w:szCs w:val="21"/>
              </w:rPr>
              <w:t>0.0085</w:t>
            </w:r>
          </w:p>
        </w:tc>
        <w:tc>
          <w:tcPr>
            <w:tcW w:w="564" w:type="pct"/>
            <w:vAlign w:val="center"/>
          </w:tcPr>
          <w:p w14:paraId="6FAE1CB2">
            <w:pPr>
              <w:widowControl/>
              <w:jc w:val="center"/>
              <w:textAlignment w:val="center"/>
              <w:rPr>
                <w:szCs w:val="21"/>
              </w:rPr>
            </w:pPr>
            <w:r>
              <w:rPr>
                <w:kern w:val="0"/>
                <w:szCs w:val="21"/>
              </w:rPr>
              <w:t>0.061</w:t>
            </w:r>
          </w:p>
        </w:tc>
        <w:tc>
          <w:tcPr>
            <w:tcW w:w="373" w:type="pct"/>
            <w:vAlign w:val="center"/>
          </w:tcPr>
          <w:p w14:paraId="7C4A30E8">
            <w:pPr>
              <w:pStyle w:val="67"/>
            </w:pPr>
            <w:r>
              <w:t>/</w:t>
            </w:r>
          </w:p>
        </w:tc>
        <w:tc>
          <w:tcPr>
            <w:tcW w:w="318" w:type="pct"/>
            <w:vAlign w:val="center"/>
          </w:tcPr>
          <w:p w14:paraId="4C7495C6">
            <w:pPr>
              <w:pStyle w:val="67"/>
            </w:pPr>
            <w:r>
              <w:t>/</w:t>
            </w:r>
          </w:p>
        </w:tc>
        <w:tc>
          <w:tcPr>
            <w:tcW w:w="576" w:type="pct"/>
            <w:vAlign w:val="center"/>
          </w:tcPr>
          <w:p w14:paraId="1CD9D67A">
            <w:pPr>
              <w:widowControl/>
              <w:jc w:val="center"/>
              <w:textAlignment w:val="center"/>
              <w:rPr>
                <w:kern w:val="0"/>
                <w:szCs w:val="21"/>
              </w:rPr>
            </w:pPr>
            <w:r>
              <w:rPr>
                <w:kern w:val="0"/>
                <w:szCs w:val="21"/>
              </w:rPr>
              <w:t>0.0085</w:t>
            </w:r>
          </w:p>
        </w:tc>
        <w:tc>
          <w:tcPr>
            <w:tcW w:w="543" w:type="pct"/>
            <w:vAlign w:val="center"/>
          </w:tcPr>
          <w:p w14:paraId="5DC95143">
            <w:pPr>
              <w:widowControl/>
              <w:jc w:val="center"/>
              <w:textAlignment w:val="center"/>
              <w:rPr>
                <w:szCs w:val="21"/>
              </w:rPr>
            </w:pPr>
            <w:r>
              <w:rPr>
                <w:kern w:val="0"/>
                <w:szCs w:val="21"/>
              </w:rPr>
              <w:t>0.061</w:t>
            </w:r>
          </w:p>
        </w:tc>
        <w:tc>
          <w:tcPr>
            <w:tcW w:w="277" w:type="pct"/>
            <w:vMerge w:val="restart"/>
            <w:vAlign w:val="center"/>
          </w:tcPr>
          <w:p w14:paraId="17BD4FDF">
            <w:pPr>
              <w:widowControl/>
              <w:jc w:val="center"/>
              <w:textAlignment w:val="center"/>
            </w:pPr>
            <w:r>
              <w:rPr>
                <w:rFonts w:hint="eastAsia"/>
              </w:rPr>
              <w:t>7200</w:t>
            </w:r>
          </w:p>
        </w:tc>
      </w:tr>
      <w:tr w14:paraId="397085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3B2342A6">
            <w:pPr>
              <w:jc w:val="center"/>
              <w:rPr>
                <w:szCs w:val="21"/>
              </w:rPr>
            </w:pPr>
          </w:p>
        </w:tc>
        <w:tc>
          <w:tcPr>
            <w:tcW w:w="397" w:type="pct"/>
            <w:vMerge w:val="continue"/>
            <w:vAlign w:val="center"/>
          </w:tcPr>
          <w:p w14:paraId="2D7268E5">
            <w:pPr>
              <w:pStyle w:val="67"/>
            </w:pPr>
          </w:p>
        </w:tc>
        <w:tc>
          <w:tcPr>
            <w:tcW w:w="579" w:type="pct"/>
            <w:vAlign w:val="center"/>
          </w:tcPr>
          <w:p w14:paraId="4FDAEA04">
            <w:pPr>
              <w:jc w:val="center"/>
              <w:rPr>
                <w:b/>
                <w:bCs/>
                <w:spacing w:val="-2"/>
                <w:kern w:val="28"/>
                <w:szCs w:val="21"/>
              </w:rPr>
            </w:pPr>
            <w:r>
              <w:rPr>
                <w:b/>
                <w:bCs/>
                <w:spacing w:val="-2"/>
                <w:kern w:val="28"/>
                <w:szCs w:val="21"/>
              </w:rPr>
              <w:t>硫化氢</w:t>
            </w:r>
          </w:p>
        </w:tc>
        <w:tc>
          <w:tcPr>
            <w:tcW w:w="620" w:type="pct"/>
            <w:vAlign w:val="center"/>
          </w:tcPr>
          <w:p w14:paraId="67A0A667">
            <w:pPr>
              <w:widowControl/>
              <w:jc w:val="center"/>
              <w:textAlignment w:val="center"/>
              <w:rPr>
                <w:kern w:val="0"/>
                <w:szCs w:val="21"/>
              </w:rPr>
            </w:pPr>
            <w:r>
              <w:rPr>
                <w:kern w:val="0"/>
                <w:szCs w:val="21"/>
              </w:rPr>
              <w:t>0.0024</w:t>
            </w:r>
          </w:p>
        </w:tc>
        <w:tc>
          <w:tcPr>
            <w:tcW w:w="564" w:type="pct"/>
            <w:vAlign w:val="center"/>
          </w:tcPr>
          <w:p w14:paraId="04A52158">
            <w:pPr>
              <w:widowControl/>
              <w:jc w:val="center"/>
              <w:textAlignment w:val="center"/>
              <w:rPr>
                <w:szCs w:val="21"/>
              </w:rPr>
            </w:pPr>
            <w:r>
              <w:rPr>
                <w:kern w:val="0"/>
                <w:szCs w:val="21"/>
              </w:rPr>
              <w:t>0.017</w:t>
            </w:r>
          </w:p>
        </w:tc>
        <w:tc>
          <w:tcPr>
            <w:tcW w:w="373" w:type="pct"/>
            <w:vAlign w:val="center"/>
          </w:tcPr>
          <w:p w14:paraId="6848C73B">
            <w:pPr>
              <w:pStyle w:val="67"/>
            </w:pPr>
            <w:r>
              <w:t>/</w:t>
            </w:r>
          </w:p>
        </w:tc>
        <w:tc>
          <w:tcPr>
            <w:tcW w:w="318" w:type="pct"/>
            <w:vAlign w:val="center"/>
          </w:tcPr>
          <w:p w14:paraId="498A0236">
            <w:pPr>
              <w:pStyle w:val="67"/>
            </w:pPr>
            <w:r>
              <w:t>/</w:t>
            </w:r>
          </w:p>
        </w:tc>
        <w:tc>
          <w:tcPr>
            <w:tcW w:w="576" w:type="pct"/>
            <w:vAlign w:val="center"/>
          </w:tcPr>
          <w:p w14:paraId="26B42D7A">
            <w:pPr>
              <w:widowControl/>
              <w:jc w:val="center"/>
              <w:textAlignment w:val="center"/>
              <w:rPr>
                <w:kern w:val="0"/>
                <w:szCs w:val="21"/>
              </w:rPr>
            </w:pPr>
            <w:r>
              <w:rPr>
                <w:kern w:val="0"/>
                <w:szCs w:val="21"/>
              </w:rPr>
              <w:t>0.0024</w:t>
            </w:r>
          </w:p>
        </w:tc>
        <w:tc>
          <w:tcPr>
            <w:tcW w:w="543" w:type="pct"/>
            <w:vAlign w:val="center"/>
          </w:tcPr>
          <w:p w14:paraId="0594C61A">
            <w:pPr>
              <w:widowControl/>
              <w:jc w:val="center"/>
              <w:textAlignment w:val="center"/>
              <w:rPr>
                <w:szCs w:val="21"/>
              </w:rPr>
            </w:pPr>
            <w:r>
              <w:rPr>
                <w:kern w:val="0"/>
                <w:szCs w:val="21"/>
              </w:rPr>
              <w:t>0.017</w:t>
            </w:r>
          </w:p>
        </w:tc>
        <w:tc>
          <w:tcPr>
            <w:tcW w:w="277" w:type="pct"/>
            <w:vMerge w:val="continue"/>
            <w:vAlign w:val="center"/>
          </w:tcPr>
          <w:p w14:paraId="025C2969">
            <w:pPr>
              <w:widowControl/>
              <w:jc w:val="center"/>
              <w:textAlignment w:val="center"/>
            </w:pPr>
          </w:p>
        </w:tc>
      </w:tr>
      <w:tr w14:paraId="72129D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53FF5878">
            <w:pPr>
              <w:jc w:val="center"/>
              <w:rPr>
                <w:szCs w:val="21"/>
              </w:rPr>
            </w:pPr>
          </w:p>
        </w:tc>
        <w:tc>
          <w:tcPr>
            <w:tcW w:w="397" w:type="pct"/>
            <w:vMerge w:val="continue"/>
            <w:vAlign w:val="center"/>
          </w:tcPr>
          <w:p w14:paraId="53E3DCC2">
            <w:pPr>
              <w:pStyle w:val="67"/>
            </w:pPr>
          </w:p>
        </w:tc>
        <w:tc>
          <w:tcPr>
            <w:tcW w:w="579" w:type="pct"/>
            <w:vAlign w:val="center"/>
          </w:tcPr>
          <w:p w14:paraId="1AC44F46">
            <w:pPr>
              <w:jc w:val="center"/>
              <w:rPr>
                <w:b/>
                <w:bCs/>
                <w:spacing w:val="-2"/>
                <w:kern w:val="28"/>
                <w:szCs w:val="21"/>
              </w:rPr>
            </w:pPr>
            <w:r>
              <w:rPr>
                <w:rFonts w:hint="eastAsia"/>
                <w:b/>
                <w:bCs/>
                <w:spacing w:val="-2"/>
                <w:kern w:val="28"/>
                <w:szCs w:val="21"/>
              </w:rPr>
              <w:t>氟化物</w:t>
            </w:r>
          </w:p>
        </w:tc>
        <w:tc>
          <w:tcPr>
            <w:tcW w:w="620" w:type="pct"/>
            <w:vAlign w:val="center"/>
          </w:tcPr>
          <w:p w14:paraId="45212C58">
            <w:pPr>
              <w:widowControl/>
              <w:jc w:val="center"/>
              <w:textAlignment w:val="center"/>
              <w:rPr>
                <w:kern w:val="0"/>
                <w:szCs w:val="21"/>
              </w:rPr>
            </w:pPr>
            <w:r>
              <w:rPr>
                <w:kern w:val="0"/>
                <w:szCs w:val="21"/>
              </w:rPr>
              <w:t>0.000015</w:t>
            </w:r>
          </w:p>
        </w:tc>
        <w:tc>
          <w:tcPr>
            <w:tcW w:w="564" w:type="pct"/>
            <w:vAlign w:val="center"/>
          </w:tcPr>
          <w:p w14:paraId="1CCB3879">
            <w:pPr>
              <w:widowControl/>
              <w:jc w:val="center"/>
              <w:textAlignment w:val="center"/>
              <w:rPr>
                <w:kern w:val="0"/>
                <w:szCs w:val="21"/>
              </w:rPr>
            </w:pPr>
            <w:r>
              <w:rPr>
                <w:kern w:val="0"/>
                <w:szCs w:val="21"/>
              </w:rPr>
              <w:t>0.000105</w:t>
            </w:r>
          </w:p>
        </w:tc>
        <w:tc>
          <w:tcPr>
            <w:tcW w:w="373" w:type="pct"/>
            <w:vAlign w:val="center"/>
          </w:tcPr>
          <w:p w14:paraId="29C2C863">
            <w:pPr>
              <w:pStyle w:val="67"/>
            </w:pPr>
            <w:r>
              <w:t>/</w:t>
            </w:r>
          </w:p>
        </w:tc>
        <w:tc>
          <w:tcPr>
            <w:tcW w:w="318" w:type="pct"/>
            <w:vAlign w:val="center"/>
          </w:tcPr>
          <w:p w14:paraId="2E012F7E">
            <w:pPr>
              <w:pStyle w:val="67"/>
            </w:pPr>
            <w:r>
              <w:t>/</w:t>
            </w:r>
          </w:p>
        </w:tc>
        <w:tc>
          <w:tcPr>
            <w:tcW w:w="576" w:type="pct"/>
            <w:vAlign w:val="center"/>
          </w:tcPr>
          <w:p w14:paraId="6B7797E7">
            <w:pPr>
              <w:widowControl/>
              <w:jc w:val="center"/>
              <w:textAlignment w:val="center"/>
              <w:rPr>
                <w:kern w:val="0"/>
                <w:szCs w:val="21"/>
              </w:rPr>
            </w:pPr>
            <w:r>
              <w:rPr>
                <w:kern w:val="0"/>
                <w:szCs w:val="21"/>
              </w:rPr>
              <w:t>0.000015</w:t>
            </w:r>
          </w:p>
        </w:tc>
        <w:tc>
          <w:tcPr>
            <w:tcW w:w="543" w:type="pct"/>
            <w:vAlign w:val="center"/>
          </w:tcPr>
          <w:p w14:paraId="3BBD5722">
            <w:pPr>
              <w:widowControl/>
              <w:jc w:val="center"/>
              <w:textAlignment w:val="center"/>
              <w:rPr>
                <w:kern w:val="0"/>
                <w:szCs w:val="21"/>
              </w:rPr>
            </w:pPr>
            <w:r>
              <w:rPr>
                <w:kern w:val="0"/>
                <w:szCs w:val="21"/>
              </w:rPr>
              <w:t>0.000105</w:t>
            </w:r>
          </w:p>
        </w:tc>
        <w:tc>
          <w:tcPr>
            <w:tcW w:w="277" w:type="pct"/>
            <w:vMerge w:val="continue"/>
            <w:vAlign w:val="center"/>
          </w:tcPr>
          <w:p w14:paraId="56F7AD5A">
            <w:pPr>
              <w:pStyle w:val="67"/>
            </w:pPr>
          </w:p>
        </w:tc>
      </w:tr>
      <w:tr w14:paraId="7C1457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Align w:val="center"/>
          </w:tcPr>
          <w:p w14:paraId="24116002">
            <w:pPr>
              <w:jc w:val="center"/>
              <w:rPr>
                <w:szCs w:val="21"/>
              </w:rPr>
            </w:pPr>
            <w:r>
              <w:rPr>
                <w:rFonts w:hint="eastAsia"/>
                <w:szCs w:val="21"/>
              </w:rPr>
              <w:t>浸喷涂胶</w:t>
            </w:r>
          </w:p>
        </w:tc>
        <w:tc>
          <w:tcPr>
            <w:tcW w:w="397" w:type="pct"/>
            <w:vMerge w:val="restart"/>
            <w:vAlign w:val="center"/>
          </w:tcPr>
          <w:p w14:paraId="5DBD1156">
            <w:pPr>
              <w:pStyle w:val="67"/>
            </w:pPr>
            <w:r>
              <w:rPr>
                <w:rFonts w:hint="eastAsia"/>
              </w:rPr>
              <w:t>4#车间</w:t>
            </w:r>
          </w:p>
        </w:tc>
        <w:tc>
          <w:tcPr>
            <w:tcW w:w="579" w:type="pct"/>
            <w:vAlign w:val="center"/>
          </w:tcPr>
          <w:p w14:paraId="4DD5C725">
            <w:pPr>
              <w:jc w:val="center"/>
              <w:rPr>
                <w:spacing w:val="-2"/>
                <w:kern w:val="28"/>
                <w:szCs w:val="21"/>
              </w:rPr>
            </w:pPr>
            <w:r>
              <w:rPr>
                <w:rFonts w:hint="eastAsia"/>
                <w:spacing w:val="-2"/>
                <w:kern w:val="28"/>
                <w:szCs w:val="21"/>
              </w:rPr>
              <w:t>非甲烷总烃</w:t>
            </w:r>
          </w:p>
        </w:tc>
        <w:tc>
          <w:tcPr>
            <w:tcW w:w="620" w:type="pct"/>
            <w:vAlign w:val="center"/>
          </w:tcPr>
          <w:p w14:paraId="5BC3A1A0">
            <w:pPr>
              <w:jc w:val="center"/>
              <w:rPr>
                <w:color w:val="000000"/>
                <w:szCs w:val="21"/>
              </w:rPr>
            </w:pPr>
            <w:r>
              <w:rPr>
                <w:color w:val="000000"/>
                <w:szCs w:val="21"/>
              </w:rPr>
              <w:t>0.00001</w:t>
            </w:r>
          </w:p>
        </w:tc>
        <w:tc>
          <w:tcPr>
            <w:tcW w:w="564" w:type="pct"/>
            <w:vAlign w:val="center"/>
          </w:tcPr>
          <w:p w14:paraId="48F53674">
            <w:pPr>
              <w:jc w:val="center"/>
              <w:rPr>
                <w:color w:val="000000"/>
                <w:szCs w:val="21"/>
              </w:rPr>
            </w:pPr>
            <w:r>
              <w:rPr>
                <w:color w:val="000000"/>
                <w:szCs w:val="21"/>
              </w:rPr>
              <w:t>0.00004</w:t>
            </w:r>
          </w:p>
        </w:tc>
        <w:tc>
          <w:tcPr>
            <w:tcW w:w="373" w:type="pct"/>
            <w:vAlign w:val="center"/>
          </w:tcPr>
          <w:p w14:paraId="700D97EF">
            <w:pPr>
              <w:pStyle w:val="67"/>
            </w:pPr>
            <w:r>
              <w:t>/</w:t>
            </w:r>
          </w:p>
        </w:tc>
        <w:tc>
          <w:tcPr>
            <w:tcW w:w="318" w:type="pct"/>
            <w:vAlign w:val="center"/>
          </w:tcPr>
          <w:p w14:paraId="7C490543">
            <w:pPr>
              <w:pStyle w:val="67"/>
            </w:pPr>
            <w:r>
              <w:t>/</w:t>
            </w:r>
          </w:p>
        </w:tc>
        <w:tc>
          <w:tcPr>
            <w:tcW w:w="576" w:type="pct"/>
            <w:vAlign w:val="center"/>
          </w:tcPr>
          <w:p w14:paraId="1236FA1D">
            <w:pPr>
              <w:widowControl/>
              <w:jc w:val="center"/>
              <w:textAlignment w:val="center"/>
              <w:rPr>
                <w:kern w:val="0"/>
                <w:szCs w:val="21"/>
              </w:rPr>
            </w:pPr>
            <w:r>
              <w:rPr>
                <w:kern w:val="0"/>
                <w:szCs w:val="21"/>
              </w:rPr>
              <w:t>0.0100</w:t>
            </w:r>
          </w:p>
        </w:tc>
        <w:tc>
          <w:tcPr>
            <w:tcW w:w="543" w:type="pct"/>
            <w:vAlign w:val="center"/>
          </w:tcPr>
          <w:p w14:paraId="07D8DD42">
            <w:pPr>
              <w:widowControl/>
              <w:jc w:val="center"/>
              <w:textAlignment w:val="center"/>
              <w:rPr>
                <w:kern w:val="0"/>
                <w:szCs w:val="21"/>
              </w:rPr>
            </w:pPr>
            <w:r>
              <w:rPr>
                <w:kern w:val="0"/>
                <w:szCs w:val="21"/>
              </w:rPr>
              <w:t>0.048</w:t>
            </w:r>
          </w:p>
        </w:tc>
        <w:tc>
          <w:tcPr>
            <w:tcW w:w="277" w:type="pct"/>
            <w:vAlign w:val="center"/>
          </w:tcPr>
          <w:p w14:paraId="46250B80">
            <w:pPr>
              <w:pStyle w:val="67"/>
            </w:pPr>
            <w:r>
              <w:rPr>
                <w:rFonts w:hint="eastAsia"/>
              </w:rPr>
              <w:t>4800</w:t>
            </w:r>
          </w:p>
        </w:tc>
      </w:tr>
      <w:tr w14:paraId="4C9BEC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Align w:val="center"/>
          </w:tcPr>
          <w:p w14:paraId="3D9CA235">
            <w:pPr>
              <w:jc w:val="center"/>
              <w:rPr>
                <w:szCs w:val="21"/>
              </w:rPr>
            </w:pPr>
            <w:r>
              <w:rPr>
                <w:rFonts w:hint="eastAsia"/>
                <w:szCs w:val="21"/>
              </w:rPr>
              <w:t>干燥</w:t>
            </w:r>
          </w:p>
        </w:tc>
        <w:tc>
          <w:tcPr>
            <w:tcW w:w="397" w:type="pct"/>
            <w:vMerge w:val="continue"/>
            <w:vAlign w:val="center"/>
          </w:tcPr>
          <w:p w14:paraId="64692610">
            <w:pPr>
              <w:pStyle w:val="67"/>
            </w:pPr>
          </w:p>
        </w:tc>
        <w:tc>
          <w:tcPr>
            <w:tcW w:w="579" w:type="pct"/>
            <w:vAlign w:val="center"/>
          </w:tcPr>
          <w:p w14:paraId="0ED97D2F">
            <w:pPr>
              <w:jc w:val="center"/>
              <w:rPr>
                <w:spacing w:val="-2"/>
                <w:kern w:val="28"/>
                <w:szCs w:val="21"/>
              </w:rPr>
            </w:pPr>
            <w:r>
              <w:rPr>
                <w:rFonts w:hint="eastAsia"/>
                <w:spacing w:val="-2"/>
                <w:kern w:val="28"/>
                <w:szCs w:val="21"/>
              </w:rPr>
              <w:t>非甲烷总烃</w:t>
            </w:r>
          </w:p>
        </w:tc>
        <w:tc>
          <w:tcPr>
            <w:tcW w:w="620" w:type="pct"/>
            <w:vAlign w:val="center"/>
          </w:tcPr>
          <w:p w14:paraId="46D7795F">
            <w:pPr>
              <w:jc w:val="center"/>
              <w:rPr>
                <w:color w:val="000000"/>
                <w:szCs w:val="21"/>
              </w:rPr>
            </w:pPr>
            <w:r>
              <w:rPr>
                <w:color w:val="000000"/>
                <w:szCs w:val="21"/>
              </w:rPr>
              <w:t>0.00002</w:t>
            </w:r>
          </w:p>
        </w:tc>
        <w:tc>
          <w:tcPr>
            <w:tcW w:w="564" w:type="pct"/>
            <w:vAlign w:val="center"/>
          </w:tcPr>
          <w:p w14:paraId="4496F4B6">
            <w:pPr>
              <w:jc w:val="center"/>
              <w:rPr>
                <w:color w:val="000000"/>
                <w:szCs w:val="21"/>
              </w:rPr>
            </w:pPr>
            <w:r>
              <w:rPr>
                <w:color w:val="000000"/>
                <w:szCs w:val="21"/>
              </w:rPr>
              <w:t>0.0001</w:t>
            </w:r>
          </w:p>
        </w:tc>
        <w:tc>
          <w:tcPr>
            <w:tcW w:w="373" w:type="pct"/>
            <w:vAlign w:val="center"/>
          </w:tcPr>
          <w:p w14:paraId="61DF6072">
            <w:pPr>
              <w:pStyle w:val="67"/>
            </w:pPr>
            <w:r>
              <w:t>/</w:t>
            </w:r>
          </w:p>
        </w:tc>
        <w:tc>
          <w:tcPr>
            <w:tcW w:w="318" w:type="pct"/>
            <w:vAlign w:val="center"/>
          </w:tcPr>
          <w:p w14:paraId="06E9E8DD">
            <w:pPr>
              <w:pStyle w:val="67"/>
            </w:pPr>
            <w:r>
              <w:t>/</w:t>
            </w:r>
          </w:p>
        </w:tc>
        <w:tc>
          <w:tcPr>
            <w:tcW w:w="576" w:type="pct"/>
            <w:vAlign w:val="center"/>
          </w:tcPr>
          <w:p w14:paraId="40DC6DEC">
            <w:pPr>
              <w:widowControl/>
              <w:jc w:val="center"/>
              <w:textAlignment w:val="center"/>
              <w:rPr>
                <w:kern w:val="0"/>
                <w:szCs w:val="21"/>
              </w:rPr>
            </w:pPr>
            <w:r>
              <w:rPr>
                <w:kern w:val="0"/>
                <w:szCs w:val="21"/>
              </w:rPr>
              <w:t>0.0150</w:t>
            </w:r>
          </w:p>
        </w:tc>
        <w:tc>
          <w:tcPr>
            <w:tcW w:w="543" w:type="pct"/>
            <w:vAlign w:val="center"/>
          </w:tcPr>
          <w:p w14:paraId="51DB0967">
            <w:pPr>
              <w:widowControl/>
              <w:jc w:val="center"/>
              <w:textAlignment w:val="center"/>
              <w:rPr>
                <w:kern w:val="0"/>
                <w:szCs w:val="21"/>
              </w:rPr>
            </w:pPr>
            <w:r>
              <w:rPr>
                <w:kern w:val="0"/>
                <w:szCs w:val="21"/>
              </w:rPr>
              <w:t>0.072</w:t>
            </w:r>
          </w:p>
        </w:tc>
        <w:tc>
          <w:tcPr>
            <w:tcW w:w="277" w:type="pct"/>
            <w:vAlign w:val="center"/>
          </w:tcPr>
          <w:p w14:paraId="7230170F">
            <w:pPr>
              <w:pStyle w:val="67"/>
            </w:pPr>
            <w:r>
              <w:rPr>
                <w:rFonts w:hint="eastAsia"/>
              </w:rPr>
              <w:t>4800</w:t>
            </w:r>
          </w:p>
        </w:tc>
      </w:tr>
      <w:tr w14:paraId="6B505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5274E17A">
            <w:pPr>
              <w:jc w:val="center"/>
              <w:rPr>
                <w:szCs w:val="21"/>
              </w:rPr>
            </w:pPr>
            <w:r>
              <w:rPr>
                <w:spacing w:val="-2"/>
                <w:kern w:val="28"/>
                <w:szCs w:val="21"/>
              </w:rPr>
              <w:t>硫化</w:t>
            </w:r>
          </w:p>
        </w:tc>
        <w:tc>
          <w:tcPr>
            <w:tcW w:w="397" w:type="pct"/>
            <w:vMerge w:val="continue"/>
            <w:vAlign w:val="center"/>
          </w:tcPr>
          <w:p w14:paraId="48064F81">
            <w:pPr>
              <w:pStyle w:val="67"/>
            </w:pPr>
          </w:p>
        </w:tc>
        <w:tc>
          <w:tcPr>
            <w:tcW w:w="579" w:type="pct"/>
            <w:shd w:val="clear" w:color="auto" w:fill="auto"/>
            <w:vAlign w:val="center"/>
          </w:tcPr>
          <w:p w14:paraId="683E2F87">
            <w:pPr>
              <w:jc w:val="center"/>
              <w:rPr>
                <w:spacing w:val="-2"/>
                <w:kern w:val="28"/>
                <w:szCs w:val="21"/>
              </w:rPr>
            </w:pPr>
            <w:r>
              <w:rPr>
                <w:spacing w:val="-2"/>
                <w:kern w:val="28"/>
                <w:szCs w:val="21"/>
              </w:rPr>
              <w:t>非甲烷总烃</w:t>
            </w:r>
          </w:p>
        </w:tc>
        <w:tc>
          <w:tcPr>
            <w:tcW w:w="620" w:type="pct"/>
            <w:vAlign w:val="center"/>
          </w:tcPr>
          <w:p w14:paraId="6C669C57">
            <w:pPr>
              <w:widowControl/>
              <w:jc w:val="center"/>
              <w:textAlignment w:val="center"/>
              <w:rPr>
                <w:kern w:val="0"/>
                <w:szCs w:val="21"/>
              </w:rPr>
            </w:pPr>
            <w:r>
              <w:rPr>
                <w:kern w:val="0"/>
                <w:szCs w:val="21"/>
              </w:rPr>
              <w:t>0.0060</w:t>
            </w:r>
          </w:p>
        </w:tc>
        <w:tc>
          <w:tcPr>
            <w:tcW w:w="564" w:type="pct"/>
            <w:vAlign w:val="center"/>
          </w:tcPr>
          <w:p w14:paraId="2CDEFB8A">
            <w:pPr>
              <w:widowControl/>
              <w:jc w:val="center"/>
              <w:textAlignment w:val="center"/>
              <w:rPr>
                <w:kern w:val="0"/>
                <w:szCs w:val="21"/>
              </w:rPr>
            </w:pPr>
            <w:r>
              <w:rPr>
                <w:kern w:val="0"/>
                <w:szCs w:val="21"/>
              </w:rPr>
              <w:t>0.043</w:t>
            </w:r>
          </w:p>
        </w:tc>
        <w:tc>
          <w:tcPr>
            <w:tcW w:w="373" w:type="pct"/>
            <w:vAlign w:val="center"/>
          </w:tcPr>
          <w:p w14:paraId="116FC0FB">
            <w:pPr>
              <w:pStyle w:val="67"/>
            </w:pPr>
            <w:r>
              <w:t>/</w:t>
            </w:r>
          </w:p>
        </w:tc>
        <w:tc>
          <w:tcPr>
            <w:tcW w:w="318" w:type="pct"/>
            <w:vAlign w:val="center"/>
          </w:tcPr>
          <w:p w14:paraId="4E0103CD">
            <w:pPr>
              <w:pStyle w:val="67"/>
            </w:pPr>
            <w:r>
              <w:t>/</w:t>
            </w:r>
          </w:p>
        </w:tc>
        <w:tc>
          <w:tcPr>
            <w:tcW w:w="576" w:type="pct"/>
            <w:vAlign w:val="center"/>
          </w:tcPr>
          <w:p w14:paraId="46AED729">
            <w:pPr>
              <w:widowControl/>
              <w:jc w:val="center"/>
              <w:textAlignment w:val="center"/>
              <w:rPr>
                <w:kern w:val="0"/>
                <w:szCs w:val="21"/>
              </w:rPr>
            </w:pPr>
            <w:r>
              <w:rPr>
                <w:kern w:val="0"/>
                <w:szCs w:val="21"/>
              </w:rPr>
              <w:t>0.0060</w:t>
            </w:r>
          </w:p>
        </w:tc>
        <w:tc>
          <w:tcPr>
            <w:tcW w:w="543" w:type="pct"/>
            <w:vAlign w:val="center"/>
          </w:tcPr>
          <w:p w14:paraId="15AEBF54">
            <w:pPr>
              <w:widowControl/>
              <w:jc w:val="center"/>
              <w:textAlignment w:val="center"/>
              <w:rPr>
                <w:kern w:val="0"/>
                <w:szCs w:val="21"/>
              </w:rPr>
            </w:pPr>
            <w:r>
              <w:rPr>
                <w:kern w:val="0"/>
                <w:szCs w:val="21"/>
              </w:rPr>
              <w:t>0.043</w:t>
            </w:r>
          </w:p>
        </w:tc>
        <w:tc>
          <w:tcPr>
            <w:tcW w:w="277" w:type="pct"/>
            <w:vMerge w:val="restart"/>
            <w:vAlign w:val="center"/>
          </w:tcPr>
          <w:p w14:paraId="6A04479A">
            <w:pPr>
              <w:pStyle w:val="67"/>
            </w:pPr>
            <w:r>
              <w:rPr>
                <w:rFonts w:hint="eastAsia"/>
              </w:rPr>
              <w:t>7200</w:t>
            </w:r>
          </w:p>
        </w:tc>
      </w:tr>
      <w:tr w14:paraId="57B6F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3D0AE8BB">
            <w:pPr>
              <w:jc w:val="center"/>
              <w:rPr>
                <w:szCs w:val="21"/>
              </w:rPr>
            </w:pPr>
          </w:p>
        </w:tc>
        <w:tc>
          <w:tcPr>
            <w:tcW w:w="397" w:type="pct"/>
            <w:vMerge w:val="continue"/>
            <w:vAlign w:val="center"/>
          </w:tcPr>
          <w:p w14:paraId="52E8FC27">
            <w:pPr>
              <w:pStyle w:val="67"/>
            </w:pPr>
          </w:p>
        </w:tc>
        <w:tc>
          <w:tcPr>
            <w:tcW w:w="579" w:type="pct"/>
            <w:shd w:val="clear" w:color="auto" w:fill="auto"/>
            <w:vAlign w:val="center"/>
          </w:tcPr>
          <w:p w14:paraId="2299FE13">
            <w:pPr>
              <w:jc w:val="center"/>
              <w:rPr>
                <w:spacing w:val="-2"/>
                <w:kern w:val="28"/>
                <w:szCs w:val="21"/>
              </w:rPr>
            </w:pPr>
            <w:r>
              <w:rPr>
                <w:spacing w:val="-2"/>
                <w:kern w:val="28"/>
                <w:szCs w:val="21"/>
              </w:rPr>
              <w:t>硫化氢</w:t>
            </w:r>
          </w:p>
        </w:tc>
        <w:tc>
          <w:tcPr>
            <w:tcW w:w="620" w:type="pct"/>
            <w:vAlign w:val="center"/>
          </w:tcPr>
          <w:p w14:paraId="75981E99">
            <w:pPr>
              <w:widowControl/>
              <w:jc w:val="center"/>
              <w:textAlignment w:val="center"/>
              <w:rPr>
                <w:kern w:val="0"/>
                <w:szCs w:val="21"/>
              </w:rPr>
            </w:pPr>
            <w:r>
              <w:rPr>
                <w:kern w:val="0"/>
                <w:szCs w:val="21"/>
              </w:rPr>
              <w:t>0.0015</w:t>
            </w:r>
          </w:p>
        </w:tc>
        <w:tc>
          <w:tcPr>
            <w:tcW w:w="564" w:type="pct"/>
            <w:vAlign w:val="center"/>
          </w:tcPr>
          <w:p w14:paraId="25AE9C4E">
            <w:pPr>
              <w:widowControl/>
              <w:jc w:val="center"/>
              <w:textAlignment w:val="center"/>
              <w:rPr>
                <w:kern w:val="0"/>
                <w:szCs w:val="21"/>
              </w:rPr>
            </w:pPr>
            <w:r>
              <w:rPr>
                <w:kern w:val="0"/>
                <w:szCs w:val="21"/>
              </w:rPr>
              <w:t>0.011</w:t>
            </w:r>
          </w:p>
        </w:tc>
        <w:tc>
          <w:tcPr>
            <w:tcW w:w="373" w:type="pct"/>
            <w:vAlign w:val="center"/>
          </w:tcPr>
          <w:p w14:paraId="510C334F">
            <w:pPr>
              <w:pStyle w:val="67"/>
            </w:pPr>
            <w:r>
              <w:t>/</w:t>
            </w:r>
          </w:p>
        </w:tc>
        <w:tc>
          <w:tcPr>
            <w:tcW w:w="318" w:type="pct"/>
            <w:vAlign w:val="center"/>
          </w:tcPr>
          <w:p w14:paraId="5F12960E">
            <w:pPr>
              <w:pStyle w:val="67"/>
            </w:pPr>
            <w:r>
              <w:t>/</w:t>
            </w:r>
          </w:p>
        </w:tc>
        <w:tc>
          <w:tcPr>
            <w:tcW w:w="576" w:type="pct"/>
            <w:vAlign w:val="center"/>
          </w:tcPr>
          <w:p w14:paraId="5CB411D6">
            <w:pPr>
              <w:widowControl/>
              <w:jc w:val="center"/>
              <w:textAlignment w:val="center"/>
              <w:rPr>
                <w:kern w:val="0"/>
                <w:szCs w:val="21"/>
              </w:rPr>
            </w:pPr>
            <w:r>
              <w:rPr>
                <w:kern w:val="0"/>
                <w:szCs w:val="21"/>
              </w:rPr>
              <w:t>0.0015</w:t>
            </w:r>
          </w:p>
        </w:tc>
        <w:tc>
          <w:tcPr>
            <w:tcW w:w="543" w:type="pct"/>
            <w:vAlign w:val="center"/>
          </w:tcPr>
          <w:p w14:paraId="35DCA0CC">
            <w:pPr>
              <w:widowControl/>
              <w:jc w:val="center"/>
              <w:textAlignment w:val="center"/>
              <w:rPr>
                <w:kern w:val="0"/>
                <w:szCs w:val="21"/>
              </w:rPr>
            </w:pPr>
            <w:r>
              <w:rPr>
                <w:kern w:val="0"/>
                <w:szCs w:val="21"/>
              </w:rPr>
              <w:t>0.011</w:t>
            </w:r>
          </w:p>
        </w:tc>
        <w:tc>
          <w:tcPr>
            <w:tcW w:w="277" w:type="pct"/>
            <w:vMerge w:val="continue"/>
            <w:vAlign w:val="center"/>
          </w:tcPr>
          <w:p w14:paraId="2AFD33ED">
            <w:pPr>
              <w:pStyle w:val="67"/>
            </w:pPr>
          </w:p>
        </w:tc>
      </w:tr>
      <w:tr w14:paraId="5B04B1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4616117A">
            <w:pPr>
              <w:jc w:val="center"/>
              <w:rPr>
                <w:szCs w:val="21"/>
              </w:rPr>
            </w:pPr>
          </w:p>
        </w:tc>
        <w:tc>
          <w:tcPr>
            <w:tcW w:w="397" w:type="pct"/>
            <w:vMerge w:val="continue"/>
            <w:vAlign w:val="center"/>
          </w:tcPr>
          <w:p w14:paraId="29E7293E">
            <w:pPr>
              <w:pStyle w:val="67"/>
            </w:pPr>
          </w:p>
        </w:tc>
        <w:tc>
          <w:tcPr>
            <w:tcW w:w="579" w:type="pct"/>
            <w:shd w:val="clear" w:color="auto" w:fill="auto"/>
            <w:vAlign w:val="center"/>
          </w:tcPr>
          <w:p w14:paraId="39974E0E">
            <w:pPr>
              <w:jc w:val="center"/>
              <w:rPr>
                <w:spacing w:val="-2"/>
                <w:kern w:val="28"/>
                <w:szCs w:val="21"/>
              </w:rPr>
            </w:pPr>
            <w:r>
              <w:rPr>
                <w:rFonts w:hint="eastAsia"/>
                <w:spacing w:val="-2"/>
                <w:kern w:val="28"/>
                <w:szCs w:val="21"/>
              </w:rPr>
              <w:t>氟化物</w:t>
            </w:r>
          </w:p>
        </w:tc>
        <w:tc>
          <w:tcPr>
            <w:tcW w:w="620" w:type="pct"/>
            <w:vAlign w:val="center"/>
          </w:tcPr>
          <w:p w14:paraId="2C0A5081">
            <w:pPr>
              <w:widowControl/>
              <w:jc w:val="center"/>
              <w:textAlignment w:val="center"/>
              <w:rPr>
                <w:kern w:val="0"/>
                <w:szCs w:val="21"/>
              </w:rPr>
            </w:pPr>
            <w:r>
              <w:rPr>
                <w:kern w:val="0"/>
                <w:szCs w:val="21"/>
              </w:rPr>
              <w:t>0.000001</w:t>
            </w:r>
          </w:p>
        </w:tc>
        <w:tc>
          <w:tcPr>
            <w:tcW w:w="564" w:type="pct"/>
            <w:vAlign w:val="center"/>
          </w:tcPr>
          <w:p w14:paraId="67F420C4">
            <w:pPr>
              <w:widowControl/>
              <w:jc w:val="center"/>
              <w:textAlignment w:val="center"/>
              <w:rPr>
                <w:kern w:val="0"/>
                <w:szCs w:val="21"/>
              </w:rPr>
            </w:pPr>
            <w:r>
              <w:rPr>
                <w:kern w:val="0"/>
                <w:szCs w:val="21"/>
              </w:rPr>
              <w:t>0.000005</w:t>
            </w:r>
          </w:p>
        </w:tc>
        <w:tc>
          <w:tcPr>
            <w:tcW w:w="373" w:type="pct"/>
            <w:vAlign w:val="center"/>
          </w:tcPr>
          <w:p w14:paraId="01046AA5">
            <w:pPr>
              <w:pStyle w:val="67"/>
            </w:pPr>
            <w:r>
              <w:t>/</w:t>
            </w:r>
          </w:p>
        </w:tc>
        <w:tc>
          <w:tcPr>
            <w:tcW w:w="318" w:type="pct"/>
            <w:vAlign w:val="center"/>
          </w:tcPr>
          <w:p w14:paraId="5BA66ED6">
            <w:pPr>
              <w:pStyle w:val="67"/>
            </w:pPr>
            <w:r>
              <w:t>/</w:t>
            </w:r>
          </w:p>
        </w:tc>
        <w:tc>
          <w:tcPr>
            <w:tcW w:w="576" w:type="pct"/>
            <w:vAlign w:val="center"/>
          </w:tcPr>
          <w:p w14:paraId="53E93215">
            <w:pPr>
              <w:widowControl/>
              <w:jc w:val="center"/>
              <w:textAlignment w:val="center"/>
              <w:rPr>
                <w:kern w:val="0"/>
                <w:szCs w:val="21"/>
              </w:rPr>
            </w:pPr>
            <w:r>
              <w:rPr>
                <w:kern w:val="0"/>
                <w:szCs w:val="21"/>
              </w:rPr>
              <w:t>0.000001</w:t>
            </w:r>
          </w:p>
        </w:tc>
        <w:tc>
          <w:tcPr>
            <w:tcW w:w="543" w:type="pct"/>
            <w:vAlign w:val="center"/>
          </w:tcPr>
          <w:p w14:paraId="1FC5E2F7">
            <w:pPr>
              <w:widowControl/>
              <w:jc w:val="center"/>
              <w:textAlignment w:val="center"/>
              <w:rPr>
                <w:kern w:val="0"/>
                <w:szCs w:val="21"/>
              </w:rPr>
            </w:pPr>
            <w:r>
              <w:rPr>
                <w:kern w:val="0"/>
                <w:szCs w:val="21"/>
              </w:rPr>
              <w:t>0.000005</w:t>
            </w:r>
          </w:p>
        </w:tc>
        <w:tc>
          <w:tcPr>
            <w:tcW w:w="277" w:type="pct"/>
            <w:vMerge w:val="continue"/>
            <w:vAlign w:val="center"/>
          </w:tcPr>
          <w:p w14:paraId="51A7076C">
            <w:pPr>
              <w:pStyle w:val="67"/>
            </w:pPr>
          </w:p>
        </w:tc>
      </w:tr>
      <w:tr w14:paraId="2A8905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65672B7C">
            <w:pPr>
              <w:jc w:val="center"/>
              <w:rPr>
                <w:szCs w:val="21"/>
              </w:rPr>
            </w:pPr>
            <w:r>
              <w:rPr>
                <w:spacing w:val="-2"/>
                <w:kern w:val="28"/>
                <w:szCs w:val="21"/>
              </w:rPr>
              <w:t>二次硫化</w:t>
            </w:r>
          </w:p>
        </w:tc>
        <w:tc>
          <w:tcPr>
            <w:tcW w:w="397" w:type="pct"/>
            <w:vMerge w:val="continue"/>
            <w:vAlign w:val="center"/>
          </w:tcPr>
          <w:p w14:paraId="19D7D55E">
            <w:pPr>
              <w:pStyle w:val="67"/>
            </w:pPr>
          </w:p>
        </w:tc>
        <w:tc>
          <w:tcPr>
            <w:tcW w:w="579" w:type="pct"/>
            <w:shd w:val="clear" w:color="auto" w:fill="auto"/>
            <w:vAlign w:val="center"/>
          </w:tcPr>
          <w:p w14:paraId="0AFCC2EE">
            <w:pPr>
              <w:jc w:val="center"/>
              <w:rPr>
                <w:spacing w:val="-2"/>
                <w:kern w:val="28"/>
                <w:szCs w:val="21"/>
              </w:rPr>
            </w:pPr>
            <w:r>
              <w:rPr>
                <w:spacing w:val="-2"/>
                <w:kern w:val="28"/>
                <w:szCs w:val="21"/>
              </w:rPr>
              <w:t>非甲烷总烃</w:t>
            </w:r>
          </w:p>
        </w:tc>
        <w:tc>
          <w:tcPr>
            <w:tcW w:w="620" w:type="pct"/>
            <w:vAlign w:val="center"/>
          </w:tcPr>
          <w:p w14:paraId="5841BD09">
            <w:pPr>
              <w:widowControl/>
              <w:jc w:val="center"/>
              <w:textAlignment w:val="center"/>
              <w:rPr>
                <w:kern w:val="0"/>
                <w:szCs w:val="21"/>
              </w:rPr>
            </w:pPr>
            <w:r>
              <w:rPr>
                <w:kern w:val="0"/>
                <w:szCs w:val="21"/>
              </w:rPr>
              <w:t>0.0025</w:t>
            </w:r>
          </w:p>
        </w:tc>
        <w:tc>
          <w:tcPr>
            <w:tcW w:w="564" w:type="pct"/>
            <w:vAlign w:val="center"/>
          </w:tcPr>
          <w:p w14:paraId="0FDD3754">
            <w:pPr>
              <w:widowControl/>
              <w:jc w:val="center"/>
              <w:textAlignment w:val="center"/>
              <w:rPr>
                <w:kern w:val="0"/>
                <w:szCs w:val="21"/>
              </w:rPr>
            </w:pPr>
            <w:r>
              <w:rPr>
                <w:kern w:val="0"/>
                <w:szCs w:val="21"/>
              </w:rPr>
              <w:t>0.018</w:t>
            </w:r>
          </w:p>
        </w:tc>
        <w:tc>
          <w:tcPr>
            <w:tcW w:w="373" w:type="pct"/>
            <w:vAlign w:val="center"/>
          </w:tcPr>
          <w:p w14:paraId="6E24F72E">
            <w:pPr>
              <w:pStyle w:val="67"/>
            </w:pPr>
            <w:r>
              <w:t>/</w:t>
            </w:r>
          </w:p>
        </w:tc>
        <w:tc>
          <w:tcPr>
            <w:tcW w:w="318" w:type="pct"/>
            <w:vAlign w:val="center"/>
          </w:tcPr>
          <w:p w14:paraId="353D23A9">
            <w:pPr>
              <w:pStyle w:val="67"/>
            </w:pPr>
            <w:r>
              <w:t>/</w:t>
            </w:r>
          </w:p>
        </w:tc>
        <w:tc>
          <w:tcPr>
            <w:tcW w:w="576" w:type="pct"/>
            <w:vAlign w:val="center"/>
          </w:tcPr>
          <w:p w14:paraId="4CEED6E7">
            <w:pPr>
              <w:widowControl/>
              <w:jc w:val="center"/>
              <w:textAlignment w:val="center"/>
              <w:rPr>
                <w:kern w:val="0"/>
                <w:szCs w:val="21"/>
              </w:rPr>
            </w:pPr>
            <w:r>
              <w:rPr>
                <w:kern w:val="0"/>
                <w:szCs w:val="21"/>
              </w:rPr>
              <w:t>0.0025</w:t>
            </w:r>
          </w:p>
        </w:tc>
        <w:tc>
          <w:tcPr>
            <w:tcW w:w="543" w:type="pct"/>
            <w:vAlign w:val="center"/>
          </w:tcPr>
          <w:p w14:paraId="682C13E2">
            <w:pPr>
              <w:widowControl/>
              <w:jc w:val="center"/>
              <w:textAlignment w:val="center"/>
              <w:rPr>
                <w:kern w:val="0"/>
                <w:szCs w:val="21"/>
              </w:rPr>
            </w:pPr>
            <w:r>
              <w:rPr>
                <w:kern w:val="0"/>
                <w:szCs w:val="21"/>
              </w:rPr>
              <w:t>0.018</w:t>
            </w:r>
          </w:p>
        </w:tc>
        <w:tc>
          <w:tcPr>
            <w:tcW w:w="277" w:type="pct"/>
            <w:vMerge w:val="restart"/>
            <w:vAlign w:val="center"/>
          </w:tcPr>
          <w:p w14:paraId="02C3FF6A">
            <w:pPr>
              <w:pStyle w:val="67"/>
            </w:pPr>
            <w:r>
              <w:rPr>
                <w:rFonts w:hint="eastAsia"/>
              </w:rPr>
              <w:t>7200</w:t>
            </w:r>
          </w:p>
        </w:tc>
      </w:tr>
      <w:tr w14:paraId="260A80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5754F4CF">
            <w:pPr>
              <w:jc w:val="center"/>
              <w:rPr>
                <w:szCs w:val="21"/>
              </w:rPr>
            </w:pPr>
          </w:p>
        </w:tc>
        <w:tc>
          <w:tcPr>
            <w:tcW w:w="397" w:type="pct"/>
            <w:vMerge w:val="continue"/>
            <w:vAlign w:val="center"/>
          </w:tcPr>
          <w:p w14:paraId="55477CA3">
            <w:pPr>
              <w:pStyle w:val="67"/>
            </w:pPr>
          </w:p>
        </w:tc>
        <w:tc>
          <w:tcPr>
            <w:tcW w:w="579" w:type="pct"/>
            <w:shd w:val="clear" w:color="auto" w:fill="auto"/>
            <w:vAlign w:val="center"/>
          </w:tcPr>
          <w:p w14:paraId="1240F07F">
            <w:pPr>
              <w:jc w:val="center"/>
              <w:rPr>
                <w:spacing w:val="-2"/>
                <w:kern w:val="28"/>
                <w:szCs w:val="21"/>
              </w:rPr>
            </w:pPr>
            <w:r>
              <w:rPr>
                <w:spacing w:val="-2"/>
                <w:kern w:val="28"/>
                <w:szCs w:val="21"/>
              </w:rPr>
              <w:t>硫化氢</w:t>
            </w:r>
          </w:p>
        </w:tc>
        <w:tc>
          <w:tcPr>
            <w:tcW w:w="620" w:type="pct"/>
            <w:vAlign w:val="center"/>
          </w:tcPr>
          <w:p w14:paraId="6FAABBB1">
            <w:pPr>
              <w:widowControl/>
              <w:jc w:val="center"/>
              <w:textAlignment w:val="center"/>
              <w:rPr>
                <w:kern w:val="0"/>
                <w:szCs w:val="21"/>
              </w:rPr>
            </w:pPr>
            <w:r>
              <w:rPr>
                <w:kern w:val="0"/>
                <w:szCs w:val="21"/>
              </w:rPr>
              <w:t>0.0008</w:t>
            </w:r>
          </w:p>
        </w:tc>
        <w:tc>
          <w:tcPr>
            <w:tcW w:w="564" w:type="pct"/>
            <w:vAlign w:val="center"/>
          </w:tcPr>
          <w:p w14:paraId="022D3B3D">
            <w:pPr>
              <w:widowControl/>
              <w:jc w:val="center"/>
              <w:textAlignment w:val="center"/>
              <w:rPr>
                <w:kern w:val="0"/>
                <w:szCs w:val="21"/>
              </w:rPr>
            </w:pPr>
            <w:r>
              <w:rPr>
                <w:kern w:val="0"/>
                <w:szCs w:val="21"/>
              </w:rPr>
              <w:t>0.006</w:t>
            </w:r>
          </w:p>
        </w:tc>
        <w:tc>
          <w:tcPr>
            <w:tcW w:w="373" w:type="pct"/>
            <w:vAlign w:val="center"/>
          </w:tcPr>
          <w:p w14:paraId="259BA040">
            <w:pPr>
              <w:pStyle w:val="67"/>
            </w:pPr>
            <w:r>
              <w:t>/</w:t>
            </w:r>
          </w:p>
        </w:tc>
        <w:tc>
          <w:tcPr>
            <w:tcW w:w="318" w:type="pct"/>
            <w:vAlign w:val="center"/>
          </w:tcPr>
          <w:p w14:paraId="0019D7C2">
            <w:pPr>
              <w:pStyle w:val="67"/>
            </w:pPr>
            <w:r>
              <w:t>/</w:t>
            </w:r>
          </w:p>
        </w:tc>
        <w:tc>
          <w:tcPr>
            <w:tcW w:w="576" w:type="pct"/>
            <w:vAlign w:val="center"/>
          </w:tcPr>
          <w:p w14:paraId="0604A877">
            <w:pPr>
              <w:widowControl/>
              <w:jc w:val="center"/>
              <w:textAlignment w:val="center"/>
              <w:rPr>
                <w:kern w:val="0"/>
                <w:szCs w:val="21"/>
              </w:rPr>
            </w:pPr>
            <w:r>
              <w:rPr>
                <w:kern w:val="0"/>
                <w:szCs w:val="21"/>
              </w:rPr>
              <w:t>0.0008</w:t>
            </w:r>
          </w:p>
        </w:tc>
        <w:tc>
          <w:tcPr>
            <w:tcW w:w="543" w:type="pct"/>
            <w:vAlign w:val="center"/>
          </w:tcPr>
          <w:p w14:paraId="42F83721">
            <w:pPr>
              <w:widowControl/>
              <w:jc w:val="center"/>
              <w:textAlignment w:val="center"/>
              <w:rPr>
                <w:kern w:val="0"/>
                <w:szCs w:val="21"/>
              </w:rPr>
            </w:pPr>
            <w:r>
              <w:rPr>
                <w:kern w:val="0"/>
                <w:szCs w:val="21"/>
              </w:rPr>
              <w:t>0.006</w:t>
            </w:r>
          </w:p>
        </w:tc>
        <w:tc>
          <w:tcPr>
            <w:tcW w:w="277" w:type="pct"/>
            <w:vMerge w:val="continue"/>
            <w:vAlign w:val="center"/>
          </w:tcPr>
          <w:p w14:paraId="3635C3A7">
            <w:pPr>
              <w:pStyle w:val="67"/>
            </w:pPr>
          </w:p>
        </w:tc>
      </w:tr>
      <w:tr w14:paraId="3C0205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0629A346">
            <w:pPr>
              <w:jc w:val="center"/>
              <w:rPr>
                <w:szCs w:val="21"/>
              </w:rPr>
            </w:pPr>
          </w:p>
        </w:tc>
        <w:tc>
          <w:tcPr>
            <w:tcW w:w="397" w:type="pct"/>
            <w:vMerge w:val="continue"/>
            <w:vAlign w:val="center"/>
          </w:tcPr>
          <w:p w14:paraId="17285991">
            <w:pPr>
              <w:pStyle w:val="67"/>
            </w:pPr>
          </w:p>
        </w:tc>
        <w:tc>
          <w:tcPr>
            <w:tcW w:w="579" w:type="pct"/>
            <w:shd w:val="clear" w:color="auto" w:fill="auto"/>
            <w:vAlign w:val="center"/>
          </w:tcPr>
          <w:p w14:paraId="7E81DBBC">
            <w:pPr>
              <w:jc w:val="center"/>
              <w:rPr>
                <w:spacing w:val="-2"/>
                <w:kern w:val="28"/>
                <w:szCs w:val="21"/>
              </w:rPr>
            </w:pPr>
            <w:r>
              <w:rPr>
                <w:rFonts w:hint="eastAsia"/>
                <w:spacing w:val="-2"/>
                <w:kern w:val="28"/>
                <w:szCs w:val="21"/>
              </w:rPr>
              <w:t>氟化物</w:t>
            </w:r>
          </w:p>
        </w:tc>
        <w:tc>
          <w:tcPr>
            <w:tcW w:w="620" w:type="pct"/>
            <w:vAlign w:val="center"/>
          </w:tcPr>
          <w:p w14:paraId="54DAF623">
            <w:pPr>
              <w:widowControl/>
              <w:jc w:val="center"/>
              <w:textAlignment w:val="center"/>
              <w:rPr>
                <w:kern w:val="0"/>
                <w:szCs w:val="21"/>
              </w:rPr>
            </w:pPr>
            <w:r>
              <w:rPr>
                <w:kern w:val="0"/>
                <w:szCs w:val="21"/>
              </w:rPr>
              <w:t>0.000014</w:t>
            </w:r>
          </w:p>
        </w:tc>
        <w:tc>
          <w:tcPr>
            <w:tcW w:w="564" w:type="pct"/>
            <w:vAlign w:val="center"/>
          </w:tcPr>
          <w:p w14:paraId="1F43E933">
            <w:pPr>
              <w:widowControl/>
              <w:jc w:val="center"/>
              <w:textAlignment w:val="center"/>
              <w:rPr>
                <w:kern w:val="0"/>
                <w:szCs w:val="21"/>
              </w:rPr>
            </w:pPr>
            <w:r>
              <w:rPr>
                <w:kern w:val="0"/>
                <w:szCs w:val="21"/>
              </w:rPr>
              <w:t>0.0001</w:t>
            </w:r>
          </w:p>
        </w:tc>
        <w:tc>
          <w:tcPr>
            <w:tcW w:w="373" w:type="pct"/>
            <w:vAlign w:val="center"/>
          </w:tcPr>
          <w:p w14:paraId="4CB43822">
            <w:pPr>
              <w:pStyle w:val="67"/>
            </w:pPr>
            <w:r>
              <w:t>/</w:t>
            </w:r>
          </w:p>
        </w:tc>
        <w:tc>
          <w:tcPr>
            <w:tcW w:w="318" w:type="pct"/>
            <w:vAlign w:val="center"/>
          </w:tcPr>
          <w:p w14:paraId="794C52E6">
            <w:pPr>
              <w:pStyle w:val="67"/>
            </w:pPr>
            <w:r>
              <w:t>/</w:t>
            </w:r>
          </w:p>
        </w:tc>
        <w:tc>
          <w:tcPr>
            <w:tcW w:w="576" w:type="pct"/>
            <w:vAlign w:val="center"/>
          </w:tcPr>
          <w:p w14:paraId="2A356035">
            <w:pPr>
              <w:widowControl/>
              <w:jc w:val="center"/>
              <w:textAlignment w:val="center"/>
              <w:rPr>
                <w:kern w:val="0"/>
                <w:szCs w:val="21"/>
              </w:rPr>
            </w:pPr>
            <w:r>
              <w:rPr>
                <w:kern w:val="0"/>
                <w:szCs w:val="21"/>
              </w:rPr>
              <w:t>0.000014</w:t>
            </w:r>
          </w:p>
        </w:tc>
        <w:tc>
          <w:tcPr>
            <w:tcW w:w="543" w:type="pct"/>
            <w:vAlign w:val="center"/>
          </w:tcPr>
          <w:p w14:paraId="007FD369">
            <w:pPr>
              <w:widowControl/>
              <w:jc w:val="center"/>
              <w:textAlignment w:val="center"/>
              <w:rPr>
                <w:kern w:val="0"/>
                <w:szCs w:val="21"/>
              </w:rPr>
            </w:pPr>
            <w:r>
              <w:rPr>
                <w:kern w:val="0"/>
                <w:szCs w:val="21"/>
              </w:rPr>
              <w:t>0.0001</w:t>
            </w:r>
          </w:p>
        </w:tc>
        <w:tc>
          <w:tcPr>
            <w:tcW w:w="277" w:type="pct"/>
            <w:vMerge w:val="continue"/>
            <w:vAlign w:val="center"/>
          </w:tcPr>
          <w:p w14:paraId="66F5655A">
            <w:pPr>
              <w:pStyle w:val="67"/>
            </w:pPr>
          </w:p>
        </w:tc>
      </w:tr>
      <w:tr w14:paraId="42862F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restart"/>
            <w:vAlign w:val="center"/>
          </w:tcPr>
          <w:p w14:paraId="43B8C3C3">
            <w:pPr>
              <w:jc w:val="center"/>
              <w:rPr>
                <w:szCs w:val="21"/>
              </w:rPr>
            </w:pPr>
            <w:r>
              <w:rPr>
                <w:b/>
                <w:bCs/>
                <w:szCs w:val="21"/>
              </w:rPr>
              <w:t>合计</w:t>
            </w:r>
          </w:p>
        </w:tc>
        <w:tc>
          <w:tcPr>
            <w:tcW w:w="397" w:type="pct"/>
            <w:vMerge w:val="continue"/>
            <w:vAlign w:val="center"/>
          </w:tcPr>
          <w:p w14:paraId="39EB69A1">
            <w:pPr>
              <w:pStyle w:val="67"/>
            </w:pPr>
          </w:p>
        </w:tc>
        <w:tc>
          <w:tcPr>
            <w:tcW w:w="579" w:type="pct"/>
            <w:shd w:val="clear" w:color="auto" w:fill="auto"/>
            <w:vAlign w:val="center"/>
          </w:tcPr>
          <w:p w14:paraId="2921B6F0">
            <w:pPr>
              <w:jc w:val="center"/>
              <w:rPr>
                <w:b/>
                <w:bCs/>
                <w:spacing w:val="-2"/>
                <w:kern w:val="28"/>
                <w:szCs w:val="21"/>
              </w:rPr>
            </w:pPr>
            <w:r>
              <w:rPr>
                <w:b/>
                <w:bCs/>
                <w:spacing w:val="-2"/>
                <w:kern w:val="28"/>
                <w:szCs w:val="21"/>
              </w:rPr>
              <w:t>非甲烷总烃</w:t>
            </w:r>
          </w:p>
        </w:tc>
        <w:tc>
          <w:tcPr>
            <w:tcW w:w="620" w:type="pct"/>
            <w:vAlign w:val="center"/>
          </w:tcPr>
          <w:p w14:paraId="2304ACBB">
            <w:pPr>
              <w:widowControl/>
              <w:jc w:val="center"/>
              <w:textAlignment w:val="center"/>
              <w:rPr>
                <w:kern w:val="0"/>
                <w:szCs w:val="21"/>
              </w:rPr>
            </w:pPr>
            <w:r>
              <w:rPr>
                <w:rFonts w:hint="eastAsia"/>
                <w:kern w:val="0"/>
                <w:szCs w:val="21"/>
              </w:rPr>
              <w:t>0.0085</w:t>
            </w:r>
          </w:p>
        </w:tc>
        <w:tc>
          <w:tcPr>
            <w:tcW w:w="564" w:type="pct"/>
            <w:vAlign w:val="center"/>
          </w:tcPr>
          <w:p w14:paraId="4E8FE8B7">
            <w:pPr>
              <w:widowControl/>
              <w:jc w:val="center"/>
              <w:textAlignment w:val="center"/>
              <w:rPr>
                <w:kern w:val="0"/>
                <w:szCs w:val="21"/>
              </w:rPr>
            </w:pPr>
            <w:r>
              <w:rPr>
                <w:rFonts w:hint="eastAsia"/>
                <w:kern w:val="0"/>
                <w:szCs w:val="21"/>
              </w:rPr>
              <w:t>0.0611</w:t>
            </w:r>
          </w:p>
        </w:tc>
        <w:tc>
          <w:tcPr>
            <w:tcW w:w="373" w:type="pct"/>
            <w:vAlign w:val="center"/>
          </w:tcPr>
          <w:p w14:paraId="1344D3B3">
            <w:pPr>
              <w:pStyle w:val="67"/>
            </w:pPr>
            <w:r>
              <w:t>/</w:t>
            </w:r>
          </w:p>
        </w:tc>
        <w:tc>
          <w:tcPr>
            <w:tcW w:w="318" w:type="pct"/>
            <w:vAlign w:val="center"/>
          </w:tcPr>
          <w:p w14:paraId="0293B7B3">
            <w:pPr>
              <w:pStyle w:val="67"/>
            </w:pPr>
            <w:r>
              <w:t>/</w:t>
            </w:r>
          </w:p>
        </w:tc>
        <w:tc>
          <w:tcPr>
            <w:tcW w:w="576" w:type="pct"/>
            <w:vAlign w:val="center"/>
          </w:tcPr>
          <w:p w14:paraId="552A4F9A">
            <w:pPr>
              <w:widowControl/>
              <w:jc w:val="center"/>
              <w:textAlignment w:val="center"/>
              <w:rPr>
                <w:kern w:val="0"/>
                <w:szCs w:val="21"/>
              </w:rPr>
            </w:pPr>
            <w:r>
              <w:rPr>
                <w:rFonts w:hint="eastAsia"/>
                <w:kern w:val="0"/>
                <w:szCs w:val="21"/>
              </w:rPr>
              <w:t>0.0085</w:t>
            </w:r>
          </w:p>
        </w:tc>
        <w:tc>
          <w:tcPr>
            <w:tcW w:w="543" w:type="pct"/>
            <w:vAlign w:val="center"/>
          </w:tcPr>
          <w:p w14:paraId="598DD64D">
            <w:pPr>
              <w:widowControl/>
              <w:jc w:val="center"/>
              <w:textAlignment w:val="center"/>
              <w:rPr>
                <w:kern w:val="0"/>
                <w:szCs w:val="21"/>
              </w:rPr>
            </w:pPr>
            <w:r>
              <w:rPr>
                <w:rFonts w:hint="eastAsia"/>
                <w:kern w:val="0"/>
                <w:szCs w:val="21"/>
              </w:rPr>
              <w:t>0.0611</w:t>
            </w:r>
          </w:p>
        </w:tc>
        <w:tc>
          <w:tcPr>
            <w:tcW w:w="277" w:type="pct"/>
            <w:vMerge w:val="restart"/>
            <w:vAlign w:val="center"/>
          </w:tcPr>
          <w:p w14:paraId="201FA3AE">
            <w:pPr>
              <w:pStyle w:val="67"/>
            </w:pPr>
            <w:r>
              <w:rPr>
                <w:rFonts w:hint="eastAsia"/>
              </w:rPr>
              <w:t>/</w:t>
            </w:r>
          </w:p>
        </w:tc>
      </w:tr>
      <w:tr w14:paraId="7AB9ED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7D73BEE5">
            <w:pPr>
              <w:jc w:val="center"/>
              <w:rPr>
                <w:szCs w:val="21"/>
              </w:rPr>
            </w:pPr>
          </w:p>
        </w:tc>
        <w:tc>
          <w:tcPr>
            <w:tcW w:w="397" w:type="pct"/>
            <w:vMerge w:val="continue"/>
            <w:vAlign w:val="center"/>
          </w:tcPr>
          <w:p w14:paraId="06A123E5">
            <w:pPr>
              <w:pStyle w:val="67"/>
            </w:pPr>
          </w:p>
        </w:tc>
        <w:tc>
          <w:tcPr>
            <w:tcW w:w="579" w:type="pct"/>
            <w:shd w:val="clear" w:color="auto" w:fill="auto"/>
            <w:vAlign w:val="center"/>
          </w:tcPr>
          <w:p w14:paraId="7994BA4A">
            <w:pPr>
              <w:jc w:val="center"/>
              <w:rPr>
                <w:b/>
                <w:bCs/>
                <w:spacing w:val="-2"/>
                <w:kern w:val="28"/>
                <w:szCs w:val="21"/>
              </w:rPr>
            </w:pPr>
            <w:r>
              <w:rPr>
                <w:b/>
                <w:bCs/>
                <w:spacing w:val="-2"/>
                <w:kern w:val="28"/>
                <w:szCs w:val="21"/>
              </w:rPr>
              <w:t>硫化氢</w:t>
            </w:r>
          </w:p>
        </w:tc>
        <w:tc>
          <w:tcPr>
            <w:tcW w:w="620" w:type="pct"/>
            <w:vAlign w:val="center"/>
          </w:tcPr>
          <w:p w14:paraId="0CF1AB4A">
            <w:pPr>
              <w:widowControl/>
              <w:jc w:val="center"/>
              <w:textAlignment w:val="center"/>
              <w:rPr>
                <w:kern w:val="0"/>
                <w:szCs w:val="21"/>
              </w:rPr>
            </w:pPr>
            <w:r>
              <w:rPr>
                <w:kern w:val="0"/>
                <w:szCs w:val="21"/>
              </w:rPr>
              <w:t>0.0024</w:t>
            </w:r>
          </w:p>
        </w:tc>
        <w:tc>
          <w:tcPr>
            <w:tcW w:w="564" w:type="pct"/>
            <w:vAlign w:val="center"/>
          </w:tcPr>
          <w:p w14:paraId="612B6CCD">
            <w:pPr>
              <w:widowControl/>
              <w:jc w:val="center"/>
              <w:textAlignment w:val="center"/>
              <w:rPr>
                <w:kern w:val="0"/>
                <w:szCs w:val="21"/>
              </w:rPr>
            </w:pPr>
            <w:r>
              <w:rPr>
                <w:kern w:val="0"/>
                <w:szCs w:val="21"/>
              </w:rPr>
              <w:t>0.017</w:t>
            </w:r>
          </w:p>
        </w:tc>
        <w:tc>
          <w:tcPr>
            <w:tcW w:w="373" w:type="pct"/>
            <w:vAlign w:val="center"/>
          </w:tcPr>
          <w:p w14:paraId="0284EC24">
            <w:pPr>
              <w:pStyle w:val="67"/>
            </w:pPr>
            <w:r>
              <w:t>/</w:t>
            </w:r>
          </w:p>
        </w:tc>
        <w:tc>
          <w:tcPr>
            <w:tcW w:w="318" w:type="pct"/>
            <w:vAlign w:val="center"/>
          </w:tcPr>
          <w:p w14:paraId="1BEA43A7">
            <w:pPr>
              <w:pStyle w:val="67"/>
            </w:pPr>
            <w:r>
              <w:t>/</w:t>
            </w:r>
          </w:p>
        </w:tc>
        <w:tc>
          <w:tcPr>
            <w:tcW w:w="576" w:type="pct"/>
            <w:vAlign w:val="center"/>
          </w:tcPr>
          <w:p w14:paraId="557BBCA1">
            <w:pPr>
              <w:widowControl/>
              <w:jc w:val="center"/>
              <w:textAlignment w:val="center"/>
              <w:rPr>
                <w:kern w:val="0"/>
                <w:szCs w:val="21"/>
              </w:rPr>
            </w:pPr>
            <w:r>
              <w:rPr>
                <w:kern w:val="0"/>
                <w:szCs w:val="21"/>
              </w:rPr>
              <w:t>0.0024</w:t>
            </w:r>
          </w:p>
        </w:tc>
        <w:tc>
          <w:tcPr>
            <w:tcW w:w="543" w:type="pct"/>
            <w:vAlign w:val="center"/>
          </w:tcPr>
          <w:p w14:paraId="06F974F8">
            <w:pPr>
              <w:widowControl/>
              <w:jc w:val="center"/>
              <w:textAlignment w:val="center"/>
              <w:rPr>
                <w:kern w:val="0"/>
                <w:szCs w:val="21"/>
              </w:rPr>
            </w:pPr>
            <w:r>
              <w:rPr>
                <w:kern w:val="0"/>
                <w:szCs w:val="21"/>
              </w:rPr>
              <w:t>0.017</w:t>
            </w:r>
          </w:p>
        </w:tc>
        <w:tc>
          <w:tcPr>
            <w:tcW w:w="277" w:type="pct"/>
            <w:vMerge w:val="continue"/>
            <w:vAlign w:val="center"/>
          </w:tcPr>
          <w:p w14:paraId="7764A4BB">
            <w:pPr>
              <w:pStyle w:val="67"/>
            </w:pPr>
          </w:p>
        </w:tc>
      </w:tr>
      <w:tr w14:paraId="0104DB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53" w:type="pct"/>
            <w:vMerge w:val="continue"/>
            <w:vAlign w:val="center"/>
          </w:tcPr>
          <w:p w14:paraId="1C6611C1">
            <w:pPr>
              <w:jc w:val="center"/>
              <w:rPr>
                <w:szCs w:val="21"/>
              </w:rPr>
            </w:pPr>
          </w:p>
        </w:tc>
        <w:tc>
          <w:tcPr>
            <w:tcW w:w="397" w:type="pct"/>
            <w:vMerge w:val="continue"/>
            <w:vAlign w:val="center"/>
          </w:tcPr>
          <w:p w14:paraId="5D8AB1D0">
            <w:pPr>
              <w:pStyle w:val="67"/>
            </w:pPr>
          </w:p>
        </w:tc>
        <w:tc>
          <w:tcPr>
            <w:tcW w:w="579" w:type="pct"/>
            <w:shd w:val="clear" w:color="auto" w:fill="auto"/>
            <w:vAlign w:val="center"/>
          </w:tcPr>
          <w:p w14:paraId="5F333C91">
            <w:pPr>
              <w:jc w:val="center"/>
              <w:rPr>
                <w:b/>
                <w:bCs/>
                <w:spacing w:val="-2"/>
                <w:kern w:val="28"/>
                <w:szCs w:val="21"/>
              </w:rPr>
            </w:pPr>
            <w:r>
              <w:rPr>
                <w:rFonts w:hint="eastAsia"/>
                <w:b/>
                <w:bCs/>
                <w:spacing w:val="-2"/>
                <w:kern w:val="28"/>
                <w:szCs w:val="21"/>
              </w:rPr>
              <w:t>氟化物</w:t>
            </w:r>
          </w:p>
        </w:tc>
        <w:tc>
          <w:tcPr>
            <w:tcW w:w="620" w:type="pct"/>
            <w:vAlign w:val="center"/>
          </w:tcPr>
          <w:p w14:paraId="72246F3F">
            <w:pPr>
              <w:widowControl/>
              <w:jc w:val="center"/>
              <w:textAlignment w:val="center"/>
              <w:rPr>
                <w:kern w:val="0"/>
                <w:szCs w:val="21"/>
              </w:rPr>
            </w:pPr>
            <w:r>
              <w:rPr>
                <w:kern w:val="0"/>
                <w:szCs w:val="21"/>
              </w:rPr>
              <w:t>0.000015</w:t>
            </w:r>
          </w:p>
        </w:tc>
        <w:tc>
          <w:tcPr>
            <w:tcW w:w="564" w:type="pct"/>
            <w:vAlign w:val="center"/>
          </w:tcPr>
          <w:p w14:paraId="1EC36D06">
            <w:pPr>
              <w:widowControl/>
              <w:jc w:val="center"/>
              <w:textAlignment w:val="center"/>
              <w:rPr>
                <w:kern w:val="0"/>
                <w:szCs w:val="21"/>
              </w:rPr>
            </w:pPr>
            <w:r>
              <w:rPr>
                <w:kern w:val="0"/>
                <w:szCs w:val="21"/>
              </w:rPr>
              <w:t>0.000105</w:t>
            </w:r>
          </w:p>
        </w:tc>
        <w:tc>
          <w:tcPr>
            <w:tcW w:w="373" w:type="pct"/>
            <w:vAlign w:val="center"/>
          </w:tcPr>
          <w:p w14:paraId="3474C7FD">
            <w:pPr>
              <w:pStyle w:val="67"/>
            </w:pPr>
            <w:r>
              <w:t>/</w:t>
            </w:r>
          </w:p>
        </w:tc>
        <w:tc>
          <w:tcPr>
            <w:tcW w:w="318" w:type="pct"/>
            <w:vAlign w:val="center"/>
          </w:tcPr>
          <w:p w14:paraId="63120551">
            <w:pPr>
              <w:pStyle w:val="67"/>
            </w:pPr>
            <w:r>
              <w:t>/</w:t>
            </w:r>
          </w:p>
        </w:tc>
        <w:tc>
          <w:tcPr>
            <w:tcW w:w="576" w:type="pct"/>
            <w:vAlign w:val="center"/>
          </w:tcPr>
          <w:p w14:paraId="688A0D47">
            <w:pPr>
              <w:widowControl/>
              <w:jc w:val="center"/>
              <w:textAlignment w:val="center"/>
              <w:rPr>
                <w:kern w:val="0"/>
                <w:szCs w:val="21"/>
              </w:rPr>
            </w:pPr>
            <w:r>
              <w:rPr>
                <w:kern w:val="0"/>
                <w:szCs w:val="21"/>
              </w:rPr>
              <w:t>0.000015</w:t>
            </w:r>
          </w:p>
        </w:tc>
        <w:tc>
          <w:tcPr>
            <w:tcW w:w="543" w:type="pct"/>
            <w:vAlign w:val="center"/>
          </w:tcPr>
          <w:p w14:paraId="1A854041">
            <w:pPr>
              <w:widowControl/>
              <w:jc w:val="center"/>
              <w:textAlignment w:val="center"/>
              <w:rPr>
                <w:kern w:val="0"/>
                <w:szCs w:val="21"/>
              </w:rPr>
            </w:pPr>
            <w:r>
              <w:rPr>
                <w:kern w:val="0"/>
                <w:szCs w:val="21"/>
              </w:rPr>
              <w:t>0.000105</w:t>
            </w:r>
          </w:p>
        </w:tc>
        <w:tc>
          <w:tcPr>
            <w:tcW w:w="277" w:type="pct"/>
            <w:vMerge w:val="continue"/>
            <w:vAlign w:val="center"/>
          </w:tcPr>
          <w:p w14:paraId="04B7A3DD">
            <w:pPr>
              <w:pStyle w:val="67"/>
            </w:pPr>
          </w:p>
        </w:tc>
      </w:tr>
    </w:tbl>
    <w:p w14:paraId="1142EBF0">
      <w:pPr>
        <w:pStyle w:val="5"/>
        <w:adjustRightInd w:val="0"/>
        <w:snapToGrid w:val="0"/>
        <w:spacing w:line="360" w:lineRule="auto"/>
        <w:ind w:firstLine="420"/>
        <w:rPr>
          <w:szCs w:val="21"/>
        </w:rPr>
      </w:pPr>
      <w:r>
        <w:rPr>
          <w:rFonts w:hint="eastAsia"/>
          <w:szCs w:val="21"/>
        </w:rPr>
        <w:t>全厂有组织废气排放情况汇总见表4.3，全厂无组织废气排放情况见表4.4。</w:t>
      </w:r>
    </w:p>
    <w:p w14:paraId="42F5EEF5">
      <w:pPr>
        <w:adjustRightInd w:val="0"/>
        <w:snapToGrid w:val="0"/>
        <w:spacing w:beforeLines="50"/>
        <w:jc w:val="center"/>
        <w:rPr>
          <w:b/>
          <w:bCs/>
          <w:szCs w:val="21"/>
        </w:rPr>
      </w:pPr>
      <w:r>
        <w:rPr>
          <w:b/>
          <w:bCs/>
          <w:szCs w:val="21"/>
        </w:rPr>
        <w:t>表4-</w:t>
      </w:r>
      <w:r>
        <w:rPr>
          <w:rFonts w:hint="eastAsia"/>
          <w:b/>
          <w:bCs/>
          <w:szCs w:val="21"/>
        </w:rPr>
        <w:t>3</w:t>
      </w:r>
      <w:r>
        <w:rPr>
          <w:b/>
          <w:bCs/>
          <w:szCs w:val="21"/>
        </w:rPr>
        <w:t xml:space="preserve">  扩建</w:t>
      </w:r>
      <w:r>
        <w:rPr>
          <w:rFonts w:hint="eastAsia"/>
          <w:b/>
          <w:bCs/>
          <w:szCs w:val="21"/>
        </w:rPr>
        <w:t>后全厂（已批已验项目+本次扩建项目）有</w:t>
      </w:r>
      <w:r>
        <w:rPr>
          <w:b/>
          <w:bCs/>
          <w:szCs w:val="21"/>
        </w:rPr>
        <w:t>组织废气污染源强核算结果一览表</w:t>
      </w:r>
    </w:p>
    <w:tbl>
      <w:tblPr>
        <w:tblStyle w:val="25"/>
        <w:tblW w:w="524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78"/>
        <w:gridCol w:w="608"/>
        <w:gridCol w:w="697"/>
        <w:gridCol w:w="847"/>
        <w:gridCol w:w="994"/>
        <w:gridCol w:w="989"/>
        <w:gridCol w:w="730"/>
        <w:gridCol w:w="492"/>
        <w:gridCol w:w="747"/>
        <w:gridCol w:w="839"/>
        <w:gridCol w:w="1080"/>
        <w:gridCol w:w="978"/>
        <w:gridCol w:w="567"/>
        <w:gridCol w:w="708"/>
        <w:gridCol w:w="564"/>
        <w:gridCol w:w="567"/>
        <w:gridCol w:w="569"/>
        <w:gridCol w:w="697"/>
      </w:tblGrid>
      <w:tr w14:paraId="02B5C5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7" w:type="pct"/>
            <w:gridSpan w:val="2"/>
            <w:shd w:val="clear" w:color="auto" w:fill="auto"/>
            <w:vAlign w:val="center"/>
          </w:tcPr>
          <w:p w14:paraId="4F492630">
            <w:pPr>
              <w:widowControl/>
              <w:jc w:val="center"/>
              <w:rPr>
                <w:rFonts w:ascii="宋体" w:hAnsi="宋体" w:cs="宋体"/>
                <w:b/>
                <w:bCs/>
                <w:kern w:val="0"/>
                <w:sz w:val="21"/>
                <w:szCs w:val="21"/>
              </w:rPr>
            </w:pPr>
            <w:r>
              <w:rPr>
                <w:rFonts w:hint="eastAsia" w:ascii="宋体" w:hAnsi="宋体" w:cs="宋体"/>
                <w:b/>
                <w:bCs/>
                <w:kern w:val="0"/>
                <w:sz w:val="21"/>
                <w:szCs w:val="21"/>
              </w:rPr>
              <w:t>污染源</w:t>
            </w:r>
          </w:p>
        </w:tc>
        <w:tc>
          <w:tcPr>
            <w:tcW w:w="219" w:type="pct"/>
            <w:vMerge w:val="restart"/>
            <w:shd w:val="clear" w:color="auto" w:fill="auto"/>
            <w:vAlign w:val="center"/>
          </w:tcPr>
          <w:p w14:paraId="0A8ECDAF">
            <w:pPr>
              <w:widowControl/>
              <w:jc w:val="center"/>
              <w:rPr>
                <w:rFonts w:ascii="宋体" w:hAnsi="宋体" w:cs="宋体"/>
                <w:b/>
                <w:bCs/>
                <w:kern w:val="0"/>
                <w:sz w:val="21"/>
                <w:szCs w:val="21"/>
              </w:rPr>
            </w:pPr>
            <w:r>
              <w:rPr>
                <w:rFonts w:hint="eastAsia" w:ascii="宋体" w:hAnsi="宋体" w:cs="宋体"/>
                <w:b/>
                <w:bCs/>
                <w:kern w:val="0"/>
                <w:sz w:val="21"/>
                <w:szCs w:val="21"/>
              </w:rPr>
              <w:t>工序</w:t>
            </w:r>
          </w:p>
        </w:tc>
        <w:tc>
          <w:tcPr>
            <w:tcW w:w="251" w:type="pct"/>
            <w:vMerge w:val="restart"/>
            <w:shd w:val="clear" w:color="auto" w:fill="auto"/>
            <w:vAlign w:val="center"/>
          </w:tcPr>
          <w:p w14:paraId="4F061B40">
            <w:pPr>
              <w:widowControl/>
              <w:jc w:val="center"/>
              <w:rPr>
                <w:rFonts w:ascii="宋体" w:hAnsi="宋体" w:cs="宋体"/>
                <w:b/>
                <w:bCs/>
                <w:kern w:val="0"/>
                <w:sz w:val="21"/>
                <w:szCs w:val="21"/>
              </w:rPr>
            </w:pPr>
            <w:r>
              <w:rPr>
                <w:rFonts w:hint="eastAsia" w:ascii="宋体" w:hAnsi="宋体" w:cs="宋体"/>
                <w:b/>
                <w:bCs/>
                <w:kern w:val="0"/>
                <w:sz w:val="21"/>
                <w:szCs w:val="21"/>
              </w:rPr>
              <w:t>污染物名称</w:t>
            </w:r>
          </w:p>
        </w:tc>
        <w:tc>
          <w:tcPr>
            <w:tcW w:w="1019" w:type="pct"/>
            <w:gridSpan w:val="3"/>
            <w:shd w:val="clear" w:color="auto" w:fill="auto"/>
            <w:vAlign w:val="center"/>
          </w:tcPr>
          <w:p w14:paraId="5FE6419A">
            <w:pPr>
              <w:widowControl/>
              <w:jc w:val="center"/>
              <w:rPr>
                <w:rFonts w:ascii="宋体" w:hAnsi="宋体" w:cs="宋体"/>
                <w:b/>
                <w:bCs/>
                <w:kern w:val="0"/>
                <w:sz w:val="21"/>
                <w:szCs w:val="21"/>
              </w:rPr>
            </w:pPr>
            <w:r>
              <w:rPr>
                <w:rFonts w:hint="eastAsia" w:ascii="宋体" w:hAnsi="宋体" w:cs="宋体"/>
                <w:b/>
                <w:bCs/>
                <w:kern w:val="0"/>
                <w:sz w:val="21"/>
                <w:szCs w:val="21"/>
              </w:rPr>
              <w:t>产生状况</w:t>
            </w:r>
          </w:p>
        </w:tc>
        <w:tc>
          <w:tcPr>
            <w:tcW w:w="263" w:type="pct"/>
            <w:vMerge w:val="restart"/>
            <w:shd w:val="clear" w:color="auto" w:fill="auto"/>
            <w:vAlign w:val="center"/>
          </w:tcPr>
          <w:p w14:paraId="2D47DD59">
            <w:pPr>
              <w:widowControl/>
              <w:jc w:val="center"/>
              <w:rPr>
                <w:rFonts w:ascii="宋体" w:hAnsi="宋体" w:cs="宋体"/>
                <w:b/>
                <w:bCs/>
                <w:kern w:val="0"/>
                <w:sz w:val="21"/>
                <w:szCs w:val="21"/>
              </w:rPr>
            </w:pPr>
            <w:r>
              <w:rPr>
                <w:rFonts w:hint="eastAsia" w:ascii="宋体" w:hAnsi="宋体" w:cs="宋体"/>
                <w:b/>
                <w:bCs/>
                <w:kern w:val="0"/>
                <w:sz w:val="21"/>
                <w:szCs w:val="21"/>
              </w:rPr>
              <w:t>治理措施</w:t>
            </w:r>
          </w:p>
        </w:tc>
        <w:tc>
          <w:tcPr>
            <w:tcW w:w="177" w:type="pct"/>
            <w:vMerge w:val="restart"/>
            <w:shd w:val="clear" w:color="auto" w:fill="auto"/>
            <w:vAlign w:val="center"/>
          </w:tcPr>
          <w:p w14:paraId="0E3B3ADB">
            <w:pPr>
              <w:widowControl/>
              <w:jc w:val="center"/>
              <w:rPr>
                <w:rFonts w:ascii="宋体" w:hAnsi="宋体" w:cs="宋体"/>
                <w:b/>
                <w:bCs/>
                <w:kern w:val="0"/>
                <w:sz w:val="21"/>
                <w:szCs w:val="21"/>
              </w:rPr>
            </w:pPr>
            <w:r>
              <w:rPr>
                <w:rFonts w:hint="eastAsia" w:ascii="宋体" w:hAnsi="宋体" w:cs="宋体"/>
                <w:b/>
                <w:bCs/>
                <w:kern w:val="0"/>
                <w:sz w:val="21"/>
                <w:szCs w:val="21"/>
              </w:rPr>
              <w:t>去除率</w:t>
            </w:r>
            <w:r>
              <w:rPr>
                <w:b/>
                <w:bCs/>
                <w:kern w:val="0"/>
                <w:sz w:val="21"/>
                <w:szCs w:val="21"/>
              </w:rPr>
              <w:t>%</w:t>
            </w:r>
          </w:p>
        </w:tc>
        <w:tc>
          <w:tcPr>
            <w:tcW w:w="269" w:type="pct"/>
            <w:vMerge w:val="restart"/>
            <w:shd w:val="clear" w:color="auto" w:fill="auto"/>
            <w:vAlign w:val="center"/>
          </w:tcPr>
          <w:p w14:paraId="778E136C">
            <w:pPr>
              <w:widowControl/>
              <w:jc w:val="center"/>
              <w:rPr>
                <w:rFonts w:ascii="宋体" w:hAnsi="宋体" w:cs="宋体"/>
                <w:b/>
                <w:bCs/>
                <w:kern w:val="0"/>
                <w:sz w:val="21"/>
                <w:szCs w:val="21"/>
              </w:rPr>
            </w:pPr>
            <w:r>
              <w:rPr>
                <w:rFonts w:hint="eastAsia" w:ascii="宋体" w:hAnsi="宋体" w:cs="宋体"/>
                <w:b/>
                <w:bCs/>
                <w:kern w:val="0"/>
                <w:sz w:val="21"/>
                <w:szCs w:val="21"/>
              </w:rPr>
              <w:t>污染物名称</w:t>
            </w:r>
          </w:p>
        </w:tc>
        <w:tc>
          <w:tcPr>
            <w:tcW w:w="1043" w:type="pct"/>
            <w:gridSpan w:val="3"/>
            <w:shd w:val="clear" w:color="auto" w:fill="auto"/>
            <w:vAlign w:val="center"/>
          </w:tcPr>
          <w:p w14:paraId="287D7CF3">
            <w:pPr>
              <w:widowControl/>
              <w:jc w:val="center"/>
              <w:rPr>
                <w:rFonts w:ascii="宋体" w:hAnsi="宋体" w:cs="宋体"/>
                <w:b/>
                <w:bCs/>
                <w:kern w:val="0"/>
                <w:sz w:val="21"/>
                <w:szCs w:val="21"/>
              </w:rPr>
            </w:pPr>
            <w:r>
              <w:rPr>
                <w:rFonts w:hint="eastAsia" w:ascii="宋体" w:hAnsi="宋体" w:cs="宋体"/>
                <w:b/>
                <w:bCs/>
                <w:kern w:val="0"/>
                <w:sz w:val="21"/>
                <w:szCs w:val="21"/>
              </w:rPr>
              <w:t>排放状况</w:t>
            </w:r>
          </w:p>
        </w:tc>
        <w:tc>
          <w:tcPr>
            <w:tcW w:w="458" w:type="pct"/>
            <w:gridSpan w:val="2"/>
            <w:shd w:val="clear" w:color="auto" w:fill="auto"/>
            <w:vAlign w:val="center"/>
          </w:tcPr>
          <w:p w14:paraId="6C8BC56F">
            <w:pPr>
              <w:widowControl/>
              <w:jc w:val="center"/>
              <w:rPr>
                <w:rFonts w:ascii="宋体" w:hAnsi="宋体" w:cs="宋体"/>
                <w:b/>
                <w:bCs/>
                <w:kern w:val="0"/>
                <w:sz w:val="21"/>
                <w:szCs w:val="21"/>
              </w:rPr>
            </w:pPr>
            <w:r>
              <w:rPr>
                <w:rFonts w:hint="eastAsia" w:ascii="宋体" w:hAnsi="宋体" w:cs="宋体"/>
                <w:b/>
                <w:bCs/>
                <w:kern w:val="0"/>
                <w:sz w:val="21"/>
                <w:szCs w:val="21"/>
              </w:rPr>
              <w:t>执行标准</w:t>
            </w:r>
          </w:p>
        </w:tc>
        <w:tc>
          <w:tcPr>
            <w:tcW w:w="612" w:type="pct"/>
            <w:gridSpan w:val="3"/>
            <w:shd w:val="clear" w:color="auto" w:fill="auto"/>
            <w:vAlign w:val="center"/>
          </w:tcPr>
          <w:p w14:paraId="2930DAF1">
            <w:pPr>
              <w:widowControl/>
              <w:jc w:val="center"/>
              <w:rPr>
                <w:rFonts w:ascii="宋体" w:hAnsi="宋体" w:cs="宋体"/>
                <w:b/>
                <w:bCs/>
                <w:kern w:val="0"/>
                <w:sz w:val="21"/>
                <w:szCs w:val="21"/>
              </w:rPr>
            </w:pPr>
            <w:r>
              <w:rPr>
                <w:rFonts w:hint="eastAsia" w:ascii="宋体" w:hAnsi="宋体" w:cs="宋体"/>
                <w:b/>
                <w:bCs/>
                <w:kern w:val="0"/>
                <w:sz w:val="21"/>
                <w:szCs w:val="21"/>
              </w:rPr>
              <w:t>排放源参数</w:t>
            </w:r>
          </w:p>
        </w:tc>
        <w:tc>
          <w:tcPr>
            <w:tcW w:w="251" w:type="pct"/>
            <w:vMerge w:val="restart"/>
            <w:shd w:val="clear" w:color="auto" w:fill="auto"/>
            <w:vAlign w:val="center"/>
          </w:tcPr>
          <w:p w14:paraId="2B920E4B">
            <w:pPr>
              <w:widowControl/>
              <w:jc w:val="center"/>
              <w:rPr>
                <w:rFonts w:ascii="宋体" w:hAnsi="宋体" w:cs="宋体"/>
                <w:kern w:val="0"/>
                <w:sz w:val="21"/>
                <w:szCs w:val="21"/>
              </w:rPr>
            </w:pPr>
            <w:r>
              <w:rPr>
                <w:rFonts w:hint="eastAsia" w:ascii="宋体" w:hAnsi="宋体" w:cs="宋体"/>
                <w:b/>
                <w:bCs/>
                <w:kern w:val="0"/>
                <w:sz w:val="21"/>
                <w:szCs w:val="21"/>
              </w:rPr>
              <w:t>排放方式</w:t>
            </w:r>
          </w:p>
        </w:tc>
      </w:tr>
      <w:tr w14:paraId="34AAC0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restart"/>
            <w:shd w:val="clear" w:color="auto" w:fill="auto"/>
            <w:vAlign w:val="center"/>
          </w:tcPr>
          <w:p w14:paraId="6B47083F">
            <w:pPr>
              <w:widowControl/>
              <w:jc w:val="center"/>
              <w:rPr>
                <w:rFonts w:ascii="宋体" w:hAnsi="宋体" w:cs="宋体"/>
                <w:b/>
                <w:bCs/>
                <w:kern w:val="0"/>
                <w:sz w:val="21"/>
                <w:szCs w:val="21"/>
              </w:rPr>
            </w:pPr>
            <w:r>
              <w:rPr>
                <w:rFonts w:hint="eastAsia" w:ascii="宋体" w:hAnsi="宋体" w:cs="宋体"/>
                <w:b/>
                <w:bCs/>
                <w:kern w:val="0"/>
                <w:sz w:val="21"/>
                <w:szCs w:val="21"/>
              </w:rPr>
              <w:t>排气筒</w:t>
            </w:r>
          </w:p>
        </w:tc>
        <w:tc>
          <w:tcPr>
            <w:tcW w:w="280" w:type="pct"/>
            <w:shd w:val="clear" w:color="auto" w:fill="auto"/>
            <w:vAlign w:val="center"/>
          </w:tcPr>
          <w:p w14:paraId="0CBE8CB7">
            <w:pPr>
              <w:widowControl/>
              <w:jc w:val="center"/>
              <w:rPr>
                <w:rFonts w:ascii="宋体" w:hAnsi="宋体" w:cs="宋体"/>
                <w:b/>
                <w:bCs/>
                <w:kern w:val="0"/>
                <w:sz w:val="21"/>
                <w:szCs w:val="21"/>
              </w:rPr>
            </w:pPr>
            <w:r>
              <w:rPr>
                <w:rFonts w:hint="eastAsia" w:ascii="宋体" w:hAnsi="宋体" w:cs="宋体"/>
                <w:b/>
                <w:bCs/>
                <w:kern w:val="0"/>
                <w:sz w:val="21"/>
                <w:szCs w:val="21"/>
              </w:rPr>
              <w:t>排气量</w:t>
            </w:r>
          </w:p>
        </w:tc>
        <w:tc>
          <w:tcPr>
            <w:tcW w:w="219" w:type="pct"/>
            <w:vMerge w:val="continue"/>
            <w:vAlign w:val="center"/>
          </w:tcPr>
          <w:p w14:paraId="575D9E43">
            <w:pPr>
              <w:widowControl/>
              <w:jc w:val="center"/>
              <w:rPr>
                <w:rFonts w:ascii="宋体" w:hAnsi="宋体" w:cs="宋体"/>
                <w:b/>
                <w:bCs/>
                <w:kern w:val="0"/>
                <w:sz w:val="21"/>
                <w:szCs w:val="21"/>
              </w:rPr>
            </w:pPr>
          </w:p>
        </w:tc>
        <w:tc>
          <w:tcPr>
            <w:tcW w:w="251" w:type="pct"/>
            <w:vMerge w:val="continue"/>
            <w:vAlign w:val="center"/>
          </w:tcPr>
          <w:p w14:paraId="4F061E7F">
            <w:pPr>
              <w:widowControl/>
              <w:jc w:val="center"/>
              <w:rPr>
                <w:rFonts w:ascii="宋体" w:hAnsi="宋体" w:cs="宋体"/>
                <w:b/>
                <w:bCs/>
                <w:kern w:val="0"/>
                <w:sz w:val="21"/>
                <w:szCs w:val="21"/>
              </w:rPr>
            </w:pPr>
          </w:p>
        </w:tc>
        <w:tc>
          <w:tcPr>
            <w:tcW w:w="305" w:type="pct"/>
            <w:shd w:val="clear" w:color="auto" w:fill="auto"/>
            <w:vAlign w:val="center"/>
          </w:tcPr>
          <w:p w14:paraId="4AE67C26">
            <w:pPr>
              <w:widowControl/>
              <w:jc w:val="center"/>
              <w:rPr>
                <w:rFonts w:ascii="宋体" w:hAnsi="宋体" w:cs="宋体"/>
                <w:b/>
                <w:bCs/>
                <w:kern w:val="0"/>
                <w:sz w:val="21"/>
                <w:szCs w:val="21"/>
              </w:rPr>
            </w:pPr>
            <w:r>
              <w:rPr>
                <w:rFonts w:hint="eastAsia" w:ascii="宋体" w:hAnsi="宋体" w:cs="宋体"/>
                <w:b/>
                <w:bCs/>
                <w:kern w:val="0"/>
                <w:sz w:val="21"/>
                <w:szCs w:val="21"/>
              </w:rPr>
              <w:t>浓度</w:t>
            </w:r>
          </w:p>
        </w:tc>
        <w:tc>
          <w:tcPr>
            <w:tcW w:w="358" w:type="pct"/>
            <w:shd w:val="clear" w:color="auto" w:fill="auto"/>
            <w:vAlign w:val="center"/>
          </w:tcPr>
          <w:p w14:paraId="79BE20BB">
            <w:pPr>
              <w:widowControl/>
              <w:jc w:val="center"/>
              <w:rPr>
                <w:rFonts w:ascii="宋体" w:hAnsi="宋体" w:cs="宋体"/>
                <w:b/>
                <w:bCs/>
                <w:kern w:val="0"/>
                <w:sz w:val="21"/>
                <w:szCs w:val="21"/>
              </w:rPr>
            </w:pPr>
            <w:r>
              <w:rPr>
                <w:rFonts w:hint="eastAsia" w:ascii="宋体" w:hAnsi="宋体" w:cs="宋体"/>
                <w:b/>
                <w:bCs/>
                <w:kern w:val="0"/>
                <w:sz w:val="21"/>
                <w:szCs w:val="21"/>
              </w:rPr>
              <w:t>速率</w:t>
            </w:r>
          </w:p>
        </w:tc>
        <w:tc>
          <w:tcPr>
            <w:tcW w:w="356" w:type="pct"/>
            <w:shd w:val="clear" w:color="auto" w:fill="auto"/>
            <w:vAlign w:val="center"/>
          </w:tcPr>
          <w:p w14:paraId="38D85166">
            <w:pPr>
              <w:widowControl/>
              <w:jc w:val="center"/>
              <w:rPr>
                <w:rFonts w:ascii="宋体" w:hAnsi="宋体" w:cs="宋体"/>
                <w:b/>
                <w:bCs/>
                <w:kern w:val="0"/>
                <w:sz w:val="21"/>
                <w:szCs w:val="21"/>
              </w:rPr>
            </w:pPr>
            <w:r>
              <w:rPr>
                <w:rFonts w:hint="eastAsia" w:ascii="宋体" w:hAnsi="宋体" w:cs="宋体"/>
                <w:b/>
                <w:bCs/>
                <w:kern w:val="0"/>
                <w:sz w:val="21"/>
                <w:szCs w:val="21"/>
              </w:rPr>
              <w:t>产生量</w:t>
            </w:r>
          </w:p>
        </w:tc>
        <w:tc>
          <w:tcPr>
            <w:tcW w:w="263" w:type="pct"/>
            <w:vMerge w:val="continue"/>
            <w:vAlign w:val="center"/>
          </w:tcPr>
          <w:p w14:paraId="4CAFB615">
            <w:pPr>
              <w:widowControl/>
              <w:jc w:val="center"/>
              <w:rPr>
                <w:rFonts w:ascii="宋体" w:hAnsi="宋体" w:cs="宋体"/>
                <w:b/>
                <w:bCs/>
                <w:kern w:val="0"/>
                <w:sz w:val="21"/>
                <w:szCs w:val="21"/>
              </w:rPr>
            </w:pPr>
          </w:p>
        </w:tc>
        <w:tc>
          <w:tcPr>
            <w:tcW w:w="177" w:type="pct"/>
            <w:vMerge w:val="continue"/>
            <w:vAlign w:val="center"/>
          </w:tcPr>
          <w:p w14:paraId="163F077C">
            <w:pPr>
              <w:widowControl/>
              <w:jc w:val="center"/>
              <w:rPr>
                <w:rFonts w:ascii="宋体" w:hAnsi="宋体" w:cs="宋体"/>
                <w:b/>
                <w:bCs/>
                <w:kern w:val="0"/>
                <w:sz w:val="21"/>
                <w:szCs w:val="21"/>
              </w:rPr>
            </w:pPr>
          </w:p>
        </w:tc>
        <w:tc>
          <w:tcPr>
            <w:tcW w:w="269" w:type="pct"/>
            <w:vMerge w:val="continue"/>
            <w:vAlign w:val="center"/>
          </w:tcPr>
          <w:p w14:paraId="6E970AC0">
            <w:pPr>
              <w:widowControl/>
              <w:jc w:val="center"/>
              <w:rPr>
                <w:rFonts w:ascii="宋体" w:hAnsi="宋体" w:cs="宋体"/>
                <w:b/>
                <w:bCs/>
                <w:kern w:val="0"/>
                <w:sz w:val="21"/>
                <w:szCs w:val="21"/>
              </w:rPr>
            </w:pPr>
          </w:p>
        </w:tc>
        <w:tc>
          <w:tcPr>
            <w:tcW w:w="302" w:type="pct"/>
            <w:shd w:val="clear" w:color="auto" w:fill="auto"/>
            <w:vAlign w:val="center"/>
          </w:tcPr>
          <w:p w14:paraId="01E3F8DD">
            <w:pPr>
              <w:widowControl/>
              <w:jc w:val="center"/>
              <w:rPr>
                <w:rFonts w:ascii="宋体" w:hAnsi="宋体" w:cs="宋体"/>
                <w:b/>
                <w:bCs/>
                <w:kern w:val="0"/>
                <w:sz w:val="21"/>
                <w:szCs w:val="21"/>
              </w:rPr>
            </w:pPr>
            <w:r>
              <w:rPr>
                <w:rFonts w:hint="eastAsia" w:ascii="宋体" w:hAnsi="宋体" w:cs="宋体"/>
                <w:b/>
                <w:bCs/>
                <w:kern w:val="0"/>
                <w:sz w:val="21"/>
                <w:szCs w:val="21"/>
              </w:rPr>
              <w:t>浓度</w:t>
            </w:r>
          </w:p>
        </w:tc>
        <w:tc>
          <w:tcPr>
            <w:tcW w:w="389" w:type="pct"/>
            <w:shd w:val="clear" w:color="auto" w:fill="auto"/>
            <w:vAlign w:val="center"/>
          </w:tcPr>
          <w:p w14:paraId="0EC2D7CF">
            <w:pPr>
              <w:widowControl/>
              <w:jc w:val="center"/>
              <w:rPr>
                <w:rFonts w:ascii="宋体" w:hAnsi="宋体" w:cs="宋体"/>
                <w:b/>
                <w:bCs/>
                <w:kern w:val="0"/>
                <w:sz w:val="21"/>
                <w:szCs w:val="21"/>
              </w:rPr>
            </w:pPr>
            <w:r>
              <w:rPr>
                <w:rFonts w:hint="eastAsia" w:ascii="宋体" w:hAnsi="宋体" w:cs="宋体"/>
                <w:b/>
                <w:bCs/>
                <w:kern w:val="0"/>
                <w:sz w:val="21"/>
                <w:szCs w:val="21"/>
              </w:rPr>
              <w:t>速率</w:t>
            </w:r>
          </w:p>
        </w:tc>
        <w:tc>
          <w:tcPr>
            <w:tcW w:w="351" w:type="pct"/>
            <w:shd w:val="clear" w:color="auto" w:fill="auto"/>
            <w:vAlign w:val="center"/>
          </w:tcPr>
          <w:p w14:paraId="16449DFA">
            <w:pPr>
              <w:widowControl/>
              <w:jc w:val="center"/>
              <w:rPr>
                <w:rFonts w:ascii="宋体" w:hAnsi="宋体" w:cs="宋体"/>
                <w:b/>
                <w:bCs/>
                <w:kern w:val="0"/>
                <w:sz w:val="21"/>
                <w:szCs w:val="21"/>
              </w:rPr>
            </w:pPr>
            <w:r>
              <w:rPr>
                <w:rFonts w:hint="eastAsia" w:ascii="宋体" w:hAnsi="宋体" w:cs="宋体"/>
                <w:b/>
                <w:bCs/>
                <w:kern w:val="0"/>
                <w:sz w:val="21"/>
                <w:szCs w:val="21"/>
              </w:rPr>
              <w:t>排放量</w:t>
            </w:r>
          </w:p>
        </w:tc>
        <w:tc>
          <w:tcPr>
            <w:tcW w:w="204" w:type="pct"/>
            <w:shd w:val="clear" w:color="auto" w:fill="auto"/>
            <w:vAlign w:val="center"/>
          </w:tcPr>
          <w:p w14:paraId="672C30A1">
            <w:pPr>
              <w:widowControl/>
              <w:jc w:val="center"/>
              <w:rPr>
                <w:rFonts w:ascii="宋体" w:hAnsi="宋体" w:cs="宋体"/>
                <w:b/>
                <w:bCs/>
                <w:kern w:val="0"/>
                <w:sz w:val="21"/>
                <w:szCs w:val="21"/>
              </w:rPr>
            </w:pPr>
            <w:r>
              <w:rPr>
                <w:rFonts w:hint="eastAsia" w:ascii="宋体" w:hAnsi="宋体" w:cs="宋体"/>
                <w:b/>
                <w:bCs/>
                <w:kern w:val="0"/>
                <w:sz w:val="21"/>
                <w:szCs w:val="21"/>
              </w:rPr>
              <w:t>浓度</w:t>
            </w:r>
          </w:p>
        </w:tc>
        <w:tc>
          <w:tcPr>
            <w:tcW w:w="255" w:type="pct"/>
            <w:shd w:val="clear" w:color="auto" w:fill="auto"/>
            <w:vAlign w:val="center"/>
          </w:tcPr>
          <w:p w14:paraId="39BD9E67">
            <w:pPr>
              <w:widowControl/>
              <w:jc w:val="center"/>
              <w:rPr>
                <w:rFonts w:ascii="宋体" w:hAnsi="宋体" w:cs="宋体"/>
                <w:b/>
                <w:bCs/>
                <w:kern w:val="0"/>
                <w:sz w:val="21"/>
                <w:szCs w:val="21"/>
              </w:rPr>
            </w:pPr>
            <w:r>
              <w:rPr>
                <w:rFonts w:hint="eastAsia" w:ascii="宋体" w:hAnsi="宋体" w:cs="宋体"/>
                <w:b/>
                <w:bCs/>
                <w:kern w:val="0"/>
                <w:sz w:val="21"/>
                <w:szCs w:val="21"/>
              </w:rPr>
              <w:t>速率</w:t>
            </w:r>
          </w:p>
        </w:tc>
        <w:tc>
          <w:tcPr>
            <w:tcW w:w="203" w:type="pct"/>
            <w:shd w:val="clear" w:color="auto" w:fill="auto"/>
            <w:vAlign w:val="center"/>
          </w:tcPr>
          <w:p w14:paraId="3E4E4572">
            <w:pPr>
              <w:widowControl/>
              <w:jc w:val="center"/>
              <w:rPr>
                <w:rFonts w:ascii="宋体" w:hAnsi="宋体" w:cs="宋体"/>
                <w:b/>
                <w:bCs/>
                <w:kern w:val="0"/>
                <w:sz w:val="21"/>
                <w:szCs w:val="21"/>
              </w:rPr>
            </w:pPr>
            <w:r>
              <w:rPr>
                <w:rFonts w:hint="eastAsia" w:ascii="宋体" w:hAnsi="宋体" w:cs="宋体"/>
                <w:b/>
                <w:bCs/>
                <w:kern w:val="0"/>
                <w:sz w:val="21"/>
                <w:szCs w:val="21"/>
              </w:rPr>
              <w:t>高度</w:t>
            </w:r>
          </w:p>
        </w:tc>
        <w:tc>
          <w:tcPr>
            <w:tcW w:w="204" w:type="pct"/>
            <w:shd w:val="clear" w:color="auto" w:fill="auto"/>
            <w:vAlign w:val="center"/>
          </w:tcPr>
          <w:p w14:paraId="18E376BB">
            <w:pPr>
              <w:widowControl/>
              <w:jc w:val="center"/>
              <w:rPr>
                <w:rFonts w:ascii="宋体" w:hAnsi="宋体" w:cs="宋体"/>
                <w:b/>
                <w:bCs/>
                <w:kern w:val="0"/>
                <w:sz w:val="21"/>
                <w:szCs w:val="21"/>
              </w:rPr>
            </w:pPr>
            <w:r>
              <w:rPr>
                <w:rFonts w:hint="eastAsia" w:ascii="宋体" w:hAnsi="宋体" w:cs="宋体"/>
                <w:b/>
                <w:bCs/>
                <w:kern w:val="0"/>
                <w:sz w:val="21"/>
                <w:szCs w:val="21"/>
              </w:rPr>
              <w:t>直径</w:t>
            </w:r>
          </w:p>
        </w:tc>
        <w:tc>
          <w:tcPr>
            <w:tcW w:w="205" w:type="pct"/>
            <w:shd w:val="clear" w:color="auto" w:fill="auto"/>
            <w:vAlign w:val="center"/>
          </w:tcPr>
          <w:p w14:paraId="173C0776">
            <w:pPr>
              <w:widowControl/>
              <w:jc w:val="center"/>
              <w:rPr>
                <w:rFonts w:ascii="宋体" w:hAnsi="宋体" w:cs="宋体"/>
                <w:b/>
                <w:bCs/>
                <w:kern w:val="0"/>
                <w:sz w:val="21"/>
                <w:szCs w:val="21"/>
              </w:rPr>
            </w:pPr>
            <w:r>
              <w:rPr>
                <w:rFonts w:hint="eastAsia" w:ascii="宋体" w:hAnsi="宋体" w:cs="宋体"/>
                <w:b/>
                <w:bCs/>
                <w:kern w:val="0"/>
                <w:sz w:val="21"/>
                <w:szCs w:val="21"/>
              </w:rPr>
              <w:t>温度</w:t>
            </w:r>
          </w:p>
        </w:tc>
        <w:tc>
          <w:tcPr>
            <w:tcW w:w="251" w:type="pct"/>
            <w:vMerge w:val="continue"/>
            <w:vAlign w:val="center"/>
          </w:tcPr>
          <w:p w14:paraId="2C1C64E9">
            <w:pPr>
              <w:widowControl/>
              <w:jc w:val="center"/>
              <w:rPr>
                <w:rFonts w:ascii="宋体" w:hAnsi="宋体" w:cs="宋体"/>
                <w:kern w:val="0"/>
                <w:sz w:val="21"/>
                <w:szCs w:val="21"/>
              </w:rPr>
            </w:pPr>
          </w:p>
        </w:tc>
      </w:tr>
      <w:tr w14:paraId="09B54B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 w:type="pct"/>
            <w:vMerge w:val="continue"/>
            <w:vAlign w:val="center"/>
          </w:tcPr>
          <w:p w14:paraId="648A2B5F">
            <w:pPr>
              <w:widowControl/>
              <w:jc w:val="center"/>
              <w:rPr>
                <w:rFonts w:ascii="宋体" w:hAnsi="宋体" w:cs="宋体"/>
                <w:b/>
                <w:bCs/>
                <w:kern w:val="0"/>
                <w:sz w:val="21"/>
                <w:szCs w:val="21"/>
              </w:rPr>
            </w:pPr>
          </w:p>
        </w:tc>
        <w:tc>
          <w:tcPr>
            <w:tcW w:w="280" w:type="pct"/>
            <w:shd w:val="clear" w:color="auto" w:fill="auto"/>
            <w:vAlign w:val="center"/>
          </w:tcPr>
          <w:p w14:paraId="2DAC2DBA">
            <w:pPr>
              <w:widowControl/>
              <w:jc w:val="center"/>
              <w:rPr>
                <w:b/>
                <w:bCs/>
                <w:kern w:val="0"/>
                <w:sz w:val="21"/>
                <w:szCs w:val="21"/>
              </w:rPr>
            </w:pPr>
            <w:r>
              <w:rPr>
                <w:b/>
                <w:bCs/>
                <w:kern w:val="0"/>
                <w:sz w:val="21"/>
                <w:szCs w:val="21"/>
              </w:rPr>
              <w:t>m</w:t>
            </w:r>
            <w:r>
              <w:rPr>
                <w:b/>
                <w:bCs/>
                <w:kern w:val="0"/>
                <w:sz w:val="21"/>
                <w:szCs w:val="21"/>
                <w:vertAlign w:val="superscript"/>
              </w:rPr>
              <w:t>3</w:t>
            </w:r>
            <w:r>
              <w:rPr>
                <w:b/>
                <w:bCs/>
                <w:kern w:val="0"/>
                <w:sz w:val="21"/>
                <w:szCs w:val="21"/>
              </w:rPr>
              <w:t>/h</w:t>
            </w:r>
          </w:p>
        </w:tc>
        <w:tc>
          <w:tcPr>
            <w:tcW w:w="219" w:type="pct"/>
            <w:vMerge w:val="continue"/>
            <w:vAlign w:val="center"/>
          </w:tcPr>
          <w:p w14:paraId="6A3CCC52">
            <w:pPr>
              <w:widowControl/>
              <w:jc w:val="center"/>
              <w:rPr>
                <w:rFonts w:ascii="宋体" w:hAnsi="宋体" w:cs="宋体"/>
                <w:b/>
                <w:bCs/>
                <w:kern w:val="0"/>
                <w:sz w:val="21"/>
                <w:szCs w:val="21"/>
              </w:rPr>
            </w:pPr>
          </w:p>
        </w:tc>
        <w:tc>
          <w:tcPr>
            <w:tcW w:w="251" w:type="pct"/>
            <w:vMerge w:val="continue"/>
            <w:vAlign w:val="center"/>
          </w:tcPr>
          <w:p w14:paraId="41821F83">
            <w:pPr>
              <w:widowControl/>
              <w:jc w:val="center"/>
              <w:rPr>
                <w:rFonts w:ascii="宋体" w:hAnsi="宋体" w:cs="宋体"/>
                <w:b/>
                <w:bCs/>
                <w:kern w:val="0"/>
                <w:sz w:val="21"/>
                <w:szCs w:val="21"/>
              </w:rPr>
            </w:pPr>
          </w:p>
        </w:tc>
        <w:tc>
          <w:tcPr>
            <w:tcW w:w="305" w:type="pct"/>
            <w:shd w:val="clear" w:color="auto" w:fill="auto"/>
            <w:vAlign w:val="center"/>
          </w:tcPr>
          <w:p w14:paraId="51C28255">
            <w:pPr>
              <w:widowControl/>
              <w:jc w:val="center"/>
              <w:rPr>
                <w:b/>
                <w:bCs/>
                <w:kern w:val="0"/>
                <w:sz w:val="21"/>
                <w:szCs w:val="21"/>
              </w:rPr>
            </w:pPr>
            <w:r>
              <w:rPr>
                <w:b/>
                <w:bCs/>
                <w:kern w:val="0"/>
                <w:sz w:val="21"/>
                <w:szCs w:val="21"/>
              </w:rPr>
              <w:t>mg/m</w:t>
            </w:r>
            <w:r>
              <w:rPr>
                <w:b/>
                <w:bCs/>
                <w:kern w:val="0"/>
                <w:sz w:val="21"/>
                <w:szCs w:val="21"/>
                <w:vertAlign w:val="superscript"/>
              </w:rPr>
              <w:t>3</w:t>
            </w:r>
          </w:p>
        </w:tc>
        <w:tc>
          <w:tcPr>
            <w:tcW w:w="358" w:type="pct"/>
            <w:shd w:val="clear" w:color="auto" w:fill="auto"/>
            <w:vAlign w:val="center"/>
          </w:tcPr>
          <w:p w14:paraId="31145685">
            <w:pPr>
              <w:widowControl/>
              <w:jc w:val="center"/>
              <w:rPr>
                <w:b/>
                <w:bCs/>
                <w:kern w:val="0"/>
                <w:sz w:val="21"/>
                <w:szCs w:val="21"/>
              </w:rPr>
            </w:pPr>
            <w:r>
              <w:rPr>
                <w:b/>
                <w:bCs/>
                <w:kern w:val="0"/>
                <w:sz w:val="21"/>
                <w:szCs w:val="21"/>
              </w:rPr>
              <w:t>kg/h</w:t>
            </w:r>
          </w:p>
        </w:tc>
        <w:tc>
          <w:tcPr>
            <w:tcW w:w="356" w:type="pct"/>
            <w:shd w:val="clear" w:color="auto" w:fill="auto"/>
            <w:vAlign w:val="center"/>
          </w:tcPr>
          <w:p w14:paraId="22DFB4F9">
            <w:pPr>
              <w:widowControl/>
              <w:jc w:val="center"/>
              <w:rPr>
                <w:b/>
                <w:bCs/>
                <w:kern w:val="0"/>
                <w:sz w:val="21"/>
                <w:szCs w:val="21"/>
              </w:rPr>
            </w:pPr>
            <w:r>
              <w:rPr>
                <w:b/>
                <w:bCs/>
                <w:kern w:val="0"/>
                <w:sz w:val="21"/>
                <w:szCs w:val="21"/>
              </w:rPr>
              <w:t>t/a</w:t>
            </w:r>
          </w:p>
        </w:tc>
        <w:tc>
          <w:tcPr>
            <w:tcW w:w="263" w:type="pct"/>
            <w:vMerge w:val="continue"/>
            <w:vAlign w:val="center"/>
          </w:tcPr>
          <w:p w14:paraId="1E457A36">
            <w:pPr>
              <w:widowControl/>
              <w:jc w:val="center"/>
              <w:rPr>
                <w:rFonts w:ascii="宋体" w:hAnsi="宋体" w:cs="宋体"/>
                <w:b/>
                <w:bCs/>
                <w:kern w:val="0"/>
                <w:sz w:val="21"/>
                <w:szCs w:val="21"/>
              </w:rPr>
            </w:pPr>
          </w:p>
        </w:tc>
        <w:tc>
          <w:tcPr>
            <w:tcW w:w="177" w:type="pct"/>
            <w:vMerge w:val="continue"/>
            <w:vAlign w:val="center"/>
          </w:tcPr>
          <w:p w14:paraId="20FF8107">
            <w:pPr>
              <w:widowControl/>
              <w:jc w:val="center"/>
              <w:rPr>
                <w:rFonts w:ascii="宋体" w:hAnsi="宋体" w:cs="宋体"/>
                <w:b/>
                <w:bCs/>
                <w:kern w:val="0"/>
                <w:sz w:val="21"/>
                <w:szCs w:val="21"/>
              </w:rPr>
            </w:pPr>
          </w:p>
        </w:tc>
        <w:tc>
          <w:tcPr>
            <w:tcW w:w="269" w:type="pct"/>
            <w:vMerge w:val="continue"/>
            <w:vAlign w:val="center"/>
          </w:tcPr>
          <w:p w14:paraId="1A6852AB">
            <w:pPr>
              <w:widowControl/>
              <w:jc w:val="center"/>
              <w:rPr>
                <w:rFonts w:ascii="宋体" w:hAnsi="宋体" w:cs="宋体"/>
                <w:b/>
                <w:bCs/>
                <w:kern w:val="0"/>
                <w:sz w:val="21"/>
                <w:szCs w:val="21"/>
              </w:rPr>
            </w:pPr>
          </w:p>
        </w:tc>
        <w:tc>
          <w:tcPr>
            <w:tcW w:w="302" w:type="pct"/>
            <w:shd w:val="clear" w:color="auto" w:fill="auto"/>
            <w:vAlign w:val="center"/>
          </w:tcPr>
          <w:p w14:paraId="4C50C767">
            <w:pPr>
              <w:widowControl/>
              <w:jc w:val="center"/>
              <w:rPr>
                <w:b/>
                <w:bCs/>
                <w:kern w:val="0"/>
                <w:sz w:val="21"/>
                <w:szCs w:val="21"/>
              </w:rPr>
            </w:pPr>
            <w:r>
              <w:rPr>
                <w:b/>
                <w:bCs/>
                <w:kern w:val="0"/>
                <w:sz w:val="21"/>
                <w:szCs w:val="21"/>
              </w:rPr>
              <w:t>mg/m</w:t>
            </w:r>
            <w:r>
              <w:rPr>
                <w:b/>
                <w:bCs/>
                <w:kern w:val="0"/>
                <w:sz w:val="21"/>
                <w:szCs w:val="21"/>
                <w:vertAlign w:val="superscript"/>
              </w:rPr>
              <w:t>3</w:t>
            </w:r>
          </w:p>
        </w:tc>
        <w:tc>
          <w:tcPr>
            <w:tcW w:w="389" w:type="pct"/>
            <w:shd w:val="clear" w:color="auto" w:fill="auto"/>
            <w:vAlign w:val="center"/>
          </w:tcPr>
          <w:p w14:paraId="629D8053">
            <w:pPr>
              <w:widowControl/>
              <w:jc w:val="center"/>
              <w:rPr>
                <w:b/>
                <w:bCs/>
                <w:kern w:val="0"/>
                <w:sz w:val="21"/>
                <w:szCs w:val="21"/>
              </w:rPr>
            </w:pPr>
            <w:r>
              <w:rPr>
                <w:b/>
                <w:bCs/>
                <w:kern w:val="0"/>
                <w:sz w:val="21"/>
                <w:szCs w:val="21"/>
              </w:rPr>
              <w:t>kg/h</w:t>
            </w:r>
          </w:p>
        </w:tc>
        <w:tc>
          <w:tcPr>
            <w:tcW w:w="351" w:type="pct"/>
            <w:shd w:val="clear" w:color="auto" w:fill="auto"/>
            <w:vAlign w:val="center"/>
          </w:tcPr>
          <w:p w14:paraId="4C2FB584">
            <w:pPr>
              <w:widowControl/>
              <w:jc w:val="center"/>
              <w:rPr>
                <w:b/>
                <w:bCs/>
                <w:kern w:val="0"/>
                <w:sz w:val="21"/>
                <w:szCs w:val="21"/>
              </w:rPr>
            </w:pPr>
            <w:r>
              <w:rPr>
                <w:b/>
                <w:bCs/>
                <w:kern w:val="0"/>
                <w:sz w:val="21"/>
                <w:szCs w:val="21"/>
              </w:rPr>
              <w:t>t/a</w:t>
            </w:r>
          </w:p>
        </w:tc>
        <w:tc>
          <w:tcPr>
            <w:tcW w:w="204" w:type="pct"/>
            <w:shd w:val="clear" w:color="auto" w:fill="auto"/>
            <w:vAlign w:val="center"/>
          </w:tcPr>
          <w:p w14:paraId="37FE2F94">
            <w:pPr>
              <w:widowControl/>
              <w:jc w:val="center"/>
              <w:rPr>
                <w:b/>
                <w:bCs/>
                <w:kern w:val="0"/>
                <w:sz w:val="21"/>
                <w:szCs w:val="21"/>
              </w:rPr>
            </w:pPr>
            <w:r>
              <w:rPr>
                <w:b/>
                <w:bCs/>
                <w:kern w:val="0"/>
                <w:sz w:val="21"/>
                <w:szCs w:val="21"/>
              </w:rPr>
              <w:t>mg/m</w:t>
            </w:r>
            <w:r>
              <w:rPr>
                <w:b/>
                <w:bCs/>
                <w:kern w:val="0"/>
                <w:sz w:val="21"/>
                <w:szCs w:val="21"/>
                <w:vertAlign w:val="superscript"/>
              </w:rPr>
              <w:t>3</w:t>
            </w:r>
          </w:p>
        </w:tc>
        <w:tc>
          <w:tcPr>
            <w:tcW w:w="255" w:type="pct"/>
            <w:shd w:val="clear" w:color="auto" w:fill="auto"/>
            <w:vAlign w:val="center"/>
          </w:tcPr>
          <w:p w14:paraId="1A4A87B7">
            <w:pPr>
              <w:widowControl/>
              <w:jc w:val="center"/>
              <w:rPr>
                <w:b/>
                <w:bCs/>
                <w:kern w:val="0"/>
                <w:sz w:val="21"/>
                <w:szCs w:val="21"/>
              </w:rPr>
            </w:pPr>
            <w:r>
              <w:rPr>
                <w:b/>
                <w:bCs/>
                <w:kern w:val="0"/>
                <w:sz w:val="21"/>
                <w:szCs w:val="21"/>
              </w:rPr>
              <w:t>kg/h</w:t>
            </w:r>
          </w:p>
        </w:tc>
        <w:tc>
          <w:tcPr>
            <w:tcW w:w="203" w:type="pct"/>
            <w:shd w:val="clear" w:color="auto" w:fill="auto"/>
            <w:vAlign w:val="center"/>
          </w:tcPr>
          <w:p w14:paraId="48365D7B">
            <w:pPr>
              <w:widowControl/>
              <w:jc w:val="center"/>
              <w:rPr>
                <w:b/>
                <w:bCs/>
                <w:kern w:val="0"/>
                <w:sz w:val="21"/>
                <w:szCs w:val="21"/>
              </w:rPr>
            </w:pPr>
            <w:r>
              <w:rPr>
                <w:b/>
                <w:bCs/>
                <w:kern w:val="0"/>
                <w:sz w:val="21"/>
                <w:szCs w:val="21"/>
              </w:rPr>
              <w:t>m</w:t>
            </w:r>
          </w:p>
        </w:tc>
        <w:tc>
          <w:tcPr>
            <w:tcW w:w="204" w:type="pct"/>
            <w:shd w:val="clear" w:color="auto" w:fill="auto"/>
            <w:vAlign w:val="center"/>
          </w:tcPr>
          <w:p w14:paraId="65B727DB">
            <w:pPr>
              <w:widowControl/>
              <w:jc w:val="center"/>
              <w:rPr>
                <w:b/>
                <w:bCs/>
                <w:kern w:val="0"/>
                <w:sz w:val="21"/>
                <w:szCs w:val="21"/>
              </w:rPr>
            </w:pPr>
            <w:r>
              <w:rPr>
                <w:b/>
                <w:bCs/>
                <w:kern w:val="0"/>
                <w:sz w:val="21"/>
                <w:szCs w:val="21"/>
              </w:rPr>
              <w:t>m</w:t>
            </w:r>
          </w:p>
        </w:tc>
        <w:tc>
          <w:tcPr>
            <w:tcW w:w="205" w:type="pct"/>
            <w:shd w:val="clear" w:color="auto" w:fill="auto"/>
            <w:vAlign w:val="center"/>
          </w:tcPr>
          <w:p w14:paraId="2C380060">
            <w:pPr>
              <w:widowControl/>
              <w:jc w:val="center"/>
              <w:rPr>
                <w:rFonts w:ascii="宋体" w:hAnsi="宋体" w:cs="宋体"/>
                <w:b/>
                <w:bCs/>
                <w:kern w:val="0"/>
                <w:sz w:val="21"/>
                <w:szCs w:val="21"/>
              </w:rPr>
            </w:pPr>
            <w:r>
              <w:rPr>
                <w:rFonts w:hint="eastAsia" w:ascii="宋体" w:hAnsi="宋体" w:cs="宋体"/>
                <w:b/>
                <w:bCs/>
                <w:kern w:val="0"/>
                <w:sz w:val="21"/>
                <w:szCs w:val="21"/>
              </w:rPr>
              <w:t>℃</w:t>
            </w:r>
          </w:p>
        </w:tc>
        <w:tc>
          <w:tcPr>
            <w:tcW w:w="251" w:type="pct"/>
            <w:vMerge w:val="continue"/>
            <w:vAlign w:val="center"/>
          </w:tcPr>
          <w:p w14:paraId="3A98AAFE">
            <w:pPr>
              <w:widowControl/>
              <w:jc w:val="center"/>
              <w:rPr>
                <w:rFonts w:ascii="宋体" w:hAnsi="宋体" w:cs="宋体"/>
                <w:kern w:val="0"/>
                <w:sz w:val="21"/>
                <w:szCs w:val="21"/>
              </w:rPr>
            </w:pPr>
          </w:p>
        </w:tc>
      </w:tr>
      <w:tr w14:paraId="371553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 w:type="pct"/>
            <w:vMerge w:val="restart"/>
            <w:shd w:val="clear" w:color="auto" w:fill="auto"/>
            <w:vAlign w:val="center"/>
          </w:tcPr>
          <w:p w14:paraId="7E048C94">
            <w:pPr>
              <w:widowControl/>
              <w:jc w:val="center"/>
              <w:rPr>
                <w:kern w:val="0"/>
                <w:sz w:val="21"/>
                <w:szCs w:val="21"/>
              </w:rPr>
            </w:pPr>
            <w:r>
              <w:rPr>
                <w:kern w:val="0"/>
                <w:sz w:val="21"/>
                <w:szCs w:val="21"/>
              </w:rPr>
              <w:t>8#</w:t>
            </w:r>
          </w:p>
        </w:tc>
        <w:tc>
          <w:tcPr>
            <w:tcW w:w="280" w:type="pct"/>
            <w:vMerge w:val="restart"/>
            <w:shd w:val="clear" w:color="auto" w:fill="auto"/>
            <w:vAlign w:val="center"/>
          </w:tcPr>
          <w:p w14:paraId="477C56E4">
            <w:pPr>
              <w:widowControl/>
              <w:jc w:val="center"/>
              <w:rPr>
                <w:kern w:val="0"/>
                <w:sz w:val="21"/>
                <w:szCs w:val="21"/>
              </w:rPr>
            </w:pPr>
            <w:r>
              <w:rPr>
                <w:kern w:val="0"/>
                <w:sz w:val="21"/>
                <w:szCs w:val="21"/>
              </w:rPr>
              <w:t>20000</w:t>
            </w:r>
          </w:p>
        </w:tc>
        <w:tc>
          <w:tcPr>
            <w:tcW w:w="219" w:type="pct"/>
            <w:shd w:val="clear" w:color="auto" w:fill="auto"/>
            <w:vAlign w:val="center"/>
          </w:tcPr>
          <w:p w14:paraId="2044A0F1">
            <w:pPr>
              <w:widowControl/>
              <w:jc w:val="center"/>
              <w:rPr>
                <w:rFonts w:ascii="宋体" w:hAnsi="宋体" w:cs="宋体"/>
                <w:kern w:val="0"/>
                <w:sz w:val="21"/>
                <w:szCs w:val="21"/>
              </w:rPr>
            </w:pPr>
            <w:r>
              <w:rPr>
                <w:rFonts w:hint="eastAsia" w:ascii="宋体" w:hAnsi="宋体" w:cs="宋体"/>
                <w:kern w:val="0"/>
                <w:sz w:val="21"/>
                <w:szCs w:val="21"/>
              </w:rPr>
              <w:t>配料</w:t>
            </w:r>
          </w:p>
        </w:tc>
        <w:tc>
          <w:tcPr>
            <w:tcW w:w="251" w:type="pct"/>
            <w:shd w:val="clear" w:color="auto" w:fill="auto"/>
            <w:vAlign w:val="center"/>
          </w:tcPr>
          <w:p w14:paraId="5CFD186A">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5" w:type="pct"/>
            <w:shd w:val="clear" w:color="auto" w:fill="auto"/>
            <w:vAlign w:val="center"/>
          </w:tcPr>
          <w:p w14:paraId="17B8B281">
            <w:pPr>
              <w:widowControl/>
              <w:jc w:val="center"/>
              <w:rPr>
                <w:kern w:val="0"/>
                <w:sz w:val="21"/>
                <w:szCs w:val="21"/>
              </w:rPr>
            </w:pPr>
            <w:r>
              <w:rPr>
                <w:kern w:val="0"/>
                <w:sz w:val="21"/>
                <w:szCs w:val="21"/>
              </w:rPr>
              <w:t>2.5</w:t>
            </w:r>
          </w:p>
        </w:tc>
        <w:tc>
          <w:tcPr>
            <w:tcW w:w="358" w:type="pct"/>
            <w:shd w:val="clear" w:color="auto" w:fill="auto"/>
            <w:vAlign w:val="center"/>
          </w:tcPr>
          <w:p w14:paraId="6D70FADF">
            <w:pPr>
              <w:widowControl/>
              <w:jc w:val="center"/>
              <w:rPr>
                <w:kern w:val="0"/>
                <w:sz w:val="21"/>
                <w:szCs w:val="21"/>
              </w:rPr>
            </w:pPr>
            <w:r>
              <w:rPr>
                <w:kern w:val="0"/>
                <w:sz w:val="21"/>
                <w:szCs w:val="21"/>
              </w:rPr>
              <w:t>0.050</w:t>
            </w:r>
          </w:p>
        </w:tc>
        <w:tc>
          <w:tcPr>
            <w:tcW w:w="356" w:type="pct"/>
            <w:shd w:val="clear" w:color="auto" w:fill="auto"/>
            <w:vAlign w:val="center"/>
          </w:tcPr>
          <w:p w14:paraId="7E243EF8">
            <w:pPr>
              <w:widowControl/>
              <w:jc w:val="center"/>
              <w:rPr>
                <w:kern w:val="0"/>
                <w:sz w:val="21"/>
                <w:szCs w:val="21"/>
              </w:rPr>
            </w:pPr>
            <w:r>
              <w:rPr>
                <w:kern w:val="0"/>
                <w:sz w:val="21"/>
                <w:szCs w:val="21"/>
              </w:rPr>
              <w:t>0.36</w:t>
            </w:r>
          </w:p>
        </w:tc>
        <w:tc>
          <w:tcPr>
            <w:tcW w:w="263" w:type="pct"/>
            <w:vMerge w:val="restart"/>
            <w:shd w:val="clear" w:color="auto" w:fill="auto"/>
            <w:vAlign w:val="center"/>
          </w:tcPr>
          <w:p w14:paraId="5FE9E7A5">
            <w:pPr>
              <w:widowControl/>
              <w:jc w:val="center"/>
              <w:rPr>
                <w:rFonts w:ascii="宋体" w:hAnsi="宋体" w:cs="宋体"/>
                <w:kern w:val="0"/>
                <w:sz w:val="21"/>
                <w:szCs w:val="21"/>
              </w:rPr>
            </w:pPr>
            <w:r>
              <w:rPr>
                <w:rFonts w:hint="eastAsia" w:ascii="宋体" w:hAnsi="宋体" w:cs="宋体"/>
                <w:kern w:val="0"/>
                <w:sz w:val="21"/>
                <w:szCs w:val="21"/>
              </w:rPr>
              <w:t>布袋除尘</w:t>
            </w:r>
            <w:r>
              <w:rPr>
                <w:kern w:val="0"/>
                <w:sz w:val="21"/>
                <w:szCs w:val="21"/>
              </w:rPr>
              <w:t>+</w:t>
            </w:r>
            <w:r>
              <w:rPr>
                <w:rFonts w:hint="eastAsia" w:ascii="宋体" w:hAnsi="宋体" w:cs="宋体"/>
                <w:kern w:val="0"/>
                <w:sz w:val="21"/>
                <w:szCs w:val="21"/>
              </w:rPr>
              <w:t>二级活性炭吸附装置</w:t>
            </w:r>
          </w:p>
        </w:tc>
        <w:tc>
          <w:tcPr>
            <w:tcW w:w="177" w:type="pct"/>
            <w:vMerge w:val="restart"/>
            <w:shd w:val="clear" w:color="auto" w:fill="auto"/>
            <w:vAlign w:val="center"/>
          </w:tcPr>
          <w:p w14:paraId="3D917AE7">
            <w:pPr>
              <w:widowControl/>
              <w:jc w:val="center"/>
              <w:rPr>
                <w:kern w:val="0"/>
                <w:sz w:val="21"/>
                <w:szCs w:val="21"/>
              </w:rPr>
            </w:pPr>
            <w:r>
              <w:rPr>
                <w:kern w:val="0"/>
                <w:sz w:val="21"/>
                <w:szCs w:val="21"/>
              </w:rPr>
              <w:t>99</w:t>
            </w:r>
          </w:p>
        </w:tc>
        <w:tc>
          <w:tcPr>
            <w:tcW w:w="269" w:type="pct"/>
            <w:vMerge w:val="restart"/>
            <w:shd w:val="clear" w:color="auto" w:fill="auto"/>
            <w:vAlign w:val="center"/>
          </w:tcPr>
          <w:p w14:paraId="0A43C6C3">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2" w:type="pct"/>
            <w:vMerge w:val="restart"/>
            <w:shd w:val="clear" w:color="auto" w:fill="auto"/>
            <w:vAlign w:val="center"/>
          </w:tcPr>
          <w:p w14:paraId="209DD9F8">
            <w:pPr>
              <w:widowControl/>
              <w:jc w:val="center"/>
              <w:rPr>
                <w:kern w:val="0"/>
                <w:sz w:val="21"/>
                <w:szCs w:val="21"/>
              </w:rPr>
            </w:pPr>
            <w:r>
              <w:rPr>
                <w:kern w:val="0"/>
                <w:sz w:val="21"/>
                <w:szCs w:val="21"/>
              </w:rPr>
              <w:t>0.08</w:t>
            </w:r>
          </w:p>
        </w:tc>
        <w:tc>
          <w:tcPr>
            <w:tcW w:w="389" w:type="pct"/>
            <w:vMerge w:val="restart"/>
            <w:shd w:val="clear" w:color="auto" w:fill="auto"/>
            <w:vAlign w:val="center"/>
          </w:tcPr>
          <w:p w14:paraId="2B1FB873">
            <w:pPr>
              <w:widowControl/>
              <w:jc w:val="center"/>
              <w:rPr>
                <w:kern w:val="0"/>
                <w:sz w:val="21"/>
                <w:szCs w:val="21"/>
              </w:rPr>
            </w:pPr>
            <w:r>
              <w:rPr>
                <w:kern w:val="0"/>
                <w:sz w:val="21"/>
                <w:szCs w:val="21"/>
              </w:rPr>
              <w:t>0.002</w:t>
            </w:r>
          </w:p>
        </w:tc>
        <w:tc>
          <w:tcPr>
            <w:tcW w:w="351" w:type="pct"/>
            <w:vMerge w:val="restart"/>
            <w:shd w:val="clear" w:color="auto" w:fill="auto"/>
            <w:vAlign w:val="center"/>
          </w:tcPr>
          <w:p w14:paraId="53601AD1">
            <w:pPr>
              <w:widowControl/>
              <w:jc w:val="center"/>
              <w:rPr>
                <w:kern w:val="0"/>
                <w:sz w:val="21"/>
                <w:szCs w:val="21"/>
              </w:rPr>
            </w:pPr>
            <w:r>
              <w:rPr>
                <w:kern w:val="0"/>
                <w:sz w:val="21"/>
                <w:szCs w:val="21"/>
              </w:rPr>
              <w:t>0.011</w:t>
            </w:r>
          </w:p>
        </w:tc>
        <w:tc>
          <w:tcPr>
            <w:tcW w:w="204" w:type="pct"/>
            <w:vMerge w:val="restart"/>
            <w:shd w:val="clear" w:color="auto" w:fill="auto"/>
            <w:vAlign w:val="center"/>
          </w:tcPr>
          <w:p w14:paraId="1278F738">
            <w:pPr>
              <w:widowControl/>
              <w:snapToGrid w:val="0"/>
              <w:jc w:val="center"/>
              <w:rPr>
                <w:kern w:val="0"/>
                <w:sz w:val="21"/>
                <w:szCs w:val="21"/>
              </w:rPr>
            </w:pPr>
            <w:r>
              <w:rPr>
                <w:rFonts w:hint="eastAsia"/>
                <w:kern w:val="0"/>
                <w:sz w:val="21"/>
                <w:szCs w:val="21"/>
              </w:rPr>
              <w:t>12</w:t>
            </w:r>
          </w:p>
        </w:tc>
        <w:tc>
          <w:tcPr>
            <w:tcW w:w="255" w:type="pct"/>
            <w:vMerge w:val="restart"/>
            <w:shd w:val="clear" w:color="auto" w:fill="auto"/>
            <w:vAlign w:val="center"/>
          </w:tcPr>
          <w:p w14:paraId="0CF40DFC">
            <w:pPr>
              <w:widowControl/>
              <w:snapToGrid w:val="0"/>
              <w:jc w:val="center"/>
              <w:rPr>
                <w:kern w:val="0"/>
                <w:sz w:val="21"/>
                <w:szCs w:val="21"/>
              </w:rPr>
            </w:pPr>
            <w:r>
              <w:rPr>
                <w:rFonts w:hint="eastAsia"/>
                <w:kern w:val="0"/>
                <w:sz w:val="21"/>
                <w:szCs w:val="21"/>
              </w:rPr>
              <w:t>/</w:t>
            </w:r>
          </w:p>
        </w:tc>
        <w:tc>
          <w:tcPr>
            <w:tcW w:w="203" w:type="pct"/>
            <w:vMerge w:val="restart"/>
            <w:shd w:val="clear" w:color="auto" w:fill="auto"/>
            <w:vAlign w:val="center"/>
          </w:tcPr>
          <w:p w14:paraId="2EFA29DB">
            <w:pPr>
              <w:widowControl/>
              <w:jc w:val="center"/>
              <w:rPr>
                <w:kern w:val="0"/>
                <w:sz w:val="21"/>
                <w:szCs w:val="21"/>
              </w:rPr>
            </w:pPr>
            <w:r>
              <w:rPr>
                <w:kern w:val="0"/>
                <w:sz w:val="21"/>
                <w:szCs w:val="21"/>
              </w:rPr>
              <w:t>15</w:t>
            </w:r>
          </w:p>
        </w:tc>
        <w:tc>
          <w:tcPr>
            <w:tcW w:w="204" w:type="pct"/>
            <w:vMerge w:val="restart"/>
            <w:shd w:val="clear" w:color="auto" w:fill="auto"/>
            <w:vAlign w:val="center"/>
          </w:tcPr>
          <w:p w14:paraId="14EF8B43">
            <w:pPr>
              <w:widowControl/>
              <w:jc w:val="center"/>
              <w:rPr>
                <w:kern w:val="0"/>
                <w:sz w:val="21"/>
                <w:szCs w:val="21"/>
              </w:rPr>
            </w:pPr>
            <w:r>
              <w:rPr>
                <w:kern w:val="0"/>
                <w:sz w:val="21"/>
                <w:szCs w:val="21"/>
              </w:rPr>
              <w:t>0.</w:t>
            </w:r>
            <w:r>
              <w:rPr>
                <w:rFonts w:hint="eastAsia"/>
                <w:kern w:val="0"/>
                <w:sz w:val="21"/>
                <w:szCs w:val="21"/>
              </w:rPr>
              <w:t>6</w:t>
            </w:r>
          </w:p>
        </w:tc>
        <w:tc>
          <w:tcPr>
            <w:tcW w:w="205" w:type="pct"/>
            <w:vMerge w:val="restart"/>
            <w:shd w:val="clear" w:color="auto" w:fill="auto"/>
            <w:vAlign w:val="center"/>
          </w:tcPr>
          <w:p w14:paraId="07AE46D7">
            <w:pPr>
              <w:widowControl/>
              <w:jc w:val="center"/>
              <w:rPr>
                <w:kern w:val="0"/>
                <w:sz w:val="21"/>
                <w:szCs w:val="21"/>
              </w:rPr>
            </w:pPr>
            <w:r>
              <w:rPr>
                <w:kern w:val="0"/>
                <w:sz w:val="21"/>
                <w:szCs w:val="21"/>
              </w:rPr>
              <w:t>35</w:t>
            </w:r>
          </w:p>
        </w:tc>
        <w:tc>
          <w:tcPr>
            <w:tcW w:w="251" w:type="pct"/>
            <w:vMerge w:val="restart"/>
            <w:shd w:val="clear" w:color="auto" w:fill="auto"/>
            <w:vAlign w:val="center"/>
          </w:tcPr>
          <w:p w14:paraId="6D9D1E2D">
            <w:pPr>
              <w:widowControl/>
              <w:jc w:val="center"/>
              <w:rPr>
                <w:kern w:val="0"/>
                <w:sz w:val="21"/>
                <w:szCs w:val="21"/>
              </w:rPr>
            </w:pPr>
            <w:r>
              <w:rPr>
                <w:rFonts w:hAnsi="宋体"/>
                <w:kern w:val="0"/>
                <w:sz w:val="21"/>
                <w:szCs w:val="21"/>
              </w:rPr>
              <w:t>间歇</w:t>
            </w:r>
            <w:r>
              <w:rPr>
                <w:kern w:val="0"/>
                <w:sz w:val="21"/>
                <w:szCs w:val="21"/>
              </w:rPr>
              <w:t>7200h</w:t>
            </w:r>
          </w:p>
        </w:tc>
      </w:tr>
      <w:tr w14:paraId="62F51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 w:type="pct"/>
            <w:vMerge w:val="continue"/>
            <w:vAlign w:val="center"/>
          </w:tcPr>
          <w:p w14:paraId="27861BBE">
            <w:pPr>
              <w:widowControl/>
              <w:jc w:val="center"/>
              <w:rPr>
                <w:kern w:val="0"/>
                <w:sz w:val="21"/>
                <w:szCs w:val="21"/>
              </w:rPr>
            </w:pPr>
          </w:p>
        </w:tc>
        <w:tc>
          <w:tcPr>
            <w:tcW w:w="280" w:type="pct"/>
            <w:vMerge w:val="continue"/>
            <w:vAlign w:val="center"/>
          </w:tcPr>
          <w:p w14:paraId="4E48EC42">
            <w:pPr>
              <w:widowControl/>
              <w:jc w:val="center"/>
              <w:rPr>
                <w:kern w:val="0"/>
                <w:sz w:val="21"/>
                <w:szCs w:val="21"/>
              </w:rPr>
            </w:pPr>
          </w:p>
        </w:tc>
        <w:tc>
          <w:tcPr>
            <w:tcW w:w="219" w:type="pct"/>
            <w:vMerge w:val="restart"/>
            <w:shd w:val="clear" w:color="auto" w:fill="auto"/>
            <w:vAlign w:val="center"/>
          </w:tcPr>
          <w:p w14:paraId="4558CBF9">
            <w:pPr>
              <w:widowControl/>
              <w:jc w:val="center"/>
              <w:rPr>
                <w:rFonts w:ascii="宋体" w:hAnsi="宋体" w:cs="宋体"/>
                <w:kern w:val="0"/>
                <w:sz w:val="21"/>
                <w:szCs w:val="21"/>
              </w:rPr>
            </w:pPr>
            <w:r>
              <w:rPr>
                <w:rFonts w:hint="eastAsia" w:ascii="宋体" w:hAnsi="宋体" w:cs="宋体"/>
                <w:kern w:val="0"/>
                <w:sz w:val="21"/>
                <w:szCs w:val="21"/>
              </w:rPr>
              <w:t>混炼</w:t>
            </w:r>
          </w:p>
        </w:tc>
        <w:tc>
          <w:tcPr>
            <w:tcW w:w="251" w:type="pct"/>
            <w:shd w:val="clear" w:color="auto" w:fill="auto"/>
            <w:vAlign w:val="center"/>
          </w:tcPr>
          <w:p w14:paraId="68A97F5B">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5" w:type="pct"/>
            <w:shd w:val="clear" w:color="auto" w:fill="auto"/>
            <w:vAlign w:val="center"/>
          </w:tcPr>
          <w:p w14:paraId="3A2397B2">
            <w:pPr>
              <w:widowControl/>
              <w:jc w:val="center"/>
              <w:rPr>
                <w:kern w:val="0"/>
                <w:sz w:val="21"/>
                <w:szCs w:val="21"/>
              </w:rPr>
            </w:pPr>
            <w:r>
              <w:rPr>
                <w:kern w:val="0"/>
                <w:sz w:val="21"/>
                <w:szCs w:val="21"/>
              </w:rPr>
              <w:t>4.25</w:t>
            </w:r>
          </w:p>
        </w:tc>
        <w:tc>
          <w:tcPr>
            <w:tcW w:w="358" w:type="pct"/>
            <w:shd w:val="clear" w:color="auto" w:fill="auto"/>
            <w:vAlign w:val="center"/>
          </w:tcPr>
          <w:p w14:paraId="0B5A77F9">
            <w:pPr>
              <w:widowControl/>
              <w:jc w:val="center"/>
              <w:rPr>
                <w:kern w:val="0"/>
                <w:sz w:val="21"/>
                <w:szCs w:val="21"/>
              </w:rPr>
            </w:pPr>
            <w:r>
              <w:rPr>
                <w:kern w:val="0"/>
                <w:sz w:val="21"/>
                <w:szCs w:val="21"/>
              </w:rPr>
              <w:t>0.085</w:t>
            </w:r>
          </w:p>
        </w:tc>
        <w:tc>
          <w:tcPr>
            <w:tcW w:w="356" w:type="pct"/>
            <w:shd w:val="clear" w:color="auto" w:fill="auto"/>
            <w:vAlign w:val="center"/>
          </w:tcPr>
          <w:p w14:paraId="0A152B93">
            <w:pPr>
              <w:widowControl/>
              <w:jc w:val="center"/>
              <w:rPr>
                <w:kern w:val="0"/>
                <w:sz w:val="21"/>
                <w:szCs w:val="21"/>
              </w:rPr>
            </w:pPr>
            <w:r>
              <w:rPr>
                <w:kern w:val="0"/>
                <w:sz w:val="21"/>
                <w:szCs w:val="21"/>
              </w:rPr>
              <w:t>0.612</w:t>
            </w:r>
          </w:p>
        </w:tc>
        <w:tc>
          <w:tcPr>
            <w:tcW w:w="263" w:type="pct"/>
            <w:vMerge w:val="continue"/>
            <w:vAlign w:val="center"/>
          </w:tcPr>
          <w:p w14:paraId="697FE9CC">
            <w:pPr>
              <w:widowControl/>
              <w:jc w:val="center"/>
              <w:rPr>
                <w:rFonts w:ascii="宋体" w:hAnsi="宋体" w:cs="宋体"/>
                <w:kern w:val="0"/>
                <w:sz w:val="21"/>
                <w:szCs w:val="21"/>
              </w:rPr>
            </w:pPr>
          </w:p>
        </w:tc>
        <w:tc>
          <w:tcPr>
            <w:tcW w:w="177" w:type="pct"/>
            <w:vMerge w:val="continue"/>
            <w:vAlign w:val="center"/>
          </w:tcPr>
          <w:p w14:paraId="25627739">
            <w:pPr>
              <w:widowControl/>
              <w:jc w:val="center"/>
              <w:rPr>
                <w:kern w:val="0"/>
                <w:sz w:val="21"/>
                <w:szCs w:val="21"/>
              </w:rPr>
            </w:pPr>
          </w:p>
        </w:tc>
        <w:tc>
          <w:tcPr>
            <w:tcW w:w="269" w:type="pct"/>
            <w:vMerge w:val="continue"/>
            <w:vAlign w:val="center"/>
          </w:tcPr>
          <w:p w14:paraId="5A9581F2">
            <w:pPr>
              <w:widowControl/>
              <w:jc w:val="center"/>
              <w:rPr>
                <w:rFonts w:ascii="宋体" w:hAnsi="宋体" w:cs="宋体"/>
                <w:kern w:val="0"/>
                <w:sz w:val="21"/>
                <w:szCs w:val="21"/>
              </w:rPr>
            </w:pPr>
          </w:p>
        </w:tc>
        <w:tc>
          <w:tcPr>
            <w:tcW w:w="302" w:type="pct"/>
            <w:vMerge w:val="continue"/>
            <w:vAlign w:val="center"/>
          </w:tcPr>
          <w:p w14:paraId="4B33B34E">
            <w:pPr>
              <w:widowControl/>
              <w:jc w:val="center"/>
              <w:rPr>
                <w:kern w:val="0"/>
                <w:sz w:val="21"/>
                <w:szCs w:val="21"/>
              </w:rPr>
            </w:pPr>
          </w:p>
        </w:tc>
        <w:tc>
          <w:tcPr>
            <w:tcW w:w="389" w:type="pct"/>
            <w:vMerge w:val="continue"/>
            <w:vAlign w:val="center"/>
          </w:tcPr>
          <w:p w14:paraId="0F014ADE">
            <w:pPr>
              <w:widowControl/>
              <w:jc w:val="center"/>
              <w:rPr>
                <w:kern w:val="0"/>
                <w:sz w:val="21"/>
                <w:szCs w:val="21"/>
              </w:rPr>
            </w:pPr>
          </w:p>
        </w:tc>
        <w:tc>
          <w:tcPr>
            <w:tcW w:w="351" w:type="pct"/>
            <w:vMerge w:val="continue"/>
            <w:vAlign w:val="center"/>
          </w:tcPr>
          <w:p w14:paraId="44C1809D">
            <w:pPr>
              <w:widowControl/>
              <w:jc w:val="center"/>
              <w:rPr>
                <w:kern w:val="0"/>
                <w:sz w:val="21"/>
                <w:szCs w:val="21"/>
              </w:rPr>
            </w:pPr>
          </w:p>
        </w:tc>
        <w:tc>
          <w:tcPr>
            <w:tcW w:w="204" w:type="pct"/>
            <w:vMerge w:val="continue"/>
            <w:vAlign w:val="center"/>
          </w:tcPr>
          <w:p w14:paraId="5C9889BB">
            <w:pPr>
              <w:widowControl/>
              <w:jc w:val="center"/>
              <w:rPr>
                <w:kern w:val="0"/>
                <w:sz w:val="21"/>
                <w:szCs w:val="21"/>
              </w:rPr>
            </w:pPr>
          </w:p>
        </w:tc>
        <w:tc>
          <w:tcPr>
            <w:tcW w:w="255" w:type="pct"/>
            <w:vMerge w:val="continue"/>
            <w:vAlign w:val="center"/>
          </w:tcPr>
          <w:p w14:paraId="4A3A3EE5">
            <w:pPr>
              <w:widowControl/>
              <w:jc w:val="center"/>
              <w:rPr>
                <w:kern w:val="0"/>
                <w:sz w:val="21"/>
                <w:szCs w:val="21"/>
              </w:rPr>
            </w:pPr>
          </w:p>
        </w:tc>
        <w:tc>
          <w:tcPr>
            <w:tcW w:w="203" w:type="pct"/>
            <w:vMerge w:val="continue"/>
            <w:vAlign w:val="center"/>
          </w:tcPr>
          <w:p w14:paraId="36718DEB">
            <w:pPr>
              <w:widowControl/>
              <w:jc w:val="center"/>
              <w:rPr>
                <w:kern w:val="0"/>
                <w:sz w:val="21"/>
                <w:szCs w:val="21"/>
              </w:rPr>
            </w:pPr>
          </w:p>
        </w:tc>
        <w:tc>
          <w:tcPr>
            <w:tcW w:w="204" w:type="pct"/>
            <w:vMerge w:val="continue"/>
            <w:vAlign w:val="center"/>
          </w:tcPr>
          <w:p w14:paraId="15F1DCAE">
            <w:pPr>
              <w:widowControl/>
              <w:jc w:val="center"/>
              <w:rPr>
                <w:kern w:val="0"/>
                <w:sz w:val="21"/>
                <w:szCs w:val="21"/>
              </w:rPr>
            </w:pPr>
          </w:p>
        </w:tc>
        <w:tc>
          <w:tcPr>
            <w:tcW w:w="205" w:type="pct"/>
            <w:vMerge w:val="continue"/>
            <w:vAlign w:val="center"/>
          </w:tcPr>
          <w:p w14:paraId="5C364F38">
            <w:pPr>
              <w:widowControl/>
              <w:jc w:val="center"/>
              <w:rPr>
                <w:kern w:val="0"/>
                <w:sz w:val="21"/>
                <w:szCs w:val="21"/>
              </w:rPr>
            </w:pPr>
          </w:p>
        </w:tc>
        <w:tc>
          <w:tcPr>
            <w:tcW w:w="251" w:type="pct"/>
            <w:vMerge w:val="continue"/>
            <w:vAlign w:val="center"/>
          </w:tcPr>
          <w:p w14:paraId="5526A44B">
            <w:pPr>
              <w:widowControl/>
              <w:jc w:val="center"/>
              <w:rPr>
                <w:rFonts w:ascii="宋体" w:hAnsi="宋体" w:cs="宋体"/>
                <w:kern w:val="0"/>
                <w:sz w:val="21"/>
                <w:szCs w:val="21"/>
              </w:rPr>
            </w:pPr>
          </w:p>
        </w:tc>
      </w:tr>
      <w:tr w14:paraId="00342D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61676E5C">
            <w:pPr>
              <w:widowControl/>
              <w:jc w:val="center"/>
              <w:rPr>
                <w:kern w:val="0"/>
                <w:sz w:val="21"/>
                <w:szCs w:val="21"/>
              </w:rPr>
            </w:pPr>
          </w:p>
        </w:tc>
        <w:tc>
          <w:tcPr>
            <w:tcW w:w="280" w:type="pct"/>
            <w:vMerge w:val="continue"/>
            <w:vAlign w:val="center"/>
          </w:tcPr>
          <w:p w14:paraId="05348ADD">
            <w:pPr>
              <w:widowControl/>
              <w:jc w:val="center"/>
              <w:rPr>
                <w:kern w:val="0"/>
                <w:sz w:val="21"/>
                <w:szCs w:val="21"/>
              </w:rPr>
            </w:pPr>
          </w:p>
        </w:tc>
        <w:tc>
          <w:tcPr>
            <w:tcW w:w="219" w:type="pct"/>
            <w:vMerge w:val="continue"/>
            <w:vAlign w:val="center"/>
          </w:tcPr>
          <w:p w14:paraId="3CD1B0AC">
            <w:pPr>
              <w:widowControl/>
              <w:jc w:val="center"/>
              <w:rPr>
                <w:rFonts w:ascii="宋体" w:hAnsi="宋体" w:cs="宋体"/>
                <w:kern w:val="0"/>
                <w:sz w:val="21"/>
                <w:szCs w:val="21"/>
              </w:rPr>
            </w:pPr>
          </w:p>
        </w:tc>
        <w:tc>
          <w:tcPr>
            <w:tcW w:w="251" w:type="pct"/>
            <w:shd w:val="clear" w:color="auto" w:fill="auto"/>
            <w:vAlign w:val="center"/>
          </w:tcPr>
          <w:p w14:paraId="45B3E858">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42F848DC">
            <w:pPr>
              <w:widowControl/>
              <w:jc w:val="center"/>
              <w:rPr>
                <w:kern w:val="0"/>
                <w:sz w:val="21"/>
                <w:szCs w:val="21"/>
              </w:rPr>
            </w:pPr>
            <w:r>
              <w:rPr>
                <w:kern w:val="0"/>
                <w:sz w:val="21"/>
                <w:szCs w:val="21"/>
              </w:rPr>
              <w:t>0.15</w:t>
            </w:r>
          </w:p>
        </w:tc>
        <w:tc>
          <w:tcPr>
            <w:tcW w:w="358" w:type="pct"/>
            <w:shd w:val="clear" w:color="auto" w:fill="auto"/>
            <w:vAlign w:val="center"/>
          </w:tcPr>
          <w:p w14:paraId="69F83DA5">
            <w:pPr>
              <w:widowControl/>
              <w:jc w:val="center"/>
              <w:rPr>
                <w:kern w:val="0"/>
                <w:sz w:val="21"/>
                <w:szCs w:val="21"/>
              </w:rPr>
            </w:pPr>
            <w:r>
              <w:rPr>
                <w:kern w:val="0"/>
                <w:sz w:val="21"/>
                <w:szCs w:val="21"/>
              </w:rPr>
              <w:t>0.003</w:t>
            </w:r>
          </w:p>
        </w:tc>
        <w:tc>
          <w:tcPr>
            <w:tcW w:w="356" w:type="pct"/>
            <w:shd w:val="clear" w:color="auto" w:fill="auto"/>
            <w:vAlign w:val="center"/>
          </w:tcPr>
          <w:p w14:paraId="64216AA5">
            <w:pPr>
              <w:widowControl/>
              <w:jc w:val="center"/>
              <w:rPr>
                <w:kern w:val="0"/>
                <w:sz w:val="21"/>
                <w:szCs w:val="21"/>
              </w:rPr>
            </w:pPr>
            <w:r>
              <w:rPr>
                <w:kern w:val="0"/>
                <w:sz w:val="21"/>
                <w:szCs w:val="21"/>
              </w:rPr>
              <w:t>0.022</w:t>
            </w:r>
          </w:p>
        </w:tc>
        <w:tc>
          <w:tcPr>
            <w:tcW w:w="263" w:type="pct"/>
            <w:vMerge w:val="continue"/>
            <w:vAlign w:val="center"/>
          </w:tcPr>
          <w:p w14:paraId="1C4DBD79">
            <w:pPr>
              <w:widowControl/>
              <w:jc w:val="center"/>
              <w:rPr>
                <w:rFonts w:ascii="宋体" w:hAnsi="宋体" w:cs="宋体"/>
                <w:kern w:val="0"/>
                <w:sz w:val="21"/>
                <w:szCs w:val="21"/>
              </w:rPr>
            </w:pPr>
          </w:p>
        </w:tc>
        <w:tc>
          <w:tcPr>
            <w:tcW w:w="177" w:type="pct"/>
            <w:vMerge w:val="restart"/>
            <w:shd w:val="clear" w:color="auto" w:fill="auto"/>
            <w:vAlign w:val="center"/>
          </w:tcPr>
          <w:p w14:paraId="66858480">
            <w:pPr>
              <w:widowControl/>
              <w:jc w:val="center"/>
              <w:rPr>
                <w:kern w:val="0"/>
                <w:sz w:val="21"/>
                <w:szCs w:val="21"/>
              </w:rPr>
            </w:pPr>
            <w:r>
              <w:rPr>
                <w:kern w:val="0"/>
                <w:sz w:val="21"/>
                <w:szCs w:val="21"/>
              </w:rPr>
              <w:t>90</w:t>
            </w:r>
          </w:p>
        </w:tc>
        <w:tc>
          <w:tcPr>
            <w:tcW w:w="269" w:type="pct"/>
            <w:vMerge w:val="restart"/>
            <w:shd w:val="clear" w:color="auto" w:fill="auto"/>
            <w:vAlign w:val="center"/>
          </w:tcPr>
          <w:p w14:paraId="038EB131">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2" w:type="pct"/>
            <w:vMerge w:val="restart"/>
            <w:shd w:val="clear" w:color="auto" w:fill="auto"/>
            <w:vAlign w:val="center"/>
          </w:tcPr>
          <w:p w14:paraId="5C53E4C4">
            <w:pPr>
              <w:widowControl/>
              <w:jc w:val="center"/>
              <w:rPr>
                <w:kern w:val="0"/>
                <w:sz w:val="21"/>
                <w:szCs w:val="21"/>
              </w:rPr>
            </w:pPr>
            <w:r>
              <w:rPr>
                <w:kern w:val="0"/>
                <w:sz w:val="21"/>
                <w:szCs w:val="21"/>
              </w:rPr>
              <w:t>0.09</w:t>
            </w:r>
          </w:p>
        </w:tc>
        <w:tc>
          <w:tcPr>
            <w:tcW w:w="389" w:type="pct"/>
            <w:vMerge w:val="restart"/>
            <w:shd w:val="clear" w:color="auto" w:fill="auto"/>
            <w:vAlign w:val="center"/>
          </w:tcPr>
          <w:p w14:paraId="7DC37296">
            <w:pPr>
              <w:widowControl/>
              <w:jc w:val="center"/>
              <w:rPr>
                <w:kern w:val="0"/>
                <w:sz w:val="21"/>
                <w:szCs w:val="21"/>
              </w:rPr>
            </w:pPr>
            <w:r>
              <w:rPr>
                <w:kern w:val="0"/>
                <w:sz w:val="21"/>
                <w:szCs w:val="21"/>
              </w:rPr>
              <w:t>0.002</w:t>
            </w:r>
          </w:p>
        </w:tc>
        <w:tc>
          <w:tcPr>
            <w:tcW w:w="351" w:type="pct"/>
            <w:vMerge w:val="restart"/>
            <w:shd w:val="clear" w:color="auto" w:fill="auto"/>
            <w:vAlign w:val="center"/>
          </w:tcPr>
          <w:p w14:paraId="2885F681">
            <w:pPr>
              <w:widowControl/>
              <w:jc w:val="center"/>
              <w:rPr>
                <w:kern w:val="0"/>
                <w:sz w:val="21"/>
                <w:szCs w:val="21"/>
              </w:rPr>
            </w:pPr>
            <w:r>
              <w:rPr>
                <w:kern w:val="0"/>
                <w:sz w:val="21"/>
                <w:szCs w:val="21"/>
              </w:rPr>
              <w:t>0.013</w:t>
            </w:r>
          </w:p>
        </w:tc>
        <w:tc>
          <w:tcPr>
            <w:tcW w:w="204" w:type="pct"/>
            <w:vMerge w:val="restart"/>
            <w:shd w:val="clear" w:color="auto" w:fill="auto"/>
            <w:vAlign w:val="center"/>
          </w:tcPr>
          <w:p w14:paraId="469ECA50">
            <w:pPr>
              <w:widowControl/>
              <w:jc w:val="center"/>
              <w:rPr>
                <w:kern w:val="0"/>
                <w:sz w:val="21"/>
                <w:szCs w:val="21"/>
              </w:rPr>
            </w:pPr>
            <w:r>
              <w:rPr>
                <w:kern w:val="0"/>
                <w:sz w:val="21"/>
                <w:szCs w:val="21"/>
              </w:rPr>
              <w:t>/</w:t>
            </w:r>
          </w:p>
        </w:tc>
        <w:tc>
          <w:tcPr>
            <w:tcW w:w="255" w:type="pct"/>
            <w:vMerge w:val="restart"/>
            <w:shd w:val="clear" w:color="auto" w:fill="auto"/>
            <w:vAlign w:val="center"/>
          </w:tcPr>
          <w:p w14:paraId="20070B90">
            <w:pPr>
              <w:widowControl/>
              <w:jc w:val="center"/>
              <w:rPr>
                <w:kern w:val="0"/>
                <w:sz w:val="21"/>
                <w:szCs w:val="21"/>
              </w:rPr>
            </w:pPr>
            <w:r>
              <w:rPr>
                <w:kern w:val="0"/>
                <w:sz w:val="21"/>
                <w:szCs w:val="21"/>
              </w:rPr>
              <w:t>0.</w:t>
            </w:r>
            <w:r>
              <w:rPr>
                <w:rFonts w:hint="eastAsia"/>
                <w:kern w:val="0"/>
                <w:sz w:val="21"/>
                <w:szCs w:val="21"/>
              </w:rPr>
              <w:t>3</w:t>
            </w:r>
            <w:r>
              <w:rPr>
                <w:kern w:val="0"/>
                <w:sz w:val="21"/>
                <w:szCs w:val="21"/>
              </w:rPr>
              <w:t>3</w:t>
            </w:r>
          </w:p>
        </w:tc>
        <w:tc>
          <w:tcPr>
            <w:tcW w:w="203" w:type="pct"/>
            <w:vMerge w:val="continue"/>
            <w:vAlign w:val="center"/>
          </w:tcPr>
          <w:p w14:paraId="0CA791C3">
            <w:pPr>
              <w:widowControl/>
              <w:jc w:val="center"/>
              <w:rPr>
                <w:kern w:val="0"/>
                <w:sz w:val="21"/>
                <w:szCs w:val="21"/>
              </w:rPr>
            </w:pPr>
          </w:p>
        </w:tc>
        <w:tc>
          <w:tcPr>
            <w:tcW w:w="204" w:type="pct"/>
            <w:vMerge w:val="continue"/>
            <w:vAlign w:val="center"/>
          </w:tcPr>
          <w:p w14:paraId="0BA5B6BE">
            <w:pPr>
              <w:widowControl/>
              <w:jc w:val="center"/>
              <w:rPr>
                <w:kern w:val="0"/>
                <w:sz w:val="21"/>
                <w:szCs w:val="21"/>
              </w:rPr>
            </w:pPr>
          </w:p>
        </w:tc>
        <w:tc>
          <w:tcPr>
            <w:tcW w:w="205" w:type="pct"/>
            <w:vMerge w:val="continue"/>
            <w:vAlign w:val="center"/>
          </w:tcPr>
          <w:p w14:paraId="516F6752">
            <w:pPr>
              <w:widowControl/>
              <w:jc w:val="center"/>
              <w:rPr>
                <w:kern w:val="0"/>
                <w:sz w:val="21"/>
                <w:szCs w:val="21"/>
              </w:rPr>
            </w:pPr>
          </w:p>
        </w:tc>
        <w:tc>
          <w:tcPr>
            <w:tcW w:w="251" w:type="pct"/>
            <w:vMerge w:val="continue"/>
            <w:vAlign w:val="center"/>
          </w:tcPr>
          <w:p w14:paraId="61E4DA8D">
            <w:pPr>
              <w:widowControl/>
              <w:jc w:val="center"/>
              <w:rPr>
                <w:rFonts w:ascii="宋体" w:hAnsi="宋体" w:cs="宋体"/>
                <w:kern w:val="0"/>
                <w:sz w:val="21"/>
                <w:szCs w:val="21"/>
              </w:rPr>
            </w:pPr>
          </w:p>
        </w:tc>
      </w:tr>
      <w:tr w14:paraId="66B80A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4227E784">
            <w:pPr>
              <w:widowControl/>
              <w:jc w:val="center"/>
              <w:rPr>
                <w:kern w:val="0"/>
                <w:sz w:val="21"/>
                <w:szCs w:val="21"/>
              </w:rPr>
            </w:pPr>
          </w:p>
        </w:tc>
        <w:tc>
          <w:tcPr>
            <w:tcW w:w="280" w:type="pct"/>
            <w:vMerge w:val="continue"/>
            <w:vAlign w:val="center"/>
          </w:tcPr>
          <w:p w14:paraId="6F20C707">
            <w:pPr>
              <w:widowControl/>
              <w:jc w:val="center"/>
              <w:rPr>
                <w:kern w:val="0"/>
                <w:sz w:val="21"/>
                <w:szCs w:val="21"/>
              </w:rPr>
            </w:pPr>
          </w:p>
        </w:tc>
        <w:tc>
          <w:tcPr>
            <w:tcW w:w="219" w:type="pct"/>
            <w:vMerge w:val="continue"/>
            <w:vAlign w:val="center"/>
          </w:tcPr>
          <w:p w14:paraId="728B5125">
            <w:pPr>
              <w:widowControl/>
              <w:jc w:val="center"/>
              <w:rPr>
                <w:rFonts w:ascii="宋体" w:hAnsi="宋体" w:cs="宋体"/>
                <w:kern w:val="0"/>
                <w:sz w:val="21"/>
                <w:szCs w:val="21"/>
              </w:rPr>
            </w:pPr>
          </w:p>
        </w:tc>
        <w:tc>
          <w:tcPr>
            <w:tcW w:w="251" w:type="pct"/>
            <w:shd w:val="clear" w:color="auto" w:fill="auto"/>
            <w:vAlign w:val="center"/>
          </w:tcPr>
          <w:p w14:paraId="5DE2F269">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654D0AB6">
            <w:pPr>
              <w:widowControl/>
              <w:jc w:val="center"/>
              <w:rPr>
                <w:kern w:val="0"/>
                <w:sz w:val="21"/>
                <w:szCs w:val="21"/>
              </w:rPr>
            </w:pPr>
            <w:r>
              <w:rPr>
                <w:kern w:val="0"/>
                <w:sz w:val="21"/>
                <w:szCs w:val="21"/>
              </w:rPr>
              <w:t>6.47</w:t>
            </w:r>
          </w:p>
        </w:tc>
        <w:tc>
          <w:tcPr>
            <w:tcW w:w="358" w:type="pct"/>
            <w:shd w:val="clear" w:color="auto" w:fill="auto"/>
            <w:vAlign w:val="center"/>
          </w:tcPr>
          <w:p w14:paraId="7E2907E8">
            <w:pPr>
              <w:widowControl/>
              <w:jc w:val="center"/>
              <w:rPr>
                <w:kern w:val="0"/>
                <w:sz w:val="21"/>
                <w:szCs w:val="21"/>
              </w:rPr>
            </w:pPr>
            <w:r>
              <w:rPr>
                <w:kern w:val="0"/>
                <w:sz w:val="21"/>
                <w:szCs w:val="21"/>
              </w:rPr>
              <w:t>0.129</w:t>
            </w:r>
          </w:p>
        </w:tc>
        <w:tc>
          <w:tcPr>
            <w:tcW w:w="356" w:type="pct"/>
            <w:shd w:val="clear" w:color="auto" w:fill="auto"/>
            <w:noWrap/>
            <w:vAlign w:val="center"/>
          </w:tcPr>
          <w:p w14:paraId="2132E801">
            <w:pPr>
              <w:widowControl/>
              <w:jc w:val="center"/>
              <w:rPr>
                <w:kern w:val="0"/>
                <w:sz w:val="21"/>
                <w:szCs w:val="21"/>
              </w:rPr>
            </w:pPr>
            <w:r>
              <w:rPr>
                <w:kern w:val="0"/>
                <w:sz w:val="21"/>
                <w:szCs w:val="21"/>
              </w:rPr>
              <w:t>0.932</w:t>
            </w:r>
          </w:p>
        </w:tc>
        <w:tc>
          <w:tcPr>
            <w:tcW w:w="263" w:type="pct"/>
            <w:vMerge w:val="continue"/>
            <w:vAlign w:val="center"/>
          </w:tcPr>
          <w:p w14:paraId="60095F8E">
            <w:pPr>
              <w:widowControl/>
              <w:jc w:val="center"/>
              <w:rPr>
                <w:rFonts w:ascii="宋体" w:hAnsi="宋体" w:cs="宋体"/>
                <w:kern w:val="0"/>
                <w:sz w:val="21"/>
                <w:szCs w:val="21"/>
              </w:rPr>
            </w:pPr>
          </w:p>
        </w:tc>
        <w:tc>
          <w:tcPr>
            <w:tcW w:w="177" w:type="pct"/>
            <w:vMerge w:val="continue"/>
            <w:vAlign w:val="center"/>
          </w:tcPr>
          <w:p w14:paraId="1095C174">
            <w:pPr>
              <w:widowControl/>
              <w:jc w:val="center"/>
              <w:rPr>
                <w:kern w:val="0"/>
                <w:sz w:val="21"/>
                <w:szCs w:val="21"/>
              </w:rPr>
            </w:pPr>
          </w:p>
        </w:tc>
        <w:tc>
          <w:tcPr>
            <w:tcW w:w="269" w:type="pct"/>
            <w:vMerge w:val="continue"/>
            <w:vAlign w:val="center"/>
          </w:tcPr>
          <w:p w14:paraId="1D5B8616">
            <w:pPr>
              <w:widowControl/>
              <w:jc w:val="center"/>
              <w:rPr>
                <w:kern w:val="0"/>
                <w:sz w:val="21"/>
                <w:szCs w:val="21"/>
              </w:rPr>
            </w:pPr>
          </w:p>
        </w:tc>
        <w:tc>
          <w:tcPr>
            <w:tcW w:w="302" w:type="pct"/>
            <w:vMerge w:val="continue"/>
            <w:vAlign w:val="center"/>
          </w:tcPr>
          <w:p w14:paraId="1E36F368">
            <w:pPr>
              <w:widowControl/>
              <w:jc w:val="center"/>
              <w:rPr>
                <w:kern w:val="0"/>
                <w:sz w:val="21"/>
                <w:szCs w:val="21"/>
              </w:rPr>
            </w:pPr>
          </w:p>
        </w:tc>
        <w:tc>
          <w:tcPr>
            <w:tcW w:w="389" w:type="pct"/>
            <w:vMerge w:val="continue"/>
            <w:vAlign w:val="center"/>
          </w:tcPr>
          <w:p w14:paraId="15D3392F">
            <w:pPr>
              <w:widowControl/>
              <w:jc w:val="center"/>
              <w:rPr>
                <w:kern w:val="0"/>
                <w:sz w:val="21"/>
                <w:szCs w:val="21"/>
              </w:rPr>
            </w:pPr>
          </w:p>
        </w:tc>
        <w:tc>
          <w:tcPr>
            <w:tcW w:w="351" w:type="pct"/>
            <w:vMerge w:val="continue"/>
            <w:vAlign w:val="center"/>
          </w:tcPr>
          <w:p w14:paraId="466A9560">
            <w:pPr>
              <w:widowControl/>
              <w:jc w:val="center"/>
              <w:rPr>
                <w:kern w:val="0"/>
                <w:sz w:val="21"/>
                <w:szCs w:val="21"/>
              </w:rPr>
            </w:pPr>
          </w:p>
        </w:tc>
        <w:tc>
          <w:tcPr>
            <w:tcW w:w="204" w:type="pct"/>
            <w:vMerge w:val="continue"/>
            <w:vAlign w:val="center"/>
          </w:tcPr>
          <w:p w14:paraId="0905B174">
            <w:pPr>
              <w:widowControl/>
              <w:jc w:val="center"/>
              <w:rPr>
                <w:kern w:val="0"/>
                <w:sz w:val="21"/>
                <w:szCs w:val="21"/>
              </w:rPr>
            </w:pPr>
          </w:p>
        </w:tc>
        <w:tc>
          <w:tcPr>
            <w:tcW w:w="255" w:type="pct"/>
            <w:vMerge w:val="continue"/>
            <w:vAlign w:val="center"/>
          </w:tcPr>
          <w:p w14:paraId="47DE2384">
            <w:pPr>
              <w:widowControl/>
              <w:jc w:val="center"/>
              <w:rPr>
                <w:kern w:val="0"/>
                <w:sz w:val="21"/>
                <w:szCs w:val="21"/>
              </w:rPr>
            </w:pPr>
          </w:p>
        </w:tc>
        <w:tc>
          <w:tcPr>
            <w:tcW w:w="203" w:type="pct"/>
            <w:vMerge w:val="continue"/>
            <w:vAlign w:val="center"/>
          </w:tcPr>
          <w:p w14:paraId="5FE1A609">
            <w:pPr>
              <w:widowControl/>
              <w:jc w:val="center"/>
              <w:rPr>
                <w:kern w:val="0"/>
                <w:sz w:val="21"/>
                <w:szCs w:val="21"/>
              </w:rPr>
            </w:pPr>
          </w:p>
        </w:tc>
        <w:tc>
          <w:tcPr>
            <w:tcW w:w="204" w:type="pct"/>
            <w:vMerge w:val="continue"/>
            <w:vAlign w:val="center"/>
          </w:tcPr>
          <w:p w14:paraId="4B52A05C">
            <w:pPr>
              <w:widowControl/>
              <w:jc w:val="center"/>
              <w:rPr>
                <w:kern w:val="0"/>
                <w:sz w:val="21"/>
                <w:szCs w:val="21"/>
              </w:rPr>
            </w:pPr>
          </w:p>
        </w:tc>
        <w:tc>
          <w:tcPr>
            <w:tcW w:w="205" w:type="pct"/>
            <w:vMerge w:val="continue"/>
            <w:vAlign w:val="center"/>
          </w:tcPr>
          <w:p w14:paraId="663BBD1C">
            <w:pPr>
              <w:widowControl/>
              <w:jc w:val="center"/>
              <w:rPr>
                <w:kern w:val="0"/>
                <w:sz w:val="21"/>
                <w:szCs w:val="21"/>
              </w:rPr>
            </w:pPr>
          </w:p>
        </w:tc>
        <w:tc>
          <w:tcPr>
            <w:tcW w:w="251" w:type="pct"/>
            <w:vMerge w:val="continue"/>
            <w:vAlign w:val="center"/>
          </w:tcPr>
          <w:p w14:paraId="24984760">
            <w:pPr>
              <w:widowControl/>
              <w:jc w:val="center"/>
              <w:rPr>
                <w:rFonts w:ascii="宋体" w:hAnsi="宋体" w:cs="宋体"/>
                <w:kern w:val="0"/>
                <w:sz w:val="21"/>
                <w:szCs w:val="21"/>
              </w:rPr>
            </w:pPr>
          </w:p>
        </w:tc>
      </w:tr>
      <w:tr w14:paraId="4D21DD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 w:type="pct"/>
            <w:vMerge w:val="continue"/>
            <w:vAlign w:val="center"/>
          </w:tcPr>
          <w:p w14:paraId="72647D4D">
            <w:pPr>
              <w:widowControl/>
              <w:jc w:val="center"/>
              <w:rPr>
                <w:kern w:val="0"/>
                <w:sz w:val="21"/>
                <w:szCs w:val="21"/>
              </w:rPr>
            </w:pPr>
          </w:p>
        </w:tc>
        <w:tc>
          <w:tcPr>
            <w:tcW w:w="280" w:type="pct"/>
            <w:vMerge w:val="continue"/>
            <w:vAlign w:val="center"/>
          </w:tcPr>
          <w:p w14:paraId="0FD684A9">
            <w:pPr>
              <w:widowControl/>
              <w:jc w:val="center"/>
              <w:rPr>
                <w:kern w:val="0"/>
                <w:sz w:val="21"/>
                <w:szCs w:val="21"/>
              </w:rPr>
            </w:pPr>
          </w:p>
        </w:tc>
        <w:tc>
          <w:tcPr>
            <w:tcW w:w="219" w:type="pct"/>
            <w:vMerge w:val="restart"/>
            <w:shd w:val="clear" w:color="auto" w:fill="auto"/>
            <w:vAlign w:val="center"/>
          </w:tcPr>
          <w:p w14:paraId="66F8332A">
            <w:pPr>
              <w:widowControl/>
              <w:jc w:val="center"/>
              <w:rPr>
                <w:rFonts w:ascii="宋体" w:hAnsi="宋体" w:cs="宋体"/>
                <w:kern w:val="0"/>
                <w:sz w:val="21"/>
                <w:szCs w:val="21"/>
              </w:rPr>
            </w:pPr>
            <w:r>
              <w:rPr>
                <w:rFonts w:hint="eastAsia" w:ascii="宋体" w:hAnsi="宋体" w:cs="宋体"/>
                <w:kern w:val="0"/>
                <w:sz w:val="21"/>
                <w:szCs w:val="21"/>
              </w:rPr>
              <w:t>返炼</w:t>
            </w:r>
          </w:p>
        </w:tc>
        <w:tc>
          <w:tcPr>
            <w:tcW w:w="251" w:type="pct"/>
            <w:shd w:val="clear" w:color="auto" w:fill="auto"/>
            <w:vAlign w:val="center"/>
          </w:tcPr>
          <w:p w14:paraId="79835F8A">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5" w:type="pct"/>
            <w:shd w:val="clear" w:color="auto" w:fill="auto"/>
            <w:vAlign w:val="center"/>
          </w:tcPr>
          <w:p w14:paraId="3EE7D6EF">
            <w:pPr>
              <w:widowControl/>
              <w:jc w:val="center"/>
              <w:rPr>
                <w:kern w:val="0"/>
                <w:sz w:val="21"/>
                <w:szCs w:val="21"/>
              </w:rPr>
            </w:pPr>
            <w:r>
              <w:rPr>
                <w:kern w:val="0"/>
                <w:sz w:val="21"/>
                <w:szCs w:val="21"/>
              </w:rPr>
              <w:t>0.99</w:t>
            </w:r>
          </w:p>
        </w:tc>
        <w:tc>
          <w:tcPr>
            <w:tcW w:w="358" w:type="pct"/>
            <w:shd w:val="clear" w:color="auto" w:fill="auto"/>
            <w:vAlign w:val="center"/>
          </w:tcPr>
          <w:p w14:paraId="23304F54">
            <w:pPr>
              <w:widowControl/>
              <w:jc w:val="center"/>
              <w:rPr>
                <w:kern w:val="0"/>
                <w:sz w:val="21"/>
                <w:szCs w:val="21"/>
              </w:rPr>
            </w:pPr>
            <w:r>
              <w:rPr>
                <w:kern w:val="0"/>
                <w:sz w:val="21"/>
                <w:szCs w:val="21"/>
              </w:rPr>
              <w:t>0.020</w:t>
            </w:r>
          </w:p>
        </w:tc>
        <w:tc>
          <w:tcPr>
            <w:tcW w:w="356" w:type="pct"/>
            <w:shd w:val="clear" w:color="auto" w:fill="auto"/>
            <w:vAlign w:val="center"/>
          </w:tcPr>
          <w:p w14:paraId="64D33167">
            <w:pPr>
              <w:widowControl/>
              <w:jc w:val="center"/>
              <w:rPr>
                <w:kern w:val="0"/>
                <w:sz w:val="21"/>
                <w:szCs w:val="21"/>
              </w:rPr>
            </w:pPr>
            <w:r>
              <w:rPr>
                <w:kern w:val="0"/>
                <w:sz w:val="21"/>
                <w:szCs w:val="21"/>
              </w:rPr>
              <w:t>0.142</w:t>
            </w:r>
          </w:p>
        </w:tc>
        <w:tc>
          <w:tcPr>
            <w:tcW w:w="263" w:type="pct"/>
            <w:vMerge w:val="continue"/>
            <w:vAlign w:val="center"/>
          </w:tcPr>
          <w:p w14:paraId="188F6BF4">
            <w:pPr>
              <w:widowControl/>
              <w:jc w:val="center"/>
              <w:rPr>
                <w:rFonts w:ascii="宋体" w:hAnsi="宋体" w:cs="宋体"/>
                <w:kern w:val="0"/>
                <w:sz w:val="21"/>
                <w:szCs w:val="21"/>
              </w:rPr>
            </w:pPr>
          </w:p>
        </w:tc>
        <w:tc>
          <w:tcPr>
            <w:tcW w:w="177" w:type="pct"/>
            <w:vMerge w:val="restart"/>
            <w:shd w:val="clear" w:color="auto" w:fill="auto"/>
            <w:vAlign w:val="center"/>
          </w:tcPr>
          <w:p w14:paraId="390B9E13">
            <w:pPr>
              <w:widowControl/>
              <w:jc w:val="center"/>
              <w:rPr>
                <w:kern w:val="0"/>
                <w:sz w:val="21"/>
                <w:szCs w:val="21"/>
              </w:rPr>
            </w:pPr>
            <w:r>
              <w:rPr>
                <w:kern w:val="0"/>
                <w:sz w:val="21"/>
                <w:szCs w:val="21"/>
              </w:rPr>
              <w:t>90</w:t>
            </w:r>
          </w:p>
        </w:tc>
        <w:tc>
          <w:tcPr>
            <w:tcW w:w="269" w:type="pct"/>
            <w:vMerge w:val="restart"/>
            <w:shd w:val="clear" w:color="auto" w:fill="auto"/>
            <w:vAlign w:val="center"/>
          </w:tcPr>
          <w:p w14:paraId="78DA17C2">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2" w:type="pct"/>
            <w:vMerge w:val="restart"/>
            <w:shd w:val="clear" w:color="auto" w:fill="auto"/>
            <w:vAlign w:val="center"/>
          </w:tcPr>
          <w:p w14:paraId="7887745E">
            <w:pPr>
              <w:widowControl/>
              <w:jc w:val="center"/>
              <w:rPr>
                <w:kern w:val="0"/>
                <w:sz w:val="21"/>
                <w:szCs w:val="21"/>
              </w:rPr>
            </w:pPr>
            <w:r>
              <w:rPr>
                <w:kern w:val="0"/>
                <w:sz w:val="21"/>
                <w:szCs w:val="21"/>
              </w:rPr>
              <w:t>0.89</w:t>
            </w:r>
          </w:p>
        </w:tc>
        <w:tc>
          <w:tcPr>
            <w:tcW w:w="389" w:type="pct"/>
            <w:vMerge w:val="restart"/>
            <w:shd w:val="clear" w:color="auto" w:fill="auto"/>
            <w:vAlign w:val="center"/>
          </w:tcPr>
          <w:p w14:paraId="3A2D0467">
            <w:pPr>
              <w:widowControl/>
              <w:jc w:val="center"/>
              <w:rPr>
                <w:kern w:val="0"/>
                <w:sz w:val="21"/>
                <w:szCs w:val="21"/>
              </w:rPr>
            </w:pPr>
            <w:r>
              <w:rPr>
                <w:kern w:val="0"/>
                <w:sz w:val="21"/>
                <w:szCs w:val="21"/>
              </w:rPr>
              <w:t>0.018</w:t>
            </w:r>
          </w:p>
        </w:tc>
        <w:tc>
          <w:tcPr>
            <w:tcW w:w="351" w:type="pct"/>
            <w:vMerge w:val="restart"/>
            <w:shd w:val="clear" w:color="auto" w:fill="auto"/>
            <w:vAlign w:val="center"/>
          </w:tcPr>
          <w:p w14:paraId="4A31BBEF">
            <w:pPr>
              <w:widowControl/>
              <w:jc w:val="center"/>
              <w:rPr>
                <w:kern w:val="0"/>
                <w:sz w:val="21"/>
                <w:szCs w:val="21"/>
              </w:rPr>
            </w:pPr>
            <w:r>
              <w:rPr>
                <w:kern w:val="0"/>
                <w:sz w:val="21"/>
                <w:szCs w:val="21"/>
              </w:rPr>
              <w:t>0.128</w:t>
            </w:r>
          </w:p>
        </w:tc>
        <w:tc>
          <w:tcPr>
            <w:tcW w:w="204" w:type="pct"/>
            <w:vMerge w:val="restart"/>
            <w:shd w:val="clear" w:color="auto" w:fill="auto"/>
            <w:vAlign w:val="center"/>
          </w:tcPr>
          <w:p w14:paraId="2BB64100">
            <w:pPr>
              <w:widowControl/>
              <w:snapToGrid w:val="0"/>
              <w:jc w:val="center"/>
              <w:rPr>
                <w:kern w:val="0"/>
                <w:sz w:val="21"/>
                <w:szCs w:val="21"/>
              </w:rPr>
            </w:pPr>
            <w:r>
              <w:rPr>
                <w:rFonts w:hint="eastAsia"/>
                <w:kern w:val="0"/>
                <w:sz w:val="21"/>
                <w:szCs w:val="21"/>
              </w:rPr>
              <w:t>10</w:t>
            </w:r>
          </w:p>
        </w:tc>
        <w:tc>
          <w:tcPr>
            <w:tcW w:w="255" w:type="pct"/>
            <w:vMerge w:val="restart"/>
            <w:shd w:val="clear" w:color="auto" w:fill="auto"/>
            <w:vAlign w:val="center"/>
          </w:tcPr>
          <w:p w14:paraId="702016D4">
            <w:pPr>
              <w:widowControl/>
              <w:snapToGrid w:val="0"/>
              <w:jc w:val="center"/>
              <w:rPr>
                <w:kern w:val="0"/>
                <w:sz w:val="21"/>
                <w:szCs w:val="21"/>
              </w:rPr>
            </w:pPr>
            <w:r>
              <w:rPr>
                <w:rFonts w:hint="eastAsia"/>
                <w:kern w:val="0"/>
                <w:sz w:val="21"/>
                <w:szCs w:val="21"/>
              </w:rPr>
              <w:t>/</w:t>
            </w:r>
          </w:p>
        </w:tc>
        <w:tc>
          <w:tcPr>
            <w:tcW w:w="203" w:type="pct"/>
            <w:vMerge w:val="continue"/>
            <w:vAlign w:val="center"/>
          </w:tcPr>
          <w:p w14:paraId="37CDE7F7">
            <w:pPr>
              <w:widowControl/>
              <w:jc w:val="center"/>
              <w:rPr>
                <w:kern w:val="0"/>
                <w:sz w:val="21"/>
                <w:szCs w:val="21"/>
              </w:rPr>
            </w:pPr>
          </w:p>
        </w:tc>
        <w:tc>
          <w:tcPr>
            <w:tcW w:w="204" w:type="pct"/>
            <w:vMerge w:val="continue"/>
            <w:vAlign w:val="center"/>
          </w:tcPr>
          <w:p w14:paraId="79B8B335">
            <w:pPr>
              <w:widowControl/>
              <w:jc w:val="center"/>
              <w:rPr>
                <w:kern w:val="0"/>
                <w:sz w:val="21"/>
                <w:szCs w:val="21"/>
              </w:rPr>
            </w:pPr>
          </w:p>
        </w:tc>
        <w:tc>
          <w:tcPr>
            <w:tcW w:w="205" w:type="pct"/>
            <w:vMerge w:val="continue"/>
            <w:vAlign w:val="center"/>
          </w:tcPr>
          <w:p w14:paraId="6D7B17E0">
            <w:pPr>
              <w:widowControl/>
              <w:jc w:val="center"/>
              <w:rPr>
                <w:kern w:val="0"/>
                <w:sz w:val="21"/>
                <w:szCs w:val="21"/>
              </w:rPr>
            </w:pPr>
          </w:p>
        </w:tc>
        <w:tc>
          <w:tcPr>
            <w:tcW w:w="251" w:type="pct"/>
            <w:vMerge w:val="continue"/>
            <w:vAlign w:val="center"/>
          </w:tcPr>
          <w:p w14:paraId="4F54093E">
            <w:pPr>
              <w:widowControl/>
              <w:jc w:val="center"/>
              <w:rPr>
                <w:rFonts w:ascii="宋体" w:hAnsi="宋体" w:cs="宋体"/>
                <w:kern w:val="0"/>
                <w:sz w:val="21"/>
                <w:szCs w:val="21"/>
              </w:rPr>
            </w:pPr>
          </w:p>
        </w:tc>
      </w:tr>
      <w:tr w14:paraId="6E6A00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0AD315FD">
            <w:pPr>
              <w:widowControl/>
              <w:jc w:val="center"/>
              <w:rPr>
                <w:kern w:val="0"/>
                <w:sz w:val="21"/>
                <w:szCs w:val="21"/>
              </w:rPr>
            </w:pPr>
          </w:p>
        </w:tc>
        <w:tc>
          <w:tcPr>
            <w:tcW w:w="280" w:type="pct"/>
            <w:vMerge w:val="continue"/>
            <w:vAlign w:val="center"/>
          </w:tcPr>
          <w:p w14:paraId="142D334B">
            <w:pPr>
              <w:widowControl/>
              <w:jc w:val="center"/>
              <w:rPr>
                <w:kern w:val="0"/>
                <w:sz w:val="21"/>
                <w:szCs w:val="21"/>
              </w:rPr>
            </w:pPr>
          </w:p>
        </w:tc>
        <w:tc>
          <w:tcPr>
            <w:tcW w:w="219" w:type="pct"/>
            <w:vMerge w:val="continue"/>
            <w:vAlign w:val="center"/>
          </w:tcPr>
          <w:p w14:paraId="663317E7">
            <w:pPr>
              <w:widowControl/>
              <w:jc w:val="center"/>
              <w:rPr>
                <w:rFonts w:ascii="宋体" w:hAnsi="宋体" w:cs="宋体"/>
                <w:kern w:val="0"/>
                <w:sz w:val="21"/>
                <w:szCs w:val="21"/>
              </w:rPr>
            </w:pPr>
          </w:p>
        </w:tc>
        <w:tc>
          <w:tcPr>
            <w:tcW w:w="251" w:type="pct"/>
            <w:shd w:val="clear" w:color="auto" w:fill="auto"/>
            <w:vAlign w:val="center"/>
          </w:tcPr>
          <w:p w14:paraId="28E5183A">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021D39B8">
            <w:pPr>
              <w:widowControl/>
              <w:jc w:val="center"/>
              <w:rPr>
                <w:kern w:val="0"/>
                <w:sz w:val="21"/>
                <w:szCs w:val="21"/>
              </w:rPr>
            </w:pPr>
            <w:r>
              <w:rPr>
                <w:kern w:val="0"/>
                <w:sz w:val="21"/>
                <w:szCs w:val="21"/>
              </w:rPr>
              <w:t>0.16</w:t>
            </w:r>
          </w:p>
        </w:tc>
        <w:tc>
          <w:tcPr>
            <w:tcW w:w="358" w:type="pct"/>
            <w:shd w:val="clear" w:color="auto" w:fill="auto"/>
            <w:vAlign w:val="center"/>
          </w:tcPr>
          <w:p w14:paraId="36630A2A">
            <w:pPr>
              <w:widowControl/>
              <w:jc w:val="center"/>
              <w:rPr>
                <w:kern w:val="0"/>
                <w:sz w:val="21"/>
                <w:szCs w:val="21"/>
              </w:rPr>
            </w:pPr>
            <w:r>
              <w:rPr>
                <w:kern w:val="0"/>
                <w:sz w:val="21"/>
                <w:szCs w:val="21"/>
              </w:rPr>
              <w:t>0.003</w:t>
            </w:r>
          </w:p>
        </w:tc>
        <w:tc>
          <w:tcPr>
            <w:tcW w:w="356" w:type="pct"/>
            <w:shd w:val="clear" w:color="auto" w:fill="auto"/>
            <w:vAlign w:val="center"/>
          </w:tcPr>
          <w:p w14:paraId="63662B54">
            <w:pPr>
              <w:widowControl/>
              <w:jc w:val="center"/>
              <w:rPr>
                <w:kern w:val="0"/>
                <w:sz w:val="21"/>
                <w:szCs w:val="21"/>
              </w:rPr>
            </w:pPr>
            <w:r>
              <w:rPr>
                <w:kern w:val="0"/>
                <w:sz w:val="21"/>
                <w:szCs w:val="21"/>
              </w:rPr>
              <w:t>0.023</w:t>
            </w:r>
          </w:p>
        </w:tc>
        <w:tc>
          <w:tcPr>
            <w:tcW w:w="263" w:type="pct"/>
            <w:vMerge w:val="continue"/>
            <w:vAlign w:val="center"/>
          </w:tcPr>
          <w:p w14:paraId="6DE6CF91">
            <w:pPr>
              <w:widowControl/>
              <w:jc w:val="center"/>
              <w:rPr>
                <w:rFonts w:ascii="宋体" w:hAnsi="宋体" w:cs="宋体"/>
                <w:kern w:val="0"/>
                <w:sz w:val="21"/>
                <w:szCs w:val="21"/>
              </w:rPr>
            </w:pPr>
          </w:p>
        </w:tc>
        <w:tc>
          <w:tcPr>
            <w:tcW w:w="177" w:type="pct"/>
            <w:vMerge w:val="continue"/>
            <w:vAlign w:val="center"/>
          </w:tcPr>
          <w:p w14:paraId="239C0542">
            <w:pPr>
              <w:widowControl/>
              <w:jc w:val="center"/>
              <w:rPr>
                <w:kern w:val="0"/>
                <w:sz w:val="21"/>
                <w:szCs w:val="21"/>
              </w:rPr>
            </w:pPr>
          </w:p>
        </w:tc>
        <w:tc>
          <w:tcPr>
            <w:tcW w:w="269" w:type="pct"/>
            <w:vMerge w:val="continue"/>
            <w:vAlign w:val="center"/>
          </w:tcPr>
          <w:p w14:paraId="5212F026">
            <w:pPr>
              <w:widowControl/>
              <w:jc w:val="center"/>
              <w:rPr>
                <w:rFonts w:ascii="宋体" w:hAnsi="宋体" w:cs="宋体"/>
                <w:kern w:val="0"/>
                <w:sz w:val="21"/>
                <w:szCs w:val="21"/>
              </w:rPr>
            </w:pPr>
          </w:p>
        </w:tc>
        <w:tc>
          <w:tcPr>
            <w:tcW w:w="302" w:type="pct"/>
            <w:vMerge w:val="continue"/>
            <w:vAlign w:val="center"/>
          </w:tcPr>
          <w:p w14:paraId="06A703F2">
            <w:pPr>
              <w:widowControl/>
              <w:jc w:val="center"/>
              <w:rPr>
                <w:kern w:val="0"/>
                <w:sz w:val="21"/>
                <w:szCs w:val="21"/>
              </w:rPr>
            </w:pPr>
          </w:p>
        </w:tc>
        <w:tc>
          <w:tcPr>
            <w:tcW w:w="389" w:type="pct"/>
            <w:vMerge w:val="continue"/>
            <w:vAlign w:val="center"/>
          </w:tcPr>
          <w:p w14:paraId="04571695">
            <w:pPr>
              <w:widowControl/>
              <w:jc w:val="center"/>
              <w:rPr>
                <w:kern w:val="0"/>
                <w:sz w:val="21"/>
                <w:szCs w:val="21"/>
              </w:rPr>
            </w:pPr>
          </w:p>
        </w:tc>
        <w:tc>
          <w:tcPr>
            <w:tcW w:w="351" w:type="pct"/>
            <w:vMerge w:val="continue"/>
            <w:vAlign w:val="center"/>
          </w:tcPr>
          <w:p w14:paraId="558F5827">
            <w:pPr>
              <w:widowControl/>
              <w:jc w:val="center"/>
              <w:rPr>
                <w:kern w:val="0"/>
                <w:sz w:val="21"/>
                <w:szCs w:val="21"/>
              </w:rPr>
            </w:pPr>
          </w:p>
        </w:tc>
        <w:tc>
          <w:tcPr>
            <w:tcW w:w="204" w:type="pct"/>
            <w:vMerge w:val="continue"/>
            <w:vAlign w:val="center"/>
          </w:tcPr>
          <w:p w14:paraId="04C5F45F">
            <w:pPr>
              <w:widowControl/>
              <w:jc w:val="center"/>
              <w:rPr>
                <w:kern w:val="0"/>
                <w:sz w:val="21"/>
                <w:szCs w:val="21"/>
              </w:rPr>
            </w:pPr>
          </w:p>
        </w:tc>
        <w:tc>
          <w:tcPr>
            <w:tcW w:w="255" w:type="pct"/>
            <w:vMerge w:val="continue"/>
            <w:vAlign w:val="center"/>
          </w:tcPr>
          <w:p w14:paraId="284E6DD0">
            <w:pPr>
              <w:widowControl/>
              <w:jc w:val="center"/>
              <w:rPr>
                <w:kern w:val="0"/>
                <w:sz w:val="21"/>
                <w:szCs w:val="21"/>
              </w:rPr>
            </w:pPr>
          </w:p>
        </w:tc>
        <w:tc>
          <w:tcPr>
            <w:tcW w:w="203" w:type="pct"/>
            <w:vMerge w:val="continue"/>
            <w:vAlign w:val="center"/>
          </w:tcPr>
          <w:p w14:paraId="7F90E24E">
            <w:pPr>
              <w:widowControl/>
              <w:jc w:val="center"/>
              <w:rPr>
                <w:kern w:val="0"/>
                <w:sz w:val="21"/>
                <w:szCs w:val="21"/>
              </w:rPr>
            </w:pPr>
          </w:p>
        </w:tc>
        <w:tc>
          <w:tcPr>
            <w:tcW w:w="204" w:type="pct"/>
            <w:vMerge w:val="continue"/>
            <w:vAlign w:val="center"/>
          </w:tcPr>
          <w:p w14:paraId="6B4C6AFF">
            <w:pPr>
              <w:widowControl/>
              <w:jc w:val="center"/>
              <w:rPr>
                <w:kern w:val="0"/>
                <w:sz w:val="21"/>
                <w:szCs w:val="21"/>
              </w:rPr>
            </w:pPr>
          </w:p>
        </w:tc>
        <w:tc>
          <w:tcPr>
            <w:tcW w:w="205" w:type="pct"/>
            <w:vMerge w:val="continue"/>
            <w:vAlign w:val="center"/>
          </w:tcPr>
          <w:p w14:paraId="0CC4B883">
            <w:pPr>
              <w:widowControl/>
              <w:jc w:val="center"/>
              <w:rPr>
                <w:kern w:val="0"/>
                <w:sz w:val="21"/>
                <w:szCs w:val="21"/>
              </w:rPr>
            </w:pPr>
          </w:p>
        </w:tc>
        <w:tc>
          <w:tcPr>
            <w:tcW w:w="251" w:type="pct"/>
            <w:vMerge w:val="continue"/>
            <w:vAlign w:val="center"/>
          </w:tcPr>
          <w:p w14:paraId="67B4250B">
            <w:pPr>
              <w:widowControl/>
              <w:jc w:val="center"/>
              <w:rPr>
                <w:rFonts w:ascii="宋体" w:hAnsi="宋体" w:cs="宋体"/>
                <w:kern w:val="0"/>
                <w:sz w:val="21"/>
                <w:szCs w:val="21"/>
              </w:rPr>
            </w:pPr>
          </w:p>
        </w:tc>
      </w:tr>
      <w:tr w14:paraId="5956AE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2CFED401">
            <w:pPr>
              <w:widowControl/>
              <w:jc w:val="center"/>
              <w:rPr>
                <w:kern w:val="0"/>
                <w:sz w:val="21"/>
                <w:szCs w:val="21"/>
              </w:rPr>
            </w:pPr>
          </w:p>
        </w:tc>
        <w:tc>
          <w:tcPr>
            <w:tcW w:w="280" w:type="pct"/>
            <w:vMerge w:val="continue"/>
            <w:vAlign w:val="center"/>
          </w:tcPr>
          <w:p w14:paraId="7A0FDAF6">
            <w:pPr>
              <w:widowControl/>
              <w:jc w:val="center"/>
              <w:rPr>
                <w:kern w:val="0"/>
                <w:sz w:val="21"/>
                <w:szCs w:val="21"/>
              </w:rPr>
            </w:pPr>
          </w:p>
        </w:tc>
        <w:tc>
          <w:tcPr>
            <w:tcW w:w="219" w:type="pct"/>
            <w:vMerge w:val="continue"/>
            <w:vAlign w:val="center"/>
          </w:tcPr>
          <w:p w14:paraId="0A6A3692">
            <w:pPr>
              <w:widowControl/>
              <w:jc w:val="center"/>
              <w:rPr>
                <w:rFonts w:ascii="宋体" w:hAnsi="宋体" w:cs="宋体"/>
                <w:kern w:val="0"/>
                <w:sz w:val="21"/>
                <w:szCs w:val="21"/>
              </w:rPr>
            </w:pPr>
          </w:p>
        </w:tc>
        <w:tc>
          <w:tcPr>
            <w:tcW w:w="251" w:type="pct"/>
            <w:shd w:val="clear" w:color="auto" w:fill="auto"/>
            <w:vAlign w:val="center"/>
          </w:tcPr>
          <w:p w14:paraId="3BD987B0">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7F6554CB">
            <w:pPr>
              <w:widowControl/>
              <w:jc w:val="center"/>
              <w:rPr>
                <w:kern w:val="0"/>
                <w:sz w:val="21"/>
                <w:szCs w:val="21"/>
              </w:rPr>
            </w:pPr>
            <w:r>
              <w:rPr>
                <w:kern w:val="0"/>
                <w:sz w:val="21"/>
                <w:szCs w:val="21"/>
              </w:rPr>
              <w:t>1.03</w:t>
            </w:r>
          </w:p>
        </w:tc>
        <w:tc>
          <w:tcPr>
            <w:tcW w:w="358" w:type="pct"/>
            <w:shd w:val="clear" w:color="auto" w:fill="auto"/>
            <w:vAlign w:val="center"/>
          </w:tcPr>
          <w:p w14:paraId="19F44E7F">
            <w:pPr>
              <w:widowControl/>
              <w:jc w:val="center"/>
              <w:rPr>
                <w:kern w:val="0"/>
                <w:sz w:val="21"/>
                <w:szCs w:val="21"/>
              </w:rPr>
            </w:pPr>
            <w:r>
              <w:rPr>
                <w:kern w:val="0"/>
                <w:sz w:val="21"/>
                <w:szCs w:val="21"/>
              </w:rPr>
              <w:t>0.021</w:t>
            </w:r>
          </w:p>
        </w:tc>
        <w:tc>
          <w:tcPr>
            <w:tcW w:w="356" w:type="pct"/>
            <w:shd w:val="clear" w:color="auto" w:fill="auto"/>
            <w:vAlign w:val="center"/>
          </w:tcPr>
          <w:p w14:paraId="5743B7A9">
            <w:pPr>
              <w:widowControl/>
              <w:jc w:val="center"/>
              <w:rPr>
                <w:kern w:val="0"/>
                <w:sz w:val="21"/>
                <w:szCs w:val="21"/>
              </w:rPr>
            </w:pPr>
            <w:r>
              <w:rPr>
                <w:kern w:val="0"/>
                <w:sz w:val="21"/>
                <w:szCs w:val="21"/>
              </w:rPr>
              <w:t>0.149</w:t>
            </w:r>
          </w:p>
        </w:tc>
        <w:tc>
          <w:tcPr>
            <w:tcW w:w="263" w:type="pct"/>
            <w:vMerge w:val="continue"/>
            <w:vAlign w:val="center"/>
          </w:tcPr>
          <w:p w14:paraId="1877840A">
            <w:pPr>
              <w:widowControl/>
              <w:jc w:val="center"/>
              <w:rPr>
                <w:rFonts w:ascii="宋体" w:hAnsi="宋体" w:cs="宋体"/>
                <w:kern w:val="0"/>
                <w:sz w:val="21"/>
                <w:szCs w:val="21"/>
              </w:rPr>
            </w:pPr>
          </w:p>
        </w:tc>
        <w:tc>
          <w:tcPr>
            <w:tcW w:w="177" w:type="pct"/>
            <w:vMerge w:val="continue"/>
            <w:vAlign w:val="center"/>
          </w:tcPr>
          <w:p w14:paraId="7FF67263">
            <w:pPr>
              <w:widowControl/>
              <w:jc w:val="center"/>
              <w:rPr>
                <w:kern w:val="0"/>
                <w:sz w:val="21"/>
                <w:szCs w:val="21"/>
              </w:rPr>
            </w:pPr>
          </w:p>
        </w:tc>
        <w:tc>
          <w:tcPr>
            <w:tcW w:w="269" w:type="pct"/>
            <w:vMerge w:val="continue"/>
            <w:vAlign w:val="center"/>
          </w:tcPr>
          <w:p w14:paraId="003D9610">
            <w:pPr>
              <w:widowControl/>
              <w:jc w:val="center"/>
              <w:rPr>
                <w:rFonts w:ascii="宋体" w:hAnsi="宋体" w:cs="宋体"/>
                <w:kern w:val="0"/>
                <w:sz w:val="21"/>
                <w:szCs w:val="21"/>
              </w:rPr>
            </w:pPr>
          </w:p>
        </w:tc>
        <w:tc>
          <w:tcPr>
            <w:tcW w:w="302" w:type="pct"/>
            <w:vMerge w:val="continue"/>
            <w:vAlign w:val="center"/>
          </w:tcPr>
          <w:p w14:paraId="3BB1166B">
            <w:pPr>
              <w:widowControl/>
              <w:jc w:val="center"/>
              <w:rPr>
                <w:kern w:val="0"/>
                <w:sz w:val="21"/>
                <w:szCs w:val="21"/>
              </w:rPr>
            </w:pPr>
          </w:p>
        </w:tc>
        <w:tc>
          <w:tcPr>
            <w:tcW w:w="389" w:type="pct"/>
            <w:vMerge w:val="continue"/>
            <w:vAlign w:val="center"/>
          </w:tcPr>
          <w:p w14:paraId="79910D7C">
            <w:pPr>
              <w:widowControl/>
              <w:jc w:val="center"/>
              <w:rPr>
                <w:kern w:val="0"/>
                <w:sz w:val="21"/>
                <w:szCs w:val="21"/>
              </w:rPr>
            </w:pPr>
          </w:p>
        </w:tc>
        <w:tc>
          <w:tcPr>
            <w:tcW w:w="351" w:type="pct"/>
            <w:vMerge w:val="continue"/>
            <w:vAlign w:val="center"/>
          </w:tcPr>
          <w:p w14:paraId="565CA937">
            <w:pPr>
              <w:widowControl/>
              <w:jc w:val="center"/>
              <w:rPr>
                <w:kern w:val="0"/>
                <w:sz w:val="21"/>
                <w:szCs w:val="21"/>
              </w:rPr>
            </w:pPr>
          </w:p>
        </w:tc>
        <w:tc>
          <w:tcPr>
            <w:tcW w:w="204" w:type="pct"/>
            <w:vMerge w:val="continue"/>
            <w:vAlign w:val="center"/>
          </w:tcPr>
          <w:p w14:paraId="150D9048">
            <w:pPr>
              <w:widowControl/>
              <w:jc w:val="center"/>
              <w:rPr>
                <w:kern w:val="0"/>
                <w:sz w:val="21"/>
                <w:szCs w:val="21"/>
              </w:rPr>
            </w:pPr>
          </w:p>
        </w:tc>
        <w:tc>
          <w:tcPr>
            <w:tcW w:w="255" w:type="pct"/>
            <w:vMerge w:val="continue"/>
            <w:vAlign w:val="center"/>
          </w:tcPr>
          <w:p w14:paraId="340C2E61">
            <w:pPr>
              <w:widowControl/>
              <w:jc w:val="center"/>
              <w:rPr>
                <w:kern w:val="0"/>
                <w:sz w:val="21"/>
                <w:szCs w:val="21"/>
              </w:rPr>
            </w:pPr>
          </w:p>
        </w:tc>
        <w:tc>
          <w:tcPr>
            <w:tcW w:w="203" w:type="pct"/>
            <w:vMerge w:val="continue"/>
            <w:vAlign w:val="center"/>
          </w:tcPr>
          <w:p w14:paraId="701A0DF5">
            <w:pPr>
              <w:widowControl/>
              <w:jc w:val="center"/>
              <w:rPr>
                <w:kern w:val="0"/>
                <w:sz w:val="21"/>
                <w:szCs w:val="21"/>
              </w:rPr>
            </w:pPr>
          </w:p>
        </w:tc>
        <w:tc>
          <w:tcPr>
            <w:tcW w:w="204" w:type="pct"/>
            <w:vMerge w:val="continue"/>
            <w:vAlign w:val="center"/>
          </w:tcPr>
          <w:p w14:paraId="6E739B2E">
            <w:pPr>
              <w:widowControl/>
              <w:jc w:val="center"/>
              <w:rPr>
                <w:kern w:val="0"/>
                <w:sz w:val="21"/>
                <w:szCs w:val="21"/>
              </w:rPr>
            </w:pPr>
          </w:p>
        </w:tc>
        <w:tc>
          <w:tcPr>
            <w:tcW w:w="205" w:type="pct"/>
            <w:vMerge w:val="continue"/>
            <w:vAlign w:val="center"/>
          </w:tcPr>
          <w:p w14:paraId="1F145BAF">
            <w:pPr>
              <w:widowControl/>
              <w:jc w:val="center"/>
              <w:rPr>
                <w:kern w:val="0"/>
                <w:sz w:val="21"/>
                <w:szCs w:val="21"/>
              </w:rPr>
            </w:pPr>
          </w:p>
        </w:tc>
        <w:tc>
          <w:tcPr>
            <w:tcW w:w="251" w:type="pct"/>
            <w:vMerge w:val="continue"/>
            <w:vAlign w:val="center"/>
          </w:tcPr>
          <w:p w14:paraId="2B1AC311">
            <w:pPr>
              <w:widowControl/>
              <w:jc w:val="center"/>
              <w:rPr>
                <w:rFonts w:ascii="宋体" w:hAnsi="宋体" w:cs="宋体"/>
                <w:kern w:val="0"/>
                <w:sz w:val="21"/>
                <w:szCs w:val="21"/>
              </w:rPr>
            </w:pPr>
          </w:p>
        </w:tc>
      </w:tr>
      <w:tr w14:paraId="0F6901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1DF2FD33">
            <w:pPr>
              <w:widowControl/>
              <w:jc w:val="center"/>
              <w:rPr>
                <w:kern w:val="0"/>
                <w:sz w:val="21"/>
                <w:szCs w:val="21"/>
              </w:rPr>
            </w:pPr>
          </w:p>
        </w:tc>
        <w:tc>
          <w:tcPr>
            <w:tcW w:w="280" w:type="pct"/>
            <w:vMerge w:val="continue"/>
            <w:vAlign w:val="center"/>
          </w:tcPr>
          <w:p w14:paraId="37C01A59">
            <w:pPr>
              <w:widowControl/>
              <w:jc w:val="center"/>
              <w:rPr>
                <w:kern w:val="0"/>
                <w:sz w:val="21"/>
                <w:szCs w:val="21"/>
              </w:rPr>
            </w:pPr>
          </w:p>
        </w:tc>
        <w:tc>
          <w:tcPr>
            <w:tcW w:w="219" w:type="pct"/>
            <w:vMerge w:val="restart"/>
            <w:shd w:val="clear" w:color="auto" w:fill="auto"/>
            <w:vAlign w:val="center"/>
          </w:tcPr>
          <w:p w14:paraId="240CD046">
            <w:pPr>
              <w:widowControl/>
              <w:jc w:val="center"/>
              <w:rPr>
                <w:rFonts w:ascii="宋体" w:hAnsi="宋体" w:cs="宋体"/>
                <w:kern w:val="0"/>
                <w:sz w:val="21"/>
                <w:szCs w:val="21"/>
              </w:rPr>
            </w:pPr>
            <w:r>
              <w:rPr>
                <w:rFonts w:hint="eastAsia" w:ascii="宋体" w:hAnsi="宋体" w:cs="宋体"/>
                <w:kern w:val="0"/>
                <w:sz w:val="21"/>
                <w:szCs w:val="21"/>
              </w:rPr>
              <w:t>挤出预成型</w:t>
            </w:r>
          </w:p>
        </w:tc>
        <w:tc>
          <w:tcPr>
            <w:tcW w:w="251" w:type="pct"/>
            <w:shd w:val="clear" w:color="auto" w:fill="auto"/>
            <w:vAlign w:val="center"/>
          </w:tcPr>
          <w:p w14:paraId="6E02A57E">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07CCE826">
            <w:pPr>
              <w:widowControl/>
              <w:jc w:val="center"/>
              <w:rPr>
                <w:kern w:val="0"/>
                <w:sz w:val="21"/>
                <w:szCs w:val="21"/>
              </w:rPr>
            </w:pPr>
            <w:r>
              <w:rPr>
                <w:kern w:val="0"/>
                <w:sz w:val="21"/>
                <w:szCs w:val="21"/>
              </w:rPr>
              <w:t>0.59</w:t>
            </w:r>
          </w:p>
        </w:tc>
        <w:tc>
          <w:tcPr>
            <w:tcW w:w="358" w:type="pct"/>
            <w:shd w:val="clear" w:color="auto" w:fill="auto"/>
            <w:vAlign w:val="center"/>
          </w:tcPr>
          <w:p w14:paraId="35416BDD">
            <w:pPr>
              <w:widowControl/>
              <w:jc w:val="center"/>
              <w:rPr>
                <w:kern w:val="0"/>
                <w:sz w:val="21"/>
                <w:szCs w:val="21"/>
              </w:rPr>
            </w:pPr>
            <w:r>
              <w:rPr>
                <w:kern w:val="0"/>
                <w:sz w:val="21"/>
                <w:szCs w:val="21"/>
              </w:rPr>
              <w:t>0.012</w:t>
            </w:r>
          </w:p>
        </w:tc>
        <w:tc>
          <w:tcPr>
            <w:tcW w:w="356" w:type="pct"/>
            <w:shd w:val="clear" w:color="auto" w:fill="auto"/>
            <w:vAlign w:val="center"/>
          </w:tcPr>
          <w:p w14:paraId="658FC2C0">
            <w:pPr>
              <w:widowControl/>
              <w:jc w:val="center"/>
              <w:rPr>
                <w:kern w:val="0"/>
                <w:sz w:val="21"/>
                <w:szCs w:val="21"/>
              </w:rPr>
            </w:pPr>
            <w:r>
              <w:rPr>
                <w:kern w:val="0"/>
                <w:sz w:val="21"/>
                <w:szCs w:val="21"/>
              </w:rPr>
              <w:t>0.085</w:t>
            </w:r>
          </w:p>
        </w:tc>
        <w:tc>
          <w:tcPr>
            <w:tcW w:w="263" w:type="pct"/>
            <w:vMerge w:val="continue"/>
            <w:vAlign w:val="center"/>
          </w:tcPr>
          <w:p w14:paraId="4EDA6330">
            <w:pPr>
              <w:widowControl/>
              <w:jc w:val="center"/>
              <w:rPr>
                <w:rFonts w:ascii="宋体" w:hAnsi="宋体" w:cs="宋体"/>
                <w:kern w:val="0"/>
                <w:sz w:val="21"/>
                <w:szCs w:val="21"/>
              </w:rPr>
            </w:pPr>
          </w:p>
        </w:tc>
        <w:tc>
          <w:tcPr>
            <w:tcW w:w="177" w:type="pct"/>
            <w:vMerge w:val="continue"/>
            <w:vAlign w:val="center"/>
          </w:tcPr>
          <w:p w14:paraId="597C4492">
            <w:pPr>
              <w:widowControl/>
              <w:jc w:val="center"/>
              <w:rPr>
                <w:kern w:val="0"/>
                <w:sz w:val="21"/>
                <w:szCs w:val="21"/>
              </w:rPr>
            </w:pPr>
          </w:p>
        </w:tc>
        <w:tc>
          <w:tcPr>
            <w:tcW w:w="269" w:type="pct"/>
            <w:vMerge w:val="continue"/>
            <w:vAlign w:val="center"/>
          </w:tcPr>
          <w:p w14:paraId="2F5DF695">
            <w:pPr>
              <w:widowControl/>
              <w:jc w:val="center"/>
              <w:rPr>
                <w:rFonts w:ascii="宋体" w:hAnsi="宋体" w:cs="宋体"/>
                <w:kern w:val="0"/>
                <w:sz w:val="21"/>
                <w:szCs w:val="21"/>
              </w:rPr>
            </w:pPr>
          </w:p>
        </w:tc>
        <w:tc>
          <w:tcPr>
            <w:tcW w:w="302" w:type="pct"/>
            <w:vMerge w:val="continue"/>
            <w:vAlign w:val="center"/>
          </w:tcPr>
          <w:p w14:paraId="2B03B5A2">
            <w:pPr>
              <w:widowControl/>
              <w:jc w:val="center"/>
              <w:rPr>
                <w:kern w:val="0"/>
                <w:sz w:val="21"/>
                <w:szCs w:val="21"/>
              </w:rPr>
            </w:pPr>
          </w:p>
        </w:tc>
        <w:tc>
          <w:tcPr>
            <w:tcW w:w="389" w:type="pct"/>
            <w:vMerge w:val="continue"/>
            <w:vAlign w:val="center"/>
          </w:tcPr>
          <w:p w14:paraId="33224D7F">
            <w:pPr>
              <w:widowControl/>
              <w:jc w:val="center"/>
              <w:rPr>
                <w:kern w:val="0"/>
                <w:sz w:val="21"/>
                <w:szCs w:val="21"/>
              </w:rPr>
            </w:pPr>
          </w:p>
        </w:tc>
        <w:tc>
          <w:tcPr>
            <w:tcW w:w="351" w:type="pct"/>
            <w:vMerge w:val="continue"/>
            <w:vAlign w:val="center"/>
          </w:tcPr>
          <w:p w14:paraId="47A9415D">
            <w:pPr>
              <w:widowControl/>
              <w:jc w:val="center"/>
              <w:rPr>
                <w:kern w:val="0"/>
                <w:sz w:val="21"/>
                <w:szCs w:val="21"/>
              </w:rPr>
            </w:pPr>
          </w:p>
        </w:tc>
        <w:tc>
          <w:tcPr>
            <w:tcW w:w="204" w:type="pct"/>
            <w:vMerge w:val="continue"/>
            <w:vAlign w:val="center"/>
          </w:tcPr>
          <w:p w14:paraId="062DBC63">
            <w:pPr>
              <w:widowControl/>
              <w:jc w:val="center"/>
              <w:rPr>
                <w:kern w:val="0"/>
                <w:sz w:val="21"/>
                <w:szCs w:val="21"/>
              </w:rPr>
            </w:pPr>
          </w:p>
        </w:tc>
        <w:tc>
          <w:tcPr>
            <w:tcW w:w="255" w:type="pct"/>
            <w:vMerge w:val="continue"/>
            <w:vAlign w:val="center"/>
          </w:tcPr>
          <w:p w14:paraId="32B248FF">
            <w:pPr>
              <w:widowControl/>
              <w:jc w:val="center"/>
              <w:rPr>
                <w:kern w:val="0"/>
                <w:sz w:val="21"/>
                <w:szCs w:val="21"/>
              </w:rPr>
            </w:pPr>
          </w:p>
        </w:tc>
        <w:tc>
          <w:tcPr>
            <w:tcW w:w="203" w:type="pct"/>
            <w:vMerge w:val="continue"/>
            <w:vAlign w:val="center"/>
          </w:tcPr>
          <w:p w14:paraId="65A3DF7A">
            <w:pPr>
              <w:widowControl/>
              <w:jc w:val="center"/>
              <w:rPr>
                <w:kern w:val="0"/>
                <w:sz w:val="21"/>
                <w:szCs w:val="21"/>
              </w:rPr>
            </w:pPr>
          </w:p>
        </w:tc>
        <w:tc>
          <w:tcPr>
            <w:tcW w:w="204" w:type="pct"/>
            <w:vMerge w:val="continue"/>
            <w:vAlign w:val="center"/>
          </w:tcPr>
          <w:p w14:paraId="0A33DD24">
            <w:pPr>
              <w:widowControl/>
              <w:jc w:val="center"/>
              <w:rPr>
                <w:kern w:val="0"/>
                <w:sz w:val="21"/>
                <w:szCs w:val="21"/>
              </w:rPr>
            </w:pPr>
          </w:p>
        </w:tc>
        <w:tc>
          <w:tcPr>
            <w:tcW w:w="205" w:type="pct"/>
            <w:vMerge w:val="continue"/>
            <w:vAlign w:val="center"/>
          </w:tcPr>
          <w:p w14:paraId="443C4115">
            <w:pPr>
              <w:widowControl/>
              <w:jc w:val="center"/>
              <w:rPr>
                <w:kern w:val="0"/>
                <w:sz w:val="21"/>
                <w:szCs w:val="21"/>
              </w:rPr>
            </w:pPr>
          </w:p>
        </w:tc>
        <w:tc>
          <w:tcPr>
            <w:tcW w:w="251" w:type="pct"/>
            <w:vMerge w:val="continue"/>
            <w:vAlign w:val="center"/>
          </w:tcPr>
          <w:p w14:paraId="72C22667">
            <w:pPr>
              <w:widowControl/>
              <w:jc w:val="center"/>
              <w:rPr>
                <w:rFonts w:ascii="宋体" w:hAnsi="宋体" w:cs="宋体"/>
                <w:kern w:val="0"/>
                <w:sz w:val="21"/>
                <w:szCs w:val="21"/>
              </w:rPr>
            </w:pPr>
          </w:p>
        </w:tc>
      </w:tr>
      <w:tr w14:paraId="22E21F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6DD43A9B">
            <w:pPr>
              <w:widowControl/>
              <w:jc w:val="center"/>
              <w:rPr>
                <w:kern w:val="0"/>
                <w:sz w:val="21"/>
                <w:szCs w:val="21"/>
              </w:rPr>
            </w:pPr>
          </w:p>
        </w:tc>
        <w:tc>
          <w:tcPr>
            <w:tcW w:w="280" w:type="pct"/>
            <w:vMerge w:val="continue"/>
            <w:vAlign w:val="center"/>
          </w:tcPr>
          <w:p w14:paraId="5BA94FD1">
            <w:pPr>
              <w:widowControl/>
              <w:jc w:val="center"/>
              <w:rPr>
                <w:kern w:val="0"/>
                <w:sz w:val="21"/>
                <w:szCs w:val="21"/>
              </w:rPr>
            </w:pPr>
          </w:p>
        </w:tc>
        <w:tc>
          <w:tcPr>
            <w:tcW w:w="219" w:type="pct"/>
            <w:vMerge w:val="continue"/>
            <w:vAlign w:val="center"/>
          </w:tcPr>
          <w:p w14:paraId="3C18ECA7">
            <w:pPr>
              <w:widowControl/>
              <w:jc w:val="center"/>
              <w:rPr>
                <w:rFonts w:ascii="宋体" w:hAnsi="宋体" w:cs="宋体"/>
                <w:kern w:val="0"/>
                <w:sz w:val="21"/>
                <w:szCs w:val="21"/>
              </w:rPr>
            </w:pPr>
          </w:p>
        </w:tc>
        <w:tc>
          <w:tcPr>
            <w:tcW w:w="251" w:type="pct"/>
            <w:shd w:val="clear" w:color="auto" w:fill="auto"/>
            <w:vAlign w:val="center"/>
          </w:tcPr>
          <w:p w14:paraId="4CCE0555">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69B41EBD">
            <w:pPr>
              <w:widowControl/>
              <w:jc w:val="center"/>
              <w:rPr>
                <w:kern w:val="0"/>
                <w:sz w:val="21"/>
                <w:szCs w:val="21"/>
              </w:rPr>
            </w:pPr>
            <w:r>
              <w:rPr>
                <w:kern w:val="0"/>
                <w:sz w:val="21"/>
                <w:szCs w:val="21"/>
              </w:rPr>
              <w:t>1.38</w:t>
            </w:r>
          </w:p>
        </w:tc>
        <w:tc>
          <w:tcPr>
            <w:tcW w:w="358" w:type="pct"/>
            <w:shd w:val="clear" w:color="auto" w:fill="auto"/>
            <w:vAlign w:val="center"/>
          </w:tcPr>
          <w:p w14:paraId="76C70AD1">
            <w:pPr>
              <w:widowControl/>
              <w:jc w:val="center"/>
              <w:rPr>
                <w:kern w:val="0"/>
                <w:sz w:val="21"/>
                <w:szCs w:val="21"/>
              </w:rPr>
            </w:pPr>
            <w:r>
              <w:rPr>
                <w:kern w:val="0"/>
                <w:sz w:val="21"/>
                <w:szCs w:val="21"/>
              </w:rPr>
              <w:t>0.028</w:t>
            </w:r>
          </w:p>
        </w:tc>
        <w:tc>
          <w:tcPr>
            <w:tcW w:w="356" w:type="pct"/>
            <w:shd w:val="clear" w:color="auto" w:fill="auto"/>
            <w:vAlign w:val="center"/>
          </w:tcPr>
          <w:p w14:paraId="0315CD3B">
            <w:pPr>
              <w:widowControl/>
              <w:jc w:val="center"/>
              <w:rPr>
                <w:kern w:val="0"/>
                <w:sz w:val="21"/>
                <w:szCs w:val="21"/>
              </w:rPr>
            </w:pPr>
            <w:r>
              <w:rPr>
                <w:kern w:val="0"/>
                <w:sz w:val="21"/>
                <w:szCs w:val="21"/>
              </w:rPr>
              <w:t>0.198</w:t>
            </w:r>
          </w:p>
        </w:tc>
        <w:tc>
          <w:tcPr>
            <w:tcW w:w="263" w:type="pct"/>
            <w:vMerge w:val="continue"/>
            <w:vAlign w:val="center"/>
          </w:tcPr>
          <w:p w14:paraId="3EC10286">
            <w:pPr>
              <w:widowControl/>
              <w:jc w:val="center"/>
              <w:rPr>
                <w:rFonts w:ascii="宋体" w:hAnsi="宋体" w:cs="宋体"/>
                <w:kern w:val="0"/>
                <w:sz w:val="21"/>
                <w:szCs w:val="21"/>
              </w:rPr>
            </w:pPr>
          </w:p>
        </w:tc>
        <w:tc>
          <w:tcPr>
            <w:tcW w:w="177" w:type="pct"/>
            <w:vMerge w:val="continue"/>
            <w:vAlign w:val="center"/>
          </w:tcPr>
          <w:p w14:paraId="42CADAE7">
            <w:pPr>
              <w:widowControl/>
              <w:jc w:val="center"/>
              <w:rPr>
                <w:kern w:val="0"/>
                <w:sz w:val="21"/>
                <w:szCs w:val="21"/>
              </w:rPr>
            </w:pPr>
          </w:p>
        </w:tc>
        <w:tc>
          <w:tcPr>
            <w:tcW w:w="269" w:type="pct"/>
            <w:vMerge w:val="continue"/>
            <w:vAlign w:val="center"/>
          </w:tcPr>
          <w:p w14:paraId="44D13B2A">
            <w:pPr>
              <w:widowControl/>
              <w:jc w:val="center"/>
              <w:rPr>
                <w:rFonts w:ascii="宋体" w:hAnsi="宋体" w:cs="宋体"/>
                <w:kern w:val="0"/>
                <w:sz w:val="21"/>
                <w:szCs w:val="21"/>
              </w:rPr>
            </w:pPr>
          </w:p>
        </w:tc>
        <w:tc>
          <w:tcPr>
            <w:tcW w:w="302" w:type="pct"/>
            <w:vMerge w:val="continue"/>
            <w:vAlign w:val="center"/>
          </w:tcPr>
          <w:p w14:paraId="4A249787">
            <w:pPr>
              <w:widowControl/>
              <w:jc w:val="center"/>
              <w:rPr>
                <w:kern w:val="0"/>
                <w:sz w:val="21"/>
                <w:szCs w:val="21"/>
              </w:rPr>
            </w:pPr>
          </w:p>
        </w:tc>
        <w:tc>
          <w:tcPr>
            <w:tcW w:w="389" w:type="pct"/>
            <w:vMerge w:val="continue"/>
            <w:vAlign w:val="center"/>
          </w:tcPr>
          <w:p w14:paraId="699B0A78">
            <w:pPr>
              <w:widowControl/>
              <w:jc w:val="center"/>
              <w:rPr>
                <w:kern w:val="0"/>
                <w:sz w:val="21"/>
                <w:szCs w:val="21"/>
              </w:rPr>
            </w:pPr>
          </w:p>
        </w:tc>
        <w:tc>
          <w:tcPr>
            <w:tcW w:w="351" w:type="pct"/>
            <w:vMerge w:val="continue"/>
            <w:vAlign w:val="center"/>
          </w:tcPr>
          <w:p w14:paraId="2C3E57D9">
            <w:pPr>
              <w:widowControl/>
              <w:jc w:val="center"/>
              <w:rPr>
                <w:kern w:val="0"/>
                <w:sz w:val="21"/>
                <w:szCs w:val="21"/>
              </w:rPr>
            </w:pPr>
          </w:p>
        </w:tc>
        <w:tc>
          <w:tcPr>
            <w:tcW w:w="204" w:type="pct"/>
            <w:vMerge w:val="continue"/>
            <w:vAlign w:val="center"/>
          </w:tcPr>
          <w:p w14:paraId="320C5858">
            <w:pPr>
              <w:widowControl/>
              <w:jc w:val="center"/>
              <w:rPr>
                <w:kern w:val="0"/>
                <w:sz w:val="21"/>
                <w:szCs w:val="21"/>
              </w:rPr>
            </w:pPr>
          </w:p>
        </w:tc>
        <w:tc>
          <w:tcPr>
            <w:tcW w:w="255" w:type="pct"/>
            <w:vMerge w:val="continue"/>
            <w:vAlign w:val="center"/>
          </w:tcPr>
          <w:p w14:paraId="3E6335CF">
            <w:pPr>
              <w:widowControl/>
              <w:jc w:val="center"/>
              <w:rPr>
                <w:kern w:val="0"/>
                <w:sz w:val="21"/>
                <w:szCs w:val="21"/>
              </w:rPr>
            </w:pPr>
          </w:p>
        </w:tc>
        <w:tc>
          <w:tcPr>
            <w:tcW w:w="203" w:type="pct"/>
            <w:vMerge w:val="continue"/>
            <w:vAlign w:val="center"/>
          </w:tcPr>
          <w:p w14:paraId="2F2EA377">
            <w:pPr>
              <w:widowControl/>
              <w:jc w:val="center"/>
              <w:rPr>
                <w:kern w:val="0"/>
                <w:sz w:val="21"/>
                <w:szCs w:val="21"/>
              </w:rPr>
            </w:pPr>
          </w:p>
        </w:tc>
        <w:tc>
          <w:tcPr>
            <w:tcW w:w="204" w:type="pct"/>
            <w:vMerge w:val="continue"/>
            <w:vAlign w:val="center"/>
          </w:tcPr>
          <w:p w14:paraId="0B4980D8">
            <w:pPr>
              <w:widowControl/>
              <w:jc w:val="center"/>
              <w:rPr>
                <w:kern w:val="0"/>
                <w:sz w:val="21"/>
                <w:szCs w:val="21"/>
              </w:rPr>
            </w:pPr>
          </w:p>
        </w:tc>
        <w:tc>
          <w:tcPr>
            <w:tcW w:w="205" w:type="pct"/>
            <w:vMerge w:val="continue"/>
            <w:vAlign w:val="center"/>
          </w:tcPr>
          <w:p w14:paraId="1CC88F9A">
            <w:pPr>
              <w:widowControl/>
              <w:jc w:val="center"/>
              <w:rPr>
                <w:kern w:val="0"/>
                <w:sz w:val="21"/>
                <w:szCs w:val="21"/>
              </w:rPr>
            </w:pPr>
          </w:p>
        </w:tc>
        <w:tc>
          <w:tcPr>
            <w:tcW w:w="251" w:type="pct"/>
            <w:vMerge w:val="continue"/>
            <w:vAlign w:val="center"/>
          </w:tcPr>
          <w:p w14:paraId="48B67D7F">
            <w:pPr>
              <w:widowControl/>
              <w:jc w:val="center"/>
              <w:rPr>
                <w:rFonts w:ascii="宋体" w:hAnsi="宋体" w:cs="宋体"/>
                <w:kern w:val="0"/>
                <w:sz w:val="21"/>
                <w:szCs w:val="21"/>
              </w:rPr>
            </w:pPr>
          </w:p>
        </w:tc>
      </w:tr>
      <w:tr w14:paraId="428B2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 w:type="pct"/>
            <w:vMerge w:val="restart"/>
            <w:shd w:val="clear" w:color="auto" w:fill="auto"/>
            <w:vAlign w:val="center"/>
          </w:tcPr>
          <w:p w14:paraId="652794D0">
            <w:pPr>
              <w:widowControl/>
              <w:jc w:val="center"/>
              <w:rPr>
                <w:kern w:val="0"/>
                <w:sz w:val="21"/>
                <w:szCs w:val="21"/>
              </w:rPr>
            </w:pPr>
            <w:r>
              <w:rPr>
                <w:kern w:val="0"/>
                <w:sz w:val="21"/>
                <w:szCs w:val="21"/>
              </w:rPr>
              <w:t>2#</w:t>
            </w:r>
          </w:p>
        </w:tc>
        <w:tc>
          <w:tcPr>
            <w:tcW w:w="280" w:type="pct"/>
            <w:vMerge w:val="restart"/>
            <w:shd w:val="clear" w:color="auto" w:fill="auto"/>
            <w:vAlign w:val="center"/>
          </w:tcPr>
          <w:p w14:paraId="488D68F2">
            <w:pPr>
              <w:widowControl/>
              <w:jc w:val="center"/>
              <w:rPr>
                <w:kern w:val="0"/>
                <w:sz w:val="21"/>
                <w:szCs w:val="21"/>
              </w:rPr>
            </w:pPr>
            <w:r>
              <w:rPr>
                <w:kern w:val="0"/>
                <w:sz w:val="21"/>
                <w:szCs w:val="21"/>
              </w:rPr>
              <w:t>28200</w:t>
            </w:r>
          </w:p>
        </w:tc>
        <w:tc>
          <w:tcPr>
            <w:tcW w:w="219" w:type="pct"/>
            <w:vMerge w:val="restart"/>
            <w:shd w:val="clear" w:color="auto" w:fill="auto"/>
            <w:vAlign w:val="center"/>
          </w:tcPr>
          <w:p w14:paraId="7DA58358">
            <w:pPr>
              <w:widowControl/>
              <w:jc w:val="center"/>
              <w:rPr>
                <w:rFonts w:ascii="宋体" w:hAnsi="宋体" w:cs="宋体"/>
                <w:kern w:val="0"/>
                <w:sz w:val="21"/>
                <w:szCs w:val="21"/>
              </w:rPr>
            </w:pPr>
            <w:r>
              <w:rPr>
                <w:rFonts w:hint="eastAsia" w:ascii="宋体" w:hAnsi="宋体" w:cs="宋体"/>
                <w:kern w:val="0"/>
                <w:sz w:val="21"/>
                <w:szCs w:val="21"/>
              </w:rPr>
              <w:t>混炼</w:t>
            </w:r>
          </w:p>
        </w:tc>
        <w:tc>
          <w:tcPr>
            <w:tcW w:w="251" w:type="pct"/>
            <w:shd w:val="clear" w:color="auto" w:fill="auto"/>
            <w:vAlign w:val="center"/>
          </w:tcPr>
          <w:p w14:paraId="031C5908">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5" w:type="pct"/>
            <w:shd w:val="clear" w:color="auto" w:fill="auto"/>
            <w:vAlign w:val="center"/>
          </w:tcPr>
          <w:p w14:paraId="4A1767C7">
            <w:pPr>
              <w:widowControl/>
              <w:jc w:val="center"/>
              <w:rPr>
                <w:kern w:val="0"/>
                <w:sz w:val="21"/>
                <w:szCs w:val="21"/>
              </w:rPr>
            </w:pPr>
            <w:r>
              <w:rPr>
                <w:kern w:val="0"/>
                <w:sz w:val="21"/>
                <w:szCs w:val="21"/>
              </w:rPr>
              <w:t>67.6</w:t>
            </w:r>
          </w:p>
        </w:tc>
        <w:tc>
          <w:tcPr>
            <w:tcW w:w="358" w:type="pct"/>
            <w:shd w:val="clear" w:color="auto" w:fill="auto"/>
            <w:vAlign w:val="center"/>
          </w:tcPr>
          <w:p w14:paraId="78EAAD47">
            <w:pPr>
              <w:widowControl/>
              <w:jc w:val="center"/>
              <w:rPr>
                <w:kern w:val="0"/>
                <w:sz w:val="21"/>
                <w:szCs w:val="21"/>
              </w:rPr>
            </w:pPr>
            <w:r>
              <w:rPr>
                <w:kern w:val="0"/>
                <w:sz w:val="21"/>
                <w:szCs w:val="21"/>
              </w:rPr>
              <w:t>1.894</w:t>
            </w:r>
          </w:p>
        </w:tc>
        <w:tc>
          <w:tcPr>
            <w:tcW w:w="356" w:type="pct"/>
            <w:shd w:val="clear" w:color="auto" w:fill="auto"/>
            <w:vAlign w:val="center"/>
          </w:tcPr>
          <w:p w14:paraId="4B5BF553">
            <w:pPr>
              <w:widowControl/>
              <w:jc w:val="center"/>
              <w:rPr>
                <w:kern w:val="0"/>
                <w:sz w:val="21"/>
                <w:szCs w:val="21"/>
              </w:rPr>
            </w:pPr>
            <w:r>
              <w:rPr>
                <w:kern w:val="0"/>
                <w:sz w:val="21"/>
                <w:szCs w:val="21"/>
              </w:rPr>
              <w:t>4.545</w:t>
            </w:r>
          </w:p>
        </w:tc>
        <w:tc>
          <w:tcPr>
            <w:tcW w:w="263" w:type="pct"/>
            <w:vMerge w:val="restart"/>
            <w:shd w:val="clear" w:color="auto" w:fill="auto"/>
            <w:vAlign w:val="center"/>
          </w:tcPr>
          <w:p w14:paraId="35B2B97E">
            <w:pPr>
              <w:widowControl/>
              <w:jc w:val="center"/>
              <w:rPr>
                <w:rFonts w:ascii="宋体" w:hAnsi="宋体" w:cs="宋体"/>
                <w:kern w:val="0"/>
                <w:sz w:val="21"/>
                <w:szCs w:val="21"/>
              </w:rPr>
            </w:pPr>
            <w:r>
              <w:rPr>
                <w:rFonts w:hint="eastAsia" w:ascii="宋体" w:hAnsi="宋体" w:cs="宋体"/>
                <w:kern w:val="0"/>
                <w:sz w:val="21"/>
                <w:szCs w:val="21"/>
              </w:rPr>
              <w:t>布袋除尘</w:t>
            </w:r>
            <w:r>
              <w:rPr>
                <w:kern w:val="0"/>
                <w:sz w:val="21"/>
                <w:szCs w:val="21"/>
              </w:rPr>
              <w:t>+二级</w:t>
            </w:r>
            <w:r>
              <w:rPr>
                <w:rFonts w:hint="eastAsia" w:ascii="宋体" w:hAnsi="宋体" w:cs="宋体"/>
                <w:kern w:val="0"/>
                <w:sz w:val="21"/>
                <w:szCs w:val="21"/>
              </w:rPr>
              <w:t>活性炭吸附装置</w:t>
            </w:r>
          </w:p>
        </w:tc>
        <w:tc>
          <w:tcPr>
            <w:tcW w:w="177" w:type="pct"/>
            <w:shd w:val="clear" w:color="auto" w:fill="auto"/>
            <w:vAlign w:val="center"/>
          </w:tcPr>
          <w:p w14:paraId="081D3F4A">
            <w:pPr>
              <w:widowControl/>
              <w:jc w:val="center"/>
              <w:rPr>
                <w:kern w:val="0"/>
                <w:sz w:val="21"/>
                <w:szCs w:val="21"/>
              </w:rPr>
            </w:pPr>
            <w:r>
              <w:rPr>
                <w:kern w:val="0"/>
                <w:sz w:val="21"/>
                <w:szCs w:val="21"/>
              </w:rPr>
              <w:t>99</w:t>
            </w:r>
          </w:p>
        </w:tc>
        <w:tc>
          <w:tcPr>
            <w:tcW w:w="269" w:type="pct"/>
            <w:shd w:val="clear" w:color="auto" w:fill="auto"/>
            <w:vAlign w:val="center"/>
          </w:tcPr>
          <w:p w14:paraId="67C67973">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2" w:type="pct"/>
            <w:shd w:val="clear" w:color="auto" w:fill="auto"/>
            <w:vAlign w:val="center"/>
          </w:tcPr>
          <w:p w14:paraId="123C0319">
            <w:pPr>
              <w:widowControl/>
              <w:jc w:val="center"/>
              <w:rPr>
                <w:kern w:val="0"/>
                <w:sz w:val="21"/>
                <w:szCs w:val="21"/>
              </w:rPr>
            </w:pPr>
            <w:r>
              <w:rPr>
                <w:kern w:val="0"/>
                <w:sz w:val="21"/>
                <w:szCs w:val="21"/>
              </w:rPr>
              <w:t>0.7</w:t>
            </w:r>
          </w:p>
        </w:tc>
        <w:tc>
          <w:tcPr>
            <w:tcW w:w="389" w:type="pct"/>
            <w:shd w:val="clear" w:color="auto" w:fill="auto"/>
            <w:vAlign w:val="center"/>
          </w:tcPr>
          <w:p w14:paraId="167B0EBD">
            <w:pPr>
              <w:widowControl/>
              <w:jc w:val="center"/>
              <w:rPr>
                <w:kern w:val="0"/>
                <w:sz w:val="21"/>
                <w:szCs w:val="21"/>
              </w:rPr>
            </w:pPr>
            <w:r>
              <w:rPr>
                <w:kern w:val="0"/>
                <w:sz w:val="21"/>
                <w:szCs w:val="21"/>
              </w:rPr>
              <w:t>0.02</w:t>
            </w:r>
          </w:p>
        </w:tc>
        <w:tc>
          <w:tcPr>
            <w:tcW w:w="351" w:type="pct"/>
            <w:shd w:val="clear" w:color="auto" w:fill="auto"/>
            <w:vAlign w:val="center"/>
          </w:tcPr>
          <w:p w14:paraId="13566CA6">
            <w:pPr>
              <w:widowControl/>
              <w:jc w:val="center"/>
              <w:rPr>
                <w:kern w:val="0"/>
                <w:sz w:val="21"/>
                <w:szCs w:val="21"/>
              </w:rPr>
            </w:pPr>
            <w:r>
              <w:rPr>
                <w:kern w:val="0"/>
                <w:sz w:val="21"/>
                <w:szCs w:val="21"/>
              </w:rPr>
              <w:t>0.0491</w:t>
            </w:r>
          </w:p>
        </w:tc>
        <w:tc>
          <w:tcPr>
            <w:tcW w:w="204" w:type="pct"/>
            <w:shd w:val="clear" w:color="auto" w:fill="auto"/>
            <w:vAlign w:val="center"/>
          </w:tcPr>
          <w:p w14:paraId="739E6573">
            <w:pPr>
              <w:widowControl/>
              <w:snapToGrid w:val="0"/>
              <w:jc w:val="center"/>
              <w:rPr>
                <w:kern w:val="0"/>
                <w:sz w:val="21"/>
                <w:szCs w:val="21"/>
              </w:rPr>
            </w:pPr>
            <w:r>
              <w:rPr>
                <w:rFonts w:hint="eastAsia"/>
                <w:kern w:val="0"/>
                <w:sz w:val="21"/>
                <w:szCs w:val="21"/>
              </w:rPr>
              <w:t>12</w:t>
            </w:r>
          </w:p>
        </w:tc>
        <w:tc>
          <w:tcPr>
            <w:tcW w:w="255" w:type="pct"/>
            <w:shd w:val="clear" w:color="auto" w:fill="auto"/>
            <w:vAlign w:val="center"/>
          </w:tcPr>
          <w:p w14:paraId="069BEDB4">
            <w:pPr>
              <w:widowControl/>
              <w:snapToGrid w:val="0"/>
              <w:jc w:val="center"/>
              <w:rPr>
                <w:kern w:val="0"/>
                <w:sz w:val="21"/>
                <w:szCs w:val="21"/>
              </w:rPr>
            </w:pPr>
            <w:r>
              <w:rPr>
                <w:rFonts w:hint="eastAsia"/>
                <w:kern w:val="0"/>
                <w:sz w:val="21"/>
                <w:szCs w:val="21"/>
              </w:rPr>
              <w:t>/</w:t>
            </w:r>
          </w:p>
        </w:tc>
        <w:tc>
          <w:tcPr>
            <w:tcW w:w="203" w:type="pct"/>
            <w:vMerge w:val="restart"/>
            <w:shd w:val="clear" w:color="auto" w:fill="auto"/>
            <w:vAlign w:val="center"/>
          </w:tcPr>
          <w:p w14:paraId="15ED6C99">
            <w:pPr>
              <w:widowControl/>
              <w:jc w:val="center"/>
              <w:rPr>
                <w:kern w:val="0"/>
                <w:sz w:val="21"/>
                <w:szCs w:val="21"/>
              </w:rPr>
            </w:pPr>
            <w:r>
              <w:rPr>
                <w:kern w:val="0"/>
                <w:sz w:val="21"/>
                <w:szCs w:val="21"/>
              </w:rPr>
              <w:t>15</w:t>
            </w:r>
          </w:p>
        </w:tc>
        <w:tc>
          <w:tcPr>
            <w:tcW w:w="204" w:type="pct"/>
            <w:vMerge w:val="restart"/>
            <w:shd w:val="clear" w:color="auto" w:fill="auto"/>
            <w:vAlign w:val="center"/>
          </w:tcPr>
          <w:p w14:paraId="483E2E54">
            <w:pPr>
              <w:widowControl/>
              <w:jc w:val="center"/>
              <w:rPr>
                <w:kern w:val="0"/>
                <w:sz w:val="21"/>
                <w:szCs w:val="21"/>
              </w:rPr>
            </w:pPr>
            <w:r>
              <w:rPr>
                <w:kern w:val="0"/>
                <w:sz w:val="21"/>
                <w:szCs w:val="21"/>
              </w:rPr>
              <w:t>0.</w:t>
            </w:r>
            <w:r>
              <w:rPr>
                <w:rFonts w:hint="eastAsia"/>
                <w:kern w:val="0"/>
                <w:sz w:val="21"/>
                <w:szCs w:val="21"/>
              </w:rPr>
              <w:t>8</w:t>
            </w:r>
          </w:p>
        </w:tc>
        <w:tc>
          <w:tcPr>
            <w:tcW w:w="205" w:type="pct"/>
            <w:vMerge w:val="restart"/>
            <w:shd w:val="clear" w:color="auto" w:fill="auto"/>
            <w:vAlign w:val="center"/>
          </w:tcPr>
          <w:p w14:paraId="7871A775">
            <w:pPr>
              <w:widowControl/>
              <w:jc w:val="center"/>
              <w:rPr>
                <w:kern w:val="0"/>
                <w:sz w:val="21"/>
                <w:szCs w:val="21"/>
              </w:rPr>
            </w:pPr>
            <w:r>
              <w:rPr>
                <w:kern w:val="0"/>
                <w:sz w:val="21"/>
                <w:szCs w:val="21"/>
              </w:rPr>
              <w:t>35</w:t>
            </w:r>
          </w:p>
        </w:tc>
        <w:tc>
          <w:tcPr>
            <w:tcW w:w="251" w:type="pct"/>
            <w:vMerge w:val="restart"/>
            <w:shd w:val="clear" w:color="auto" w:fill="auto"/>
            <w:vAlign w:val="center"/>
          </w:tcPr>
          <w:p w14:paraId="20BA287A">
            <w:pPr>
              <w:widowControl/>
              <w:jc w:val="center"/>
              <w:rPr>
                <w:rFonts w:ascii="宋体" w:hAnsi="宋体" w:cs="宋体"/>
                <w:kern w:val="0"/>
                <w:sz w:val="21"/>
                <w:szCs w:val="21"/>
              </w:rPr>
            </w:pPr>
            <w:r>
              <w:rPr>
                <w:rFonts w:hint="eastAsia" w:ascii="宋体" w:hAnsi="宋体" w:cs="宋体"/>
                <w:kern w:val="0"/>
                <w:sz w:val="21"/>
                <w:szCs w:val="21"/>
              </w:rPr>
              <w:t>间歇</w:t>
            </w:r>
            <w:r>
              <w:rPr>
                <w:kern w:val="0"/>
                <w:sz w:val="21"/>
                <w:szCs w:val="21"/>
              </w:rPr>
              <w:t>2400h</w:t>
            </w:r>
          </w:p>
        </w:tc>
      </w:tr>
      <w:tr w14:paraId="278820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58351AD6">
            <w:pPr>
              <w:widowControl/>
              <w:jc w:val="center"/>
              <w:rPr>
                <w:kern w:val="0"/>
                <w:sz w:val="21"/>
                <w:szCs w:val="21"/>
              </w:rPr>
            </w:pPr>
          </w:p>
        </w:tc>
        <w:tc>
          <w:tcPr>
            <w:tcW w:w="280" w:type="pct"/>
            <w:vMerge w:val="continue"/>
            <w:vAlign w:val="center"/>
          </w:tcPr>
          <w:p w14:paraId="686055A8">
            <w:pPr>
              <w:widowControl/>
              <w:jc w:val="center"/>
              <w:rPr>
                <w:kern w:val="0"/>
                <w:sz w:val="21"/>
                <w:szCs w:val="21"/>
              </w:rPr>
            </w:pPr>
          </w:p>
        </w:tc>
        <w:tc>
          <w:tcPr>
            <w:tcW w:w="219" w:type="pct"/>
            <w:vMerge w:val="continue"/>
            <w:vAlign w:val="center"/>
          </w:tcPr>
          <w:p w14:paraId="609F562E">
            <w:pPr>
              <w:widowControl/>
              <w:jc w:val="center"/>
              <w:rPr>
                <w:rFonts w:ascii="宋体" w:hAnsi="宋体" w:cs="宋体"/>
                <w:kern w:val="0"/>
                <w:sz w:val="21"/>
                <w:szCs w:val="21"/>
              </w:rPr>
            </w:pPr>
          </w:p>
        </w:tc>
        <w:tc>
          <w:tcPr>
            <w:tcW w:w="251" w:type="pct"/>
            <w:shd w:val="clear" w:color="auto" w:fill="auto"/>
            <w:vAlign w:val="center"/>
          </w:tcPr>
          <w:p w14:paraId="4D5E291C">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4746D9D8">
            <w:pPr>
              <w:widowControl/>
              <w:jc w:val="center"/>
              <w:rPr>
                <w:kern w:val="0"/>
                <w:sz w:val="21"/>
                <w:szCs w:val="21"/>
              </w:rPr>
            </w:pPr>
            <w:r>
              <w:rPr>
                <w:kern w:val="0"/>
                <w:sz w:val="21"/>
                <w:szCs w:val="21"/>
              </w:rPr>
              <w:t>0.5</w:t>
            </w:r>
          </w:p>
        </w:tc>
        <w:tc>
          <w:tcPr>
            <w:tcW w:w="358" w:type="pct"/>
            <w:shd w:val="clear" w:color="auto" w:fill="auto"/>
            <w:vAlign w:val="center"/>
          </w:tcPr>
          <w:p w14:paraId="5534FDA8">
            <w:pPr>
              <w:widowControl/>
              <w:jc w:val="center"/>
              <w:rPr>
                <w:kern w:val="0"/>
                <w:sz w:val="21"/>
                <w:szCs w:val="21"/>
              </w:rPr>
            </w:pPr>
            <w:r>
              <w:rPr>
                <w:kern w:val="0"/>
                <w:sz w:val="21"/>
                <w:szCs w:val="21"/>
              </w:rPr>
              <w:t>0.013</w:t>
            </w:r>
          </w:p>
        </w:tc>
        <w:tc>
          <w:tcPr>
            <w:tcW w:w="356" w:type="pct"/>
            <w:shd w:val="clear" w:color="auto" w:fill="auto"/>
            <w:vAlign w:val="center"/>
          </w:tcPr>
          <w:p w14:paraId="70D27816">
            <w:pPr>
              <w:widowControl/>
              <w:jc w:val="center"/>
              <w:rPr>
                <w:kern w:val="0"/>
                <w:sz w:val="21"/>
                <w:szCs w:val="21"/>
              </w:rPr>
            </w:pPr>
            <w:r>
              <w:rPr>
                <w:kern w:val="0"/>
                <w:sz w:val="21"/>
                <w:szCs w:val="21"/>
              </w:rPr>
              <w:t>0.03105</w:t>
            </w:r>
          </w:p>
        </w:tc>
        <w:tc>
          <w:tcPr>
            <w:tcW w:w="263" w:type="pct"/>
            <w:vMerge w:val="continue"/>
            <w:vAlign w:val="center"/>
          </w:tcPr>
          <w:p w14:paraId="42F2EE29">
            <w:pPr>
              <w:widowControl/>
              <w:jc w:val="center"/>
              <w:rPr>
                <w:rFonts w:ascii="宋体" w:hAnsi="宋体" w:cs="宋体"/>
                <w:kern w:val="0"/>
                <w:sz w:val="21"/>
                <w:szCs w:val="21"/>
              </w:rPr>
            </w:pPr>
          </w:p>
        </w:tc>
        <w:tc>
          <w:tcPr>
            <w:tcW w:w="177" w:type="pct"/>
            <w:vMerge w:val="restart"/>
            <w:shd w:val="clear" w:color="auto" w:fill="auto"/>
            <w:vAlign w:val="center"/>
          </w:tcPr>
          <w:p w14:paraId="6A009FAF">
            <w:pPr>
              <w:widowControl/>
              <w:jc w:val="center"/>
              <w:rPr>
                <w:kern w:val="0"/>
                <w:sz w:val="21"/>
                <w:szCs w:val="21"/>
              </w:rPr>
            </w:pPr>
            <w:r>
              <w:rPr>
                <w:kern w:val="0"/>
                <w:sz w:val="21"/>
                <w:szCs w:val="21"/>
              </w:rPr>
              <w:t>90</w:t>
            </w:r>
          </w:p>
        </w:tc>
        <w:tc>
          <w:tcPr>
            <w:tcW w:w="269" w:type="pct"/>
            <w:vMerge w:val="restart"/>
            <w:shd w:val="clear" w:color="auto" w:fill="auto"/>
            <w:vAlign w:val="center"/>
          </w:tcPr>
          <w:p w14:paraId="38CF03BE">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2" w:type="pct"/>
            <w:vMerge w:val="restart"/>
            <w:shd w:val="clear" w:color="auto" w:fill="auto"/>
            <w:vAlign w:val="center"/>
          </w:tcPr>
          <w:p w14:paraId="799093B4">
            <w:pPr>
              <w:widowControl/>
              <w:jc w:val="center"/>
              <w:rPr>
                <w:kern w:val="0"/>
                <w:sz w:val="21"/>
                <w:szCs w:val="21"/>
              </w:rPr>
            </w:pPr>
            <w:r>
              <w:rPr>
                <w:kern w:val="0"/>
                <w:sz w:val="21"/>
                <w:szCs w:val="21"/>
              </w:rPr>
              <w:t>0.08</w:t>
            </w:r>
          </w:p>
        </w:tc>
        <w:tc>
          <w:tcPr>
            <w:tcW w:w="389" w:type="pct"/>
            <w:vMerge w:val="restart"/>
            <w:shd w:val="clear" w:color="auto" w:fill="auto"/>
            <w:vAlign w:val="center"/>
          </w:tcPr>
          <w:p w14:paraId="163C7F0F">
            <w:pPr>
              <w:widowControl/>
              <w:jc w:val="center"/>
              <w:rPr>
                <w:kern w:val="0"/>
                <w:sz w:val="21"/>
                <w:szCs w:val="21"/>
              </w:rPr>
            </w:pPr>
            <w:r>
              <w:rPr>
                <w:kern w:val="0"/>
                <w:sz w:val="21"/>
                <w:szCs w:val="21"/>
              </w:rPr>
              <w:t>0.002</w:t>
            </w:r>
          </w:p>
        </w:tc>
        <w:tc>
          <w:tcPr>
            <w:tcW w:w="351" w:type="pct"/>
            <w:vMerge w:val="restart"/>
            <w:shd w:val="clear" w:color="auto" w:fill="auto"/>
            <w:vAlign w:val="center"/>
          </w:tcPr>
          <w:p w14:paraId="7728BBD9">
            <w:pPr>
              <w:widowControl/>
              <w:jc w:val="center"/>
              <w:rPr>
                <w:kern w:val="0"/>
                <w:sz w:val="21"/>
                <w:szCs w:val="21"/>
              </w:rPr>
            </w:pPr>
            <w:r>
              <w:rPr>
                <w:kern w:val="0"/>
                <w:sz w:val="21"/>
                <w:szCs w:val="21"/>
              </w:rPr>
              <w:t>0.0056</w:t>
            </w:r>
          </w:p>
        </w:tc>
        <w:tc>
          <w:tcPr>
            <w:tcW w:w="204" w:type="pct"/>
            <w:vMerge w:val="restart"/>
            <w:shd w:val="clear" w:color="auto" w:fill="auto"/>
            <w:vAlign w:val="center"/>
          </w:tcPr>
          <w:p w14:paraId="3436357E">
            <w:pPr>
              <w:widowControl/>
              <w:jc w:val="center"/>
              <w:rPr>
                <w:kern w:val="0"/>
                <w:sz w:val="21"/>
                <w:szCs w:val="21"/>
              </w:rPr>
            </w:pPr>
            <w:r>
              <w:rPr>
                <w:kern w:val="0"/>
                <w:sz w:val="21"/>
                <w:szCs w:val="21"/>
              </w:rPr>
              <w:t>/</w:t>
            </w:r>
          </w:p>
        </w:tc>
        <w:tc>
          <w:tcPr>
            <w:tcW w:w="255" w:type="pct"/>
            <w:vMerge w:val="restart"/>
            <w:shd w:val="clear" w:color="auto" w:fill="auto"/>
            <w:vAlign w:val="center"/>
          </w:tcPr>
          <w:p w14:paraId="194EFBF9">
            <w:pPr>
              <w:widowControl/>
              <w:jc w:val="center"/>
              <w:rPr>
                <w:kern w:val="0"/>
                <w:sz w:val="21"/>
                <w:szCs w:val="21"/>
              </w:rPr>
            </w:pPr>
            <w:r>
              <w:rPr>
                <w:kern w:val="0"/>
                <w:sz w:val="21"/>
                <w:szCs w:val="21"/>
              </w:rPr>
              <w:t>0.</w:t>
            </w:r>
            <w:r>
              <w:rPr>
                <w:rFonts w:hint="eastAsia"/>
                <w:kern w:val="0"/>
                <w:sz w:val="21"/>
                <w:szCs w:val="21"/>
              </w:rPr>
              <w:t>33</w:t>
            </w:r>
          </w:p>
        </w:tc>
        <w:tc>
          <w:tcPr>
            <w:tcW w:w="203" w:type="pct"/>
            <w:vMerge w:val="continue"/>
            <w:vAlign w:val="center"/>
          </w:tcPr>
          <w:p w14:paraId="7AC86EA7">
            <w:pPr>
              <w:widowControl/>
              <w:jc w:val="center"/>
              <w:rPr>
                <w:kern w:val="0"/>
                <w:sz w:val="21"/>
                <w:szCs w:val="21"/>
              </w:rPr>
            </w:pPr>
          </w:p>
        </w:tc>
        <w:tc>
          <w:tcPr>
            <w:tcW w:w="204" w:type="pct"/>
            <w:vMerge w:val="continue"/>
            <w:vAlign w:val="center"/>
          </w:tcPr>
          <w:p w14:paraId="062A38A0">
            <w:pPr>
              <w:widowControl/>
              <w:jc w:val="center"/>
              <w:rPr>
                <w:kern w:val="0"/>
                <w:sz w:val="21"/>
                <w:szCs w:val="21"/>
              </w:rPr>
            </w:pPr>
          </w:p>
        </w:tc>
        <w:tc>
          <w:tcPr>
            <w:tcW w:w="205" w:type="pct"/>
            <w:vMerge w:val="continue"/>
            <w:vAlign w:val="center"/>
          </w:tcPr>
          <w:p w14:paraId="451B3161">
            <w:pPr>
              <w:widowControl/>
              <w:jc w:val="center"/>
              <w:rPr>
                <w:kern w:val="0"/>
                <w:sz w:val="21"/>
                <w:szCs w:val="21"/>
              </w:rPr>
            </w:pPr>
          </w:p>
        </w:tc>
        <w:tc>
          <w:tcPr>
            <w:tcW w:w="251" w:type="pct"/>
            <w:vMerge w:val="continue"/>
            <w:vAlign w:val="center"/>
          </w:tcPr>
          <w:p w14:paraId="351860CC">
            <w:pPr>
              <w:widowControl/>
              <w:jc w:val="center"/>
              <w:rPr>
                <w:rFonts w:ascii="宋体" w:hAnsi="宋体" w:cs="宋体"/>
                <w:kern w:val="0"/>
                <w:sz w:val="21"/>
                <w:szCs w:val="21"/>
              </w:rPr>
            </w:pPr>
          </w:p>
        </w:tc>
      </w:tr>
      <w:tr w14:paraId="3E1EFD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222B616A">
            <w:pPr>
              <w:widowControl/>
              <w:jc w:val="center"/>
              <w:rPr>
                <w:kern w:val="0"/>
                <w:sz w:val="21"/>
                <w:szCs w:val="21"/>
              </w:rPr>
            </w:pPr>
          </w:p>
        </w:tc>
        <w:tc>
          <w:tcPr>
            <w:tcW w:w="280" w:type="pct"/>
            <w:vMerge w:val="continue"/>
            <w:vAlign w:val="center"/>
          </w:tcPr>
          <w:p w14:paraId="761100E4">
            <w:pPr>
              <w:widowControl/>
              <w:jc w:val="center"/>
              <w:rPr>
                <w:kern w:val="0"/>
                <w:sz w:val="21"/>
                <w:szCs w:val="21"/>
              </w:rPr>
            </w:pPr>
          </w:p>
        </w:tc>
        <w:tc>
          <w:tcPr>
            <w:tcW w:w="219" w:type="pct"/>
            <w:vMerge w:val="continue"/>
            <w:vAlign w:val="center"/>
          </w:tcPr>
          <w:p w14:paraId="6A2A0D4D">
            <w:pPr>
              <w:widowControl/>
              <w:jc w:val="center"/>
              <w:rPr>
                <w:rFonts w:ascii="宋体" w:hAnsi="宋体" w:cs="宋体"/>
                <w:kern w:val="0"/>
                <w:sz w:val="21"/>
                <w:szCs w:val="21"/>
              </w:rPr>
            </w:pPr>
          </w:p>
        </w:tc>
        <w:tc>
          <w:tcPr>
            <w:tcW w:w="251" w:type="pct"/>
            <w:shd w:val="clear" w:color="auto" w:fill="auto"/>
            <w:vAlign w:val="center"/>
          </w:tcPr>
          <w:p w14:paraId="41980089">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13CF2D95">
            <w:pPr>
              <w:widowControl/>
              <w:jc w:val="center"/>
              <w:rPr>
                <w:kern w:val="0"/>
                <w:sz w:val="21"/>
                <w:szCs w:val="21"/>
              </w:rPr>
            </w:pPr>
            <w:r>
              <w:rPr>
                <w:kern w:val="0"/>
                <w:sz w:val="21"/>
                <w:szCs w:val="21"/>
              </w:rPr>
              <w:t>20.2</w:t>
            </w:r>
          </w:p>
        </w:tc>
        <w:tc>
          <w:tcPr>
            <w:tcW w:w="358" w:type="pct"/>
            <w:shd w:val="clear" w:color="auto" w:fill="auto"/>
            <w:vAlign w:val="center"/>
          </w:tcPr>
          <w:p w14:paraId="68E9E7E1">
            <w:pPr>
              <w:widowControl/>
              <w:jc w:val="center"/>
              <w:rPr>
                <w:kern w:val="0"/>
                <w:sz w:val="21"/>
                <w:szCs w:val="21"/>
              </w:rPr>
            </w:pPr>
            <w:r>
              <w:rPr>
                <w:kern w:val="0"/>
                <w:sz w:val="21"/>
                <w:szCs w:val="21"/>
              </w:rPr>
              <w:t>0.564</w:t>
            </w:r>
          </w:p>
        </w:tc>
        <w:tc>
          <w:tcPr>
            <w:tcW w:w="356" w:type="pct"/>
            <w:shd w:val="clear" w:color="auto" w:fill="auto"/>
            <w:noWrap/>
            <w:vAlign w:val="center"/>
          </w:tcPr>
          <w:p w14:paraId="0BF72FEB">
            <w:pPr>
              <w:widowControl/>
              <w:jc w:val="center"/>
              <w:rPr>
                <w:kern w:val="0"/>
                <w:sz w:val="21"/>
                <w:szCs w:val="21"/>
              </w:rPr>
            </w:pPr>
            <w:r>
              <w:rPr>
                <w:kern w:val="0"/>
                <w:sz w:val="21"/>
                <w:szCs w:val="21"/>
              </w:rPr>
              <w:t>1.3545</w:t>
            </w:r>
          </w:p>
        </w:tc>
        <w:tc>
          <w:tcPr>
            <w:tcW w:w="263" w:type="pct"/>
            <w:vMerge w:val="continue"/>
            <w:vAlign w:val="center"/>
          </w:tcPr>
          <w:p w14:paraId="7A160524">
            <w:pPr>
              <w:widowControl/>
              <w:jc w:val="center"/>
              <w:rPr>
                <w:rFonts w:ascii="宋体" w:hAnsi="宋体" w:cs="宋体"/>
                <w:kern w:val="0"/>
                <w:sz w:val="21"/>
                <w:szCs w:val="21"/>
              </w:rPr>
            </w:pPr>
          </w:p>
        </w:tc>
        <w:tc>
          <w:tcPr>
            <w:tcW w:w="177" w:type="pct"/>
            <w:vMerge w:val="continue"/>
            <w:vAlign w:val="center"/>
          </w:tcPr>
          <w:p w14:paraId="61233C33">
            <w:pPr>
              <w:widowControl/>
              <w:jc w:val="center"/>
              <w:rPr>
                <w:kern w:val="0"/>
                <w:sz w:val="21"/>
                <w:szCs w:val="21"/>
              </w:rPr>
            </w:pPr>
          </w:p>
        </w:tc>
        <w:tc>
          <w:tcPr>
            <w:tcW w:w="269" w:type="pct"/>
            <w:vMerge w:val="continue"/>
            <w:vAlign w:val="center"/>
          </w:tcPr>
          <w:p w14:paraId="6F86758F">
            <w:pPr>
              <w:widowControl/>
              <w:jc w:val="center"/>
              <w:rPr>
                <w:kern w:val="0"/>
                <w:sz w:val="21"/>
                <w:szCs w:val="21"/>
              </w:rPr>
            </w:pPr>
          </w:p>
        </w:tc>
        <w:tc>
          <w:tcPr>
            <w:tcW w:w="302" w:type="pct"/>
            <w:vMerge w:val="continue"/>
            <w:vAlign w:val="center"/>
          </w:tcPr>
          <w:p w14:paraId="172486EF">
            <w:pPr>
              <w:widowControl/>
              <w:jc w:val="center"/>
              <w:rPr>
                <w:kern w:val="0"/>
                <w:sz w:val="21"/>
                <w:szCs w:val="21"/>
              </w:rPr>
            </w:pPr>
          </w:p>
        </w:tc>
        <w:tc>
          <w:tcPr>
            <w:tcW w:w="389" w:type="pct"/>
            <w:vMerge w:val="continue"/>
            <w:vAlign w:val="center"/>
          </w:tcPr>
          <w:p w14:paraId="145A8FC1">
            <w:pPr>
              <w:widowControl/>
              <w:jc w:val="center"/>
              <w:rPr>
                <w:kern w:val="0"/>
                <w:sz w:val="21"/>
                <w:szCs w:val="21"/>
              </w:rPr>
            </w:pPr>
          </w:p>
        </w:tc>
        <w:tc>
          <w:tcPr>
            <w:tcW w:w="351" w:type="pct"/>
            <w:vMerge w:val="continue"/>
            <w:vAlign w:val="center"/>
          </w:tcPr>
          <w:p w14:paraId="49258C49">
            <w:pPr>
              <w:widowControl/>
              <w:jc w:val="center"/>
              <w:rPr>
                <w:kern w:val="0"/>
                <w:sz w:val="21"/>
                <w:szCs w:val="21"/>
              </w:rPr>
            </w:pPr>
          </w:p>
        </w:tc>
        <w:tc>
          <w:tcPr>
            <w:tcW w:w="204" w:type="pct"/>
            <w:vMerge w:val="continue"/>
            <w:vAlign w:val="center"/>
          </w:tcPr>
          <w:p w14:paraId="55674C7F">
            <w:pPr>
              <w:widowControl/>
              <w:jc w:val="center"/>
              <w:rPr>
                <w:kern w:val="0"/>
                <w:sz w:val="21"/>
                <w:szCs w:val="21"/>
              </w:rPr>
            </w:pPr>
          </w:p>
        </w:tc>
        <w:tc>
          <w:tcPr>
            <w:tcW w:w="255" w:type="pct"/>
            <w:vMerge w:val="continue"/>
            <w:vAlign w:val="center"/>
          </w:tcPr>
          <w:p w14:paraId="37C47FDC">
            <w:pPr>
              <w:widowControl/>
              <w:jc w:val="center"/>
              <w:rPr>
                <w:kern w:val="0"/>
                <w:sz w:val="21"/>
                <w:szCs w:val="21"/>
              </w:rPr>
            </w:pPr>
          </w:p>
        </w:tc>
        <w:tc>
          <w:tcPr>
            <w:tcW w:w="203" w:type="pct"/>
            <w:vMerge w:val="continue"/>
            <w:vAlign w:val="center"/>
          </w:tcPr>
          <w:p w14:paraId="62B914D2">
            <w:pPr>
              <w:widowControl/>
              <w:jc w:val="center"/>
              <w:rPr>
                <w:kern w:val="0"/>
                <w:sz w:val="21"/>
                <w:szCs w:val="21"/>
              </w:rPr>
            </w:pPr>
          </w:p>
        </w:tc>
        <w:tc>
          <w:tcPr>
            <w:tcW w:w="204" w:type="pct"/>
            <w:vMerge w:val="continue"/>
            <w:vAlign w:val="center"/>
          </w:tcPr>
          <w:p w14:paraId="0C79020D">
            <w:pPr>
              <w:widowControl/>
              <w:jc w:val="center"/>
              <w:rPr>
                <w:kern w:val="0"/>
                <w:sz w:val="21"/>
                <w:szCs w:val="21"/>
              </w:rPr>
            </w:pPr>
          </w:p>
        </w:tc>
        <w:tc>
          <w:tcPr>
            <w:tcW w:w="205" w:type="pct"/>
            <w:vMerge w:val="continue"/>
            <w:vAlign w:val="center"/>
          </w:tcPr>
          <w:p w14:paraId="22C801F8">
            <w:pPr>
              <w:widowControl/>
              <w:jc w:val="center"/>
              <w:rPr>
                <w:kern w:val="0"/>
                <w:sz w:val="21"/>
                <w:szCs w:val="21"/>
              </w:rPr>
            </w:pPr>
          </w:p>
        </w:tc>
        <w:tc>
          <w:tcPr>
            <w:tcW w:w="251" w:type="pct"/>
            <w:vMerge w:val="continue"/>
            <w:vAlign w:val="center"/>
          </w:tcPr>
          <w:p w14:paraId="50CED0E4">
            <w:pPr>
              <w:widowControl/>
              <w:jc w:val="center"/>
              <w:rPr>
                <w:rFonts w:ascii="宋体" w:hAnsi="宋体" w:cs="宋体"/>
                <w:kern w:val="0"/>
                <w:sz w:val="21"/>
                <w:szCs w:val="21"/>
              </w:rPr>
            </w:pPr>
          </w:p>
        </w:tc>
      </w:tr>
      <w:tr w14:paraId="3C4C7F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 w:type="pct"/>
            <w:vMerge w:val="continue"/>
            <w:vAlign w:val="center"/>
          </w:tcPr>
          <w:p w14:paraId="611FAB8B">
            <w:pPr>
              <w:widowControl/>
              <w:jc w:val="center"/>
              <w:rPr>
                <w:kern w:val="0"/>
                <w:sz w:val="21"/>
                <w:szCs w:val="21"/>
              </w:rPr>
            </w:pPr>
          </w:p>
        </w:tc>
        <w:tc>
          <w:tcPr>
            <w:tcW w:w="280" w:type="pct"/>
            <w:vMerge w:val="continue"/>
            <w:vAlign w:val="center"/>
          </w:tcPr>
          <w:p w14:paraId="2A8BFAFA">
            <w:pPr>
              <w:widowControl/>
              <w:jc w:val="center"/>
              <w:rPr>
                <w:kern w:val="0"/>
                <w:sz w:val="21"/>
                <w:szCs w:val="21"/>
              </w:rPr>
            </w:pPr>
          </w:p>
        </w:tc>
        <w:tc>
          <w:tcPr>
            <w:tcW w:w="219" w:type="pct"/>
            <w:vMerge w:val="restart"/>
            <w:shd w:val="clear" w:color="auto" w:fill="auto"/>
            <w:vAlign w:val="center"/>
          </w:tcPr>
          <w:p w14:paraId="3FD1EE39">
            <w:pPr>
              <w:widowControl/>
              <w:jc w:val="center"/>
              <w:rPr>
                <w:rFonts w:ascii="宋体" w:hAnsi="宋体" w:cs="宋体"/>
                <w:kern w:val="0"/>
                <w:sz w:val="21"/>
                <w:szCs w:val="21"/>
              </w:rPr>
            </w:pPr>
            <w:r>
              <w:rPr>
                <w:rFonts w:hint="eastAsia" w:ascii="宋体" w:hAnsi="宋体" w:cs="宋体"/>
                <w:kern w:val="0"/>
                <w:sz w:val="21"/>
                <w:szCs w:val="21"/>
              </w:rPr>
              <w:t>返炼</w:t>
            </w:r>
          </w:p>
        </w:tc>
        <w:tc>
          <w:tcPr>
            <w:tcW w:w="251" w:type="pct"/>
            <w:shd w:val="clear" w:color="auto" w:fill="auto"/>
            <w:vAlign w:val="center"/>
          </w:tcPr>
          <w:p w14:paraId="1DE28C61">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5" w:type="pct"/>
            <w:shd w:val="clear" w:color="auto" w:fill="auto"/>
            <w:vAlign w:val="center"/>
          </w:tcPr>
          <w:p w14:paraId="5ECE8D0D">
            <w:pPr>
              <w:widowControl/>
              <w:jc w:val="center"/>
              <w:rPr>
                <w:kern w:val="0"/>
                <w:sz w:val="21"/>
                <w:szCs w:val="21"/>
              </w:rPr>
            </w:pPr>
            <w:r>
              <w:rPr>
                <w:kern w:val="0"/>
                <w:sz w:val="21"/>
                <w:szCs w:val="21"/>
              </w:rPr>
              <w:t>5.4</w:t>
            </w:r>
          </w:p>
        </w:tc>
        <w:tc>
          <w:tcPr>
            <w:tcW w:w="358" w:type="pct"/>
            <w:shd w:val="clear" w:color="auto" w:fill="auto"/>
            <w:vAlign w:val="center"/>
          </w:tcPr>
          <w:p w14:paraId="398B235D">
            <w:pPr>
              <w:widowControl/>
              <w:jc w:val="center"/>
              <w:rPr>
                <w:kern w:val="0"/>
                <w:sz w:val="21"/>
                <w:szCs w:val="21"/>
              </w:rPr>
            </w:pPr>
            <w:r>
              <w:rPr>
                <w:kern w:val="0"/>
                <w:sz w:val="21"/>
                <w:szCs w:val="21"/>
              </w:rPr>
              <w:t>0.15</w:t>
            </w:r>
          </w:p>
        </w:tc>
        <w:tc>
          <w:tcPr>
            <w:tcW w:w="356" w:type="pct"/>
            <w:shd w:val="clear" w:color="auto" w:fill="auto"/>
            <w:vAlign w:val="center"/>
          </w:tcPr>
          <w:p w14:paraId="58713630">
            <w:pPr>
              <w:widowControl/>
              <w:jc w:val="center"/>
              <w:rPr>
                <w:kern w:val="0"/>
                <w:sz w:val="21"/>
                <w:szCs w:val="21"/>
              </w:rPr>
            </w:pPr>
            <w:r>
              <w:rPr>
                <w:kern w:val="0"/>
                <w:sz w:val="21"/>
                <w:szCs w:val="21"/>
              </w:rPr>
              <w:t>0.36</w:t>
            </w:r>
          </w:p>
        </w:tc>
        <w:tc>
          <w:tcPr>
            <w:tcW w:w="263" w:type="pct"/>
            <w:vMerge w:val="continue"/>
            <w:vAlign w:val="center"/>
          </w:tcPr>
          <w:p w14:paraId="2F040948">
            <w:pPr>
              <w:widowControl/>
              <w:jc w:val="center"/>
              <w:rPr>
                <w:rFonts w:ascii="宋体" w:hAnsi="宋体" w:cs="宋体"/>
                <w:kern w:val="0"/>
                <w:sz w:val="21"/>
                <w:szCs w:val="21"/>
              </w:rPr>
            </w:pPr>
          </w:p>
        </w:tc>
        <w:tc>
          <w:tcPr>
            <w:tcW w:w="177" w:type="pct"/>
            <w:vMerge w:val="restart"/>
            <w:shd w:val="clear" w:color="auto" w:fill="auto"/>
            <w:vAlign w:val="center"/>
          </w:tcPr>
          <w:p w14:paraId="6B0B8450">
            <w:pPr>
              <w:widowControl/>
              <w:jc w:val="center"/>
              <w:rPr>
                <w:kern w:val="0"/>
                <w:sz w:val="21"/>
                <w:szCs w:val="21"/>
              </w:rPr>
            </w:pPr>
            <w:r>
              <w:rPr>
                <w:kern w:val="0"/>
                <w:sz w:val="21"/>
                <w:szCs w:val="21"/>
              </w:rPr>
              <w:t>90</w:t>
            </w:r>
          </w:p>
        </w:tc>
        <w:tc>
          <w:tcPr>
            <w:tcW w:w="269" w:type="pct"/>
            <w:vMerge w:val="restart"/>
            <w:shd w:val="clear" w:color="auto" w:fill="auto"/>
            <w:vAlign w:val="center"/>
          </w:tcPr>
          <w:p w14:paraId="3365EFF2">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2" w:type="pct"/>
            <w:vMerge w:val="restart"/>
            <w:shd w:val="clear" w:color="auto" w:fill="auto"/>
            <w:vAlign w:val="center"/>
          </w:tcPr>
          <w:p w14:paraId="66B32D2C">
            <w:pPr>
              <w:widowControl/>
              <w:jc w:val="center"/>
              <w:rPr>
                <w:kern w:val="0"/>
                <w:sz w:val="21"/>
                <w:szCs w:val="21"/>
              </w:rPr>
            </w:pPr>
            <w:r>
              <w:rPr>
                <w:kern w:val="0"/>
                <w:sz w:val="21"/>
                <w:szCs w:val="21"/>
              </w:rPr>
              <w:t>2.3</w:t>
            </w:r>
          </w:p>
        </w:tc>
        <w:tc>
          <w:tcPr>
            <w:tcW w:w="389" w:type="pct"/>
            <w:vMerge w:val="restart"/>
            <w:shd w:val="clear" w:color="auto" w:fill="auto"/>
            <w:vAlign w:val="center"/>
          </w:tcPr>
          <w:p w14:paraId="0E18A345">
            <w:pPr>
              <w:widowControl/>
              <w:jc w:val="center"/>
              <w:rPr>
                <w:kern w:val="0"/>
                <w:sz w:val="21"/>
                <w:szCs w:val="21"/>
              </w:rPr>
            </w:pPr>
            <w:r>
              <w:rPr>
                <w:kern w:val="0"/>
                <w:sz w:val="21"/>
                <w:szCs w:val="21"/>
              </w:rPr>
              <w:t>0.063</w:t>
            </w:r>
          </w:p>
        </w:tc>
        <w:tc>
          <w:tcPr>
            <w:tcW w:w="351" w:type="pct"/>
            <w:vMerge w:val="restart"/>
            <w:shd w:val="clear" w:color="auto" w:fill="auto"/>
            <w:vAlign w:val="center"/>
          </w:tcPr>
          <w:p w14:paraId="7686B879">
            <w:pPr>
              <w:widowControl/>
              <w:jc w:val="center"/>
              <w:rPr>
                <w:kern w:val="0"/>
                <w:sz w:val="21"/>
                <w:szCs w:val="21"/>
              </w:rPr>
            </w:pPr>
            <w:r>
              <w:rPr>
                <w:kern w:val="0"/>
                <w:sz w:val="21"/>
                <w:szCs w:val="21"/>
              </w:rPr>
              <w:t>0.1512</w:t>
            </w:r>
          </w:p>
        </w:tc>
        <w:tc>
          <w:tcPr>
            <w:tcW w:w="204" w:type="pct"/>
            <w:vMerge w:val="restart"/>
            <w:shd w:val="clear" w:color="auto" w:fill="auto"/>
            <w:vAlign w:val="center"/>
          </w:tcPr>
          <w:p w14:paraId="11654523">
            <w:pPr>
              <w:widowControl/>
              <w:snapToGrid w:val="0"/>
              <w:jc w:val="center"/>
              <w:rPr>
                <w:kern w:val="0"/>
                <w:sz w:val="21"/>
                <w:szCs w:val="21"/>
              </w:rPr>
            </w:pPr>
            <w:r>
              <w:rPr>
                <w:rFonts w:hint="eastAsia"/>
                <w:kern w:val="0"/>
                <w:sz w:val="21"/>
                <w:szCs w:val="21"/>
              </w:rPr>
              <w:t>10</w:t>
            </w:r>
          </w:p>
        </w:tc>
        <w:tc>
          <w:tcPr>
            <w:tcW w:w="255" w:type="pct"/>
            <w:vMerge w:val="restart"/>
            <w:shd w:val="clear" w:color="auto" w:fill="auto"/>
            <w:vAlign w:val="center"/>
          </w:tcPr>
          <w:p w14:paraId="19B1D309">
            <w:pPr>
              <w:widowControl/>
              <w:snapToGrid w:val="0"/>
              <w:jc w:val="center"/>
              <w:rPr>
                <w:kern w:val="0"/>
                <w:sz w:val="21"/>
                <w:szCs w:val="21"/>
              </w:rPr>
            </w:pPr>
            <w:r>
              <w:rPr>
                <w:rFonts w:hint="eastAsia"/>
                <w:kern w:val="0"/>
                <w:sz w:val="21"/>
                <w:szCs w:val="21"/>
              </w:rPr>
              <w:t>/</w:t>
            </w:r>
          </w:p>
        </w:tc>
        <w:tc>
          <w:tcPr>
            <w:tcW w:w="203" w:type="pct"/>
            <w:vMerge w:val="continue"/>
            <w:vAlign w:val="center"/>
          </w:tcPr>
          <w:p w14:paraId="1FC649A6">
            <w:pPr>
              <w:widowControl/>
              <w:jc w:val="center"/>
              <w:rPr>
                <w:kern w:val="0"/>
                <w:sz w:val="21"/>
                <w:szCs w:val="21"/>
              </w:rPr>
            </w:pPr>
          </w:p>
        </w:tc>
        <w:tc>
          <w:tcPr>
            <w:tcW w:w="204" w:type="pct"/>
            <w:vMerge w:val="continue"/>
            <w:vAlign w:val="center"/>
          </w:tcPr>
          <w:p w14:paraId="48291AD6">
            <w:pPr>
              <w:widowControl/>
              <w:jc w:val="center"/>
              <w:rPr>
                <w:kern w:val="0"/>
                <w:sz w:val="21"/>
                <w:szCs w:val="21"/>
              </w:rPr>
            </w:pPr>
          </w:p>
        </w:tc>
        <w:tc>
          <w:tcPr>
            <w:tcW w:w="205" w:type="pct"/>
            <w:vMerge w:val="continue"/>
            <w:vAlign w:val="center"/>
          </w:tcPr>
          <w:p w14:paraId="39762A5F">
            <w:pPr>
              <w:widowControl/>
              <w:jc w:val="center"/>
              <w:rPr>
                <w:kern w:val="0"/>
                <w:sz w:val="21"/>
                <w:szCs w:val="21"/>
              </w:rPr>
            </w:pPr>
          </w:p>
        </w:tc>
        <w:tc>
          <w:tcPr>
            <w:tcW w:w="251" w:type="pct"/>
            <w:vMerge w:val="continue"/>
            <w:vAlign w:val="center"/>
          </w:tcPr>
          <w:p w14:paraId="2458C82F">
            <w:pPr>
              <w:widowControl/>
              <w:jc w:val="center"/>
              <w:rPr>
                <w:rFonts w:ascii="宋体" w:hAnsi="宋体" w:cs="宋体"/>
                <w:kern w:val="0"/>
                <w:sz w:val="21"/>
                <w:szCs w:val="21"/>
              </w:rPr>
            </w:pPr>
          </w:p>
        </w:tc>
      </w:tr>
      <w:tr w14:paraId="4379EC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5A80E870">
            <w:pPr>
              <w:widowControl/>
              <w:jc w:val="center"/>
              <w:rPr>
                <w:kern w:val="0"/>
                <w:sz w:val="21"/>
                <w:szCs w:val="21"/>
              </w:rPr>
            </w:pPr>
          </w:p>
        </w:tc>
        <w:tc>
          <w:tcPr>
            <w:tcW w:w="280" w:type="pct"/>
            <w:vMerge w:val="continue"/>
            <w:vAlign w:val="center"/>
          </w:tcPr>
          <w:p w14:paraId="48C5147C">
            <w:pPr>
              <w:widowControl/>
              <w:jc w:val="center"/>
              <w:rPr>
                <w:kern w:val="0"/>
                <w:sz w:val="21"/>
                <w:szCs w:val="21"/>
              </w:rPr>
            </w:pPr>
          </w:p>
        </w:tc>
        <w:tc>
          <w:tcPr>
            <w:tcW w:w="219" w:type="pct"/>
            <w:vMerge w:val="continue"/>
            <w:vAlign w:val="center"/>
          </w:tcPr>
          <w:p w14:paraId="5CC98C11">
            <w:pPr>
              <w:widowControl/>
              <w:jc w:val="center"/>
              <w:rPr>
                <w:rFonts w:ascii="宋体" w:hAnsi="宋体" w:cs="宋体"/>
                <w:kern w:val="0"/>
                <w:sz w:val="21"/>
                <w:szCs w:val="21"/>
              </w:rPr>
            </w:pPr>
          </w:p>
        </w:tc>
        <w:tc>
          <w:tcPr>
            <w:tcW w:w="251" w:type="pct"/>
            <w:shd w:val="clear" w:color="auto" w:fill="auto"/>
            <w:vAlign w:val="center"/>
          </w:tcPr>
          <w:p w14:paraId="30FC148B">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20DD60B2">
            <w:pPr>
              <w:widowControl/>
              <w:jc w:val="center"/>
              <w:rPr>
                <w:kern w:val="0"/>
                <w:sz w:val="21"/>
                <w:szCs w:val="21"/>
              </w:rPr>
            </w:pPr>
            <w:r>
              <w:rPr>
                <w:kern w:val="0"/>
                <w:sz w:val="21"/>
                <w:szCs w:val="21"/>
              </w:rPr>
              <w:t>0.4</w:t>
            </w:r>
          </w:p>
        </w:tc>
        <w:tc>
          <w:tcPr>
            <w:tcW w:w="358" w:type="pct"/>
            <w:shd w:val="clear" w:color="auto" w:fill="auto"/>
            <w:vAlign w:val="center"/>
          </w:tcPr>
          <w:p w14:paraId="2202E1A6">
            <w:pPr>
              <w:widowControl/>
              <w:jc w:val="center"/>
              <w:rPr>
                <w:kern w:val="0"/>
                <w:sz w:val="21"/>
                <w:szCs w:val="21"/>
              </w:rPr>
            </w:pPr>
            <w:r>
              <w:rPr>
                <w:kern w:val="0"/>
                <w:sz w:val="21"/>
                <w:szCs w:val="21"/>
              </w:rPr>
              <w:t>0.01</w:t>
            </w:r>
          </w:p>
        </w:tc>
        <w:tc>
          <w:tcPr>
            <w:tcW w:w="356" w:type="pct"/>
            <w:shd w:val="clear" w:color="auto" w:fill="auto"/>
            <w:vAlign w:val="center"/>
          </w:tcPr>
          <w:p w14:paraId="2B085A17">
            <w:pPr>
              <w:widowControl/>
              <w:jc w:val="center"/>
              <w:rPr>
                <w:kern w:val="0"/>
                <w:sz w:val="21"/>
                <w:szCs w:val="21"/>
              </w:rPr>
            </w:pPr>
            <w:r>
              <w:rPr>
                <w:kern w:val="0"/>
                <w:sz w:val="21"/>
                <w:szCs w:val="21"/>
              </w:rPr>
              <w:t>0.02475</w:t>
            </w:r>
          </w:p>
        </w:tc>
        <w:tc>
          <w:tcPr>
            <w:tcW w:w="263" w:type="pct"/>
            <w:vMerge w:val="continue"/>
            <w:vAlign w:val="center"/>
          </w:tcPr>
          <w:p w14:paraId="7B8430DA">
            <w:pPr>
              <w:widowControl/>
              <w:jc w:val="center"/>
              <w:rPr>
                <w:rFonts w:ascii="宋体" w:hAnsi="宋体" w:cs="宋体"/>
                <w:kern w:val="0"/>
                <w:sz w:val="21"/>
                <w:szCs w:val="21"/>
              </w:rPr>
            </w:pPr>
          </w:p>
        </w:tc>
        <w:tc>
          <w:tcPr>
            <w:tcW w:w="177" w:type="pct"/>
            <w:vMerge w:val="continue"/>
            <w:vAlign w:val="center"/>
          </w:tcPr>
          <w:p w14:paraId="49ACCC56">
            <w:pPr>
              <w:widowControl/>
              <w:jc w:val="center"/>
              <w:rPr>
                <w:kern w:val="0"/>
                <w:sz w:val="21"/>
                <w:szCs w:val="21"/>
              </w:rPr>
            </w:pPr>
          </w:p>
        </w:tc>
        <w:tc>
          <w:tcPr>
            <w:tcW w:w="269" w:type="pct"/>
            <w:vMerge w:val="continue"/>
            <w:vAlign w:val="center"/>
          </w:tcPr>
          <w:p w14:paraId="3DCD17EB">
            <w:pPr>
              <w:widowControl/>
              <w:jc w:val="center"/>
              <w:rPr>
                <w:rFonts w:ascii="宋体" w:hAnsi="宋体" w:cs="宋体"/>
                <w:kern w:val="0"/>
                <w:sz w:val="21"/>
                <w:szCs w:val="21"/>
              </w:rPr>
            </w:pPr>
          </w:p>
        </w:tc>
        <w:tc>
          <w:tcPr>
            <w:tcW w:w="302" w:type="pct"/>
            <w:vMerge w:val="continue"/>
            <w:vAlign w:val="center"/>
          </w:tcPr>
          <w:p w14:paraId="2B5AE948">
            <w:pPr>
              <w:widowControl/>
              <w:jc w:val="center"/>
              <w:rPr>
                <w:kern w:val="0"/>
                <w:sz w:val="21"/>
                <w:szCs w:val="21"/>
              </w:rPr>
            </w:pPr>
          </w:p>
        </w:tc>
        <w:tc>
          <w:tcPr>
            <w:tcW w:w="389" w:type="pct"/>
            <w:vMerge w:val="continue"/>
            <w:vAlign w:val="center"/>
          </w:tcPr>
          <w:p w14:paraId="6E05B878">
            <w:pPr>
              <w:widowControl/>
              <w:jc w:val="center"/>
              <w:rPr>
                <w:kern w:val="0"/>
                <w:sz w:val="21"/>
                <w:szCs w:val="21"/>
              </w:rPr>
            </w:pPr>
          </w:p>
        </w:tc>
        <w:tc>
          <w:tcPr>
            <w:tcW w:w="351" w:type="pct"/>
            <w:vMerge w:val="continue"/>
            <w:vAlign w:val="center"/>
          </w:tcPr>
          <w:p w14:paraId="4836DAF8">
            <w:pPr>
              <w:widowControl/>
              <w:jc w:val="center"/>
              <w:rPr>
                <w:kern w:val="0"/>
                <w:sz w:val="21"/>
                <w:szCs w:val="21"/>
              </w:rPr>
            </w:pPr>
          </w:p>
        </w:tc>
        <w:tc>
          <w:tcPr>
            <w:tcW w:w="204" w:type="pct"/>
            <w:vMerge w:val="continue"/>
            <w:vAlign w:val="center"/>
          </w:tcPr>
          <w:p w14:paraId="1A2AA95A">
            <w:pPr>
              <w:widowControl/>
              <w:jc w:val="center"/>
              <w:rPr>
                <w:kern w:val="0"/>
                <w:sz w:val="21"/>
                <w:szCs w:val="21"/>
              </w:rPr>
            </w:pPr>
          </w:p>
        </w:tc>
        <w:tc>
          <w:tcPr>
            <w:tcW w:w="255" w:type="pct"/>
            <w:vMerge w:val="continue"/>
            <w:vAlign w:val="center"/>
          </w:tcPr>
          <w:p w14:paraId="1226EB12">
            <w:pPr>
              <w:widowControl/>
              <w:jc w:val="center"/>
              <w:rPr>
                <w:kern w:val="0"/>
                <w:sz w:val="21"/>
                <w:szCs w:val="21"/>
              </w:rPr>
            </w:pPr>
          </w:p>
        </w:tc>
        <w:tc>
          <w:tcPr>
            <w:tcW w:w="203" w:type="pct"/>
            <w:vMerge w:val="continue"/>
            <w:vAlign w:val="center"/>
          </w:tcPr>
          <w:p w14:paraId="7CFDC752">
            <w:pPr>
              <w:widowControl/>
              <w:jc w:val="center"/>
              <w:rPr>
                <w:kern w:val="0"/>
                <w:sz w:val="21"/>
                <w:szCs w:val="21"/>
              </w:rPr>
            </w:pPr>
          </w:p>
        </w:tc>
        <w:tc>
          <w:tcPr>
            <w:tcW w:w="204" w:type="pct"/>
            <w:vMerge w:val="continue"/>
            <w:vAlign w:val="center"/>
          </w:tcPr>
          <w:p w14:paraId="4F8FA290">
            <w:pPr>
              <w:widowControl/>
              <w:jc w:val="center"/>
              <w:rPr>
                <w:kern w:val="0"/>
                <w:sz w:val="21"/>
                <w:szCs w:val="21"/>
              </w:rPr>
            </w:pPr>
          </w:p>
        </w:tc>
        <w:tc>
          <w:tcPr>
            <w:tcW w:w="205" w:type="pct"/>
            <w:vMerge w:val="continue"/>
            <w:vAlign w:val="center"/>
          </w:tcPr>
          <w:p w14:paraId="0B71CAE9">
            <w:pPr>
              <w:widowControl/>
              <w:jc w:val="center"/>
              <w:rPr>
                <w:kern w:val="0"/>
                <w:sz w:val="21"/>
                <w:szCs w:val="21"/>
              </w:rPr>
            </w:pPr>
          </w:p>
        </w:tc>
        <w:tc>
          <w:tcPr>
            <w:tcW w:w="251" w:type="pct"/>
            <w:vMerge w:val="continue"/>
            <w:vAlign w:val="center"/>
          </w:tcPr>
          <w:p w14:paraId="2116D993">
            <w:pPr>
              <w:widowControl/>
              <w:jc w:val="center"/>
              <w:rPr>
                <w:rFonts w:ascii="宋体" w:hAnsi="宋体" w:cs="宋体"/>
                <w:kern w:val="0"/>
                <w:sz w:val="21"/>
                <w:szCs w:val="21"/>
              </w:rPr>
            </w:pPr>
          </w:p>
        </w:tc>
      </w:tr>
      <w:tr w14:paraId="07885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26A45EF1">
            <w:pPr>
              <w:widowControl/>
              <w:jc w:val="center"/>
              <w:rPr>
                <w:kern w:val="0"/>
                <w:sz w:val="21"/>
                <w:szCs w:val="21"/>
              </w:rPr>
            </w:pPr>
          </w:p>
        </w:tc>
        <w:tc>
          <w:tcPr>
            <w:tcW w:w="280" w:type="pct"/>
            <w:vMerge w:val="continue"/>
            <w:vAlign w:val="center"/>
          </w:tcPr>
          <w:p w14:paraId="342D7935">
            <w:pPr>
              <w:widowControl/>
              <w:jc w:val="center"/>
              <w:rPr>
                <w:kern w:val="0"/>
                <w:sz w:val="21"/>
                <w:szCs w:val="21"/>
              </w:rPr>
            </w:pPr>
          </w:p>
        </w:tc>
        <w:tc>
          <w:tcPr>
            <w:tcW w:w="219" w:type="pct"/>
            <w:vMerge w:val="continue"/>
            <w:vAlign w:val="center"/>
          </w:tcPr>
          <w:p w14:paraId="64D9E816">
            <w:pPr>
              <w:widowControl/>
              <w:jc w:val="center"/>
              <w:rPr>
                <w:rFonts w:ascii="宋体" w:hAnsi="宋体" w:cs="宋体"/>
                <w:kern w:val="0"/>
                <w:sz w:val="21"/>
                <w:szCs w:val="21"/>
              </w:rPr>
            </w:pPr>
          </w:p>
        </w:tc>
        <w:tc>
          <w:tcPr>
            <w:tcW w:w="251" w:type="pct"/>
            <w:shd w:val="clear" w:color="auto" w:fill="auto"/>
            <w:vAlign w:val="center"/>
          </w:tcPr>
          <w:p w14:paraId="6E9313DC">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0CEE2722">
            <w:pPr>
              <w:widowControl/>
              <w:jc w:val="center"/>
              <w:rPr>
                <w:kern w:val="0"/>
                <w:sz w:val="21"/>
                <w:szCs w:val="21"/>
              </w:rPr>
            </w:pPr>
            <w:r>
              <w:rPr>
                <w:kern w:val="0"/>
                <w:sz w:val="21"/>
                <w:szCs w:val="21"/>
              </w:rPr>
              <w:t>2.3</w:t>
            </w:r>
          </w:p>
        </w:tc>
        <w:tc>
          <w:tcPr>
            <w:tcW w:w="358" w:type="pct"/>
            <w:shd w:val="clear" w:color="auto" w:fill="auto"/>
            <w:vAlign w:val="center"/>
          </w:tcPr>
          <w:p w14:paraId="3E723C39">
            <w:pPr>
              <w:widowControl/>
              <w:jc w:val="center"/>
              <w:rPr>
                <w:kern w:val="0"/>
                <w:sz w:val="21"/>
                <w:szCs w:val="21"/>
              </w:rPr>
            </w:pPr>
            <w:r>
              <w:rPr>
                <w:kern w:val="0"/>
                <w:sz w:val="21"/>
                <w:szCs w:val="21"/>
              </w:rPr>
              <w:t>0.066</w:t>
            </w:r>
          </w:p>
        </w:tc>
        <w:tc>
          <w:tcPr>
            <w:tcW w:w="356" w:type="pct"/>
            <w:shd w:val="clear" w:color="auto" w:fill="auto"/>
            <w:vAlign w:val="center"/>
          </w:tcPr>
          <w:p w14:paraId="7A9C714E">
            <w:pPr>
              <w:widowControl/>
              <w:jc w:val="center"/>
              <w:rPr>
                <w:kern w:val="0"/>
                <w:sz w:val="21"/>
                <w:szCs w:val="21"/>
              </w:rPr>
            </w:pPr>
            <w:r>
              <w:rPr>
                <w:kern w:val="0"/>
                <w:sz w:val="21"/>
                <w:szCs w:val="21"/>
              </w:rPr>
              <w:t>0.1575</w:t>
            </w:r>
          </w:p>
        </w:tc>
        <w:tc>
          <w:tcPr>
            <w:tcW w:w="263" w:type="pct"/>
            <w:vMerge w:val="continue"/>
            <w:vAlign w:val="center"/>
          </w:tcPr>
          <w:p w14:paraId="7C8F7C20">
            <w:pPr>
              <w:widowControl/>
              <w:jc w:val="center"/>
              <w:rPr>
                <w:rFonts w:ascii="宋体" w:hAnsi="宋体" w:cs="宋体"/>
                <w:kern w:val="0"/>
                <w:sz w:val="21"/>
                <w:szCs w:val="21"/>
              </w:rPr>
            </w:pPr>
          </w:p>
        </w:tc>
        <w:tc>
          <w:tcPr>
            <w:tcW w:w="177" w:type="pct"/>
            <w:vMerge w:val="continue"/>
            <w:vAlign w:val="center"/>
          </w:tcPr>
          <w:p w14:paraId="40347F1D">
            <w:pPr>
              <w:widowControl/>
              <w:jc w:val="center"/>
              <w:rPr>
                <w:kern w:val="0"/>
                <w:sz w:val="21"/>
                <w:szCs w:val="21"/>
              </w:rPr>
            </w:pPr>
          </w:p>
        </w:tc>
        <w:tc>
          <w:tcPr>
            <w:tcW w:w="269" w:type="pct"/>
            <w:vMerge w:val="continue"/>
            <w:vAlign w:val="center"/>
          </w:tcPr>
          <w:p w14:paraId="40A998AD">
            <w:pPr>
              <w:widowControl/>
              <w:jc w:val="center"/>
              <w:rPr>
                <w:rFonts w:ascii="宋体" w:hAnsi="宋体" w:cs="宋体"/>
                <w:kern w:val="0"/>
                <w:sz w:val="21"/>
                <w:szCs w:val="21"/>
              </w:rPr>
            </w:pPr>
          </w:p>
        </w:tc>
        <w:tc>
          <w:tcPr>
            <w:tcW w:w="302" w:type="pct"/>
            <w:vMerge w:val="continue"/>
            <w:vAlign w:val="center"/>
          </w:tcPr>
          <w:p w14:paraId="4365785B">
            <w:pPr>
              <w:widowControl/>
              <w:jc w:val="center"/>
              <w:rPr>
                <w:kern w:val="0"/>
                <w:sz w:val="21"/>
                <w:szCs w:val="21"/>
              </w:rPr>
            </w:pPr>
          </w:p>
        </w:tc>
        <w:tc>
          <w:tcPr>
            <w:tcW w:w="389" w:type="pct"/>
            <w:vMerge w:val="continue"/>
            <w:vAlign w:val="center"/>
          </w:tcPr>
          <w:p w14:paraId="312F45BA">
            <w:pPr>
              <w:widowControl/>
              <w:jc w:val="center"/>
              <w:rPr>
                <w:kern w:val="0"/>
                <w:sz w:val="21"/>
                <w:szCs w:val="21"/>
              </w:rPr>
            </w:pPr>
          </w:p>
        </w:tc>
        <w:tc>
          <w:tcPr>
            <w:tcW w:w="351" w:type="pct"/>
            <w:vMerge w:val="continue"/>
            <w:vAlign w:val="center"/>
          </w:tcPr>
          <w:p w14:paraId="6CF231F0">
            <w:pPr>
              <w:widowControl/>
              <w:jc w:val="center"/>
              <w:rPr>
                <w:kern w:val="0"/>
                <w:sz w:val="21"/>
                <w:szCs w:val="21"/>
              </w:rPr>
            </w:pPr>
          </w:p>
        </w:tc>
        <w:tc>
          <w:tcPr>
            <w:tcW w:w="204" w:type="pct"/>
            <w:vMerge w:val="continue"/>
            <w:vAlign w:val="center"/>
          </w:tcPr>
          <w:p w14:paraId="63D7EC59">
            <w:pPr>
              <w:widowControl/>
              <w:jc w:val="center"/>
              <w:rPr>
                <w:kern w:val="0"/>
                <w:sz w:val="21"/>
                <w:szCs w:val="21"/>
              </w:rPr>
            </w:pPr>
          </w:p>
        </w:tc>
        <w:tc>
          <w:tcPr>
            <w:tcW w:w="255" w:type="pct"/>
            <w:vMerge w:val="continue"/>
            <w:vAlign w:val="center"/>
          </w:tcPr>
          <w:p w14:paraId="3C8A9AE9">
            <w:pPr>
              <w:widowControl/>
              <w:jc w:val="center"/>
              <w:rPr>
                <w:kern w:val="0"/>
                <w:sz w:val="21"/>
                <w:szCs w:val="21"/>
              </w:rPr>
            </w:pPr>
          </w:p>
        </w:tc>
        <w:tc>
          <w:tcPr>
            <w:tcW w:w="203" w:type="pct"/>
            <w:vMerge w:val="continue"/>
            <w:vAlign w:val="center"/>
          </w:tcPr>
          <w:p w14:paraId="1FD7C422">
            <w:pPr>
              <w:widowControl/>
              <w:jc w:val="center"/>
              <w:rPr>
                <w:kern w:val="0"/>
                <w:sz w:val="21"/>
                <w:szCs w:val="21"/>
              </w:rPr>
            </w:pPr>
          </w:p>
        </w:tc>
        <w:tc>
          <w:tcPr>
            <w:tcW w:w="204" w:type="pct"/>
            <w:vMerge w:val="continue"/>
            <w:vAlign w:val="center"/>
          </w:tcPr>
          <w:p w14:paraId="2E91887A">
            <w:pPr>
              <w:widowControl/>
              <w:jc w:val="center"/>
              <w:rPr>
                <w:kern w:val="0"/>
                <w:sz w:val="21"/>
                <w:szCs w:val="21"/>
              </w:rPr>
            </w:pPr>
          </w:p>
        </w:tc>
        <w:tc>
          <w:tcPr>
            <w:tcW w:w="205" w:type="pct"/>
            <w:vMerge w:val="continue"/>
            <w:vAlign w:val="center"/>
          </w:tcPr>
          <w:p w14:paraId="003CDAC6">
            <w:pPr>
              <w:widowControl/>
              <w:jc w:val="center"/>
              <w:rPr>
                <w:kern w:val="0"/>
                <w:sz w:val="21"/>
                <w:szCs w:val="21"/>
              </w:rPr>
            </w:pPr>
          </w:p>
        </w:tc>
        <w:tc>
          <w:tcPr>
            <w:tcW w:w="251" w:type="pct"/>
            <w:vMerge w:val="continue"/>
            <w:vAlign w:val="center"/>
          </w:tcPr>
          <w:p w14:paraId="49506B58">
            <w:pPr>
              <w:widowControl/>
              <w:jc w:val="center"/>
              <w:rPr>
                <w:rFonts w:ascii="宋体" w:hAnsi="宋体" w:cs="宋体"/>
                <w:kern w:val="0"/>
                <w:sz w:val="21"/>
                <w:szCs w:val="21"/>
              </w:rPr>
            </w:pPr>
          </w:p>
        </w:tc>
      </w:tr>
      <w:tr w14:paraId="492951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 w:type="pct"/>
            <w:vMerge w:val="restart"/>
            <w:shd w:val="clear" w:color="auto" w:fill="auto"/>
            <w:vAlign w:val="center"/>
          </w:tcPr>
          <w:p w14:paraId="6F1B18D5">
            <w:pPr>
              <w:widowControl/>
              <w:jc w:val="center"/>
              <w:rPr>
                <w:kern w:val="0"/>
                <w:sz w:val="21"/>
                <w:szCs w:val="21"/>
              </w:rPr>
            </w:pPr>
            <w:r>
              <w:rPr>
                <w:kern w:val="0"/>
                <w:sz w:val="21"/>
                <w:szCs w:val="21"/>
              </w:rPr>
              <w:t>7#</w:t>
            </w:r>
          </w:p>
        </w:tc>
        <w:tc>
          <w:tcPr>
            <w:tcW w:w="280" w:type="pct"/>
            <w:vMerge w:val="restart"/>
            <w:shd w:val="clear" w:color="auto" w:fill="auto"/>
            <w:vAlign w:val="center"/>
          </w:tcPr>
          <w:p w14:paraId="31B68BE2">
            <w:pPr>
              <w:widowControl/>
              <w:jc w:val="center"/>
              <w:rPr>
                <w:kern w:val="0"/>
                <w:sz w:val="21"/>
                <w:szCs w:val="21"/>
              </w:rPr>
            </w:pPr>
            <w:r>
              <w:rPr>
                <w:kern w:val="0"/>
                <w:sz w:val="21"/>
                <w:szCs w:val="21"/>
              </w:rPr>
              <w:t>36000</w:t>
            </w:r>
          </w:p>
        </w:tc>
        <w:tc>
          <w:tcPr>
            <w:tcW w:w="219" w:type="pct"/>
            <w:vMerge w:val="restart"/>
            <w:shd w:val="clear" w:color="auto" w:fill="auto"/>
            <w:vAlign w:val="center"/>
          </w:tcPr>
          <w:p w14:paraId="63E0D112">
            <w:pPr>
              <w:widowControl/>
              <w:jc w:val="center"/>
              <w:rPr>
                <w:rFonts w:ascii="宋体" w:hAnsi="宋体" w:cs="宋体"/>
                <w:kern w:val="0"/>
                <w:sz w:val="21"/>
                <w:szCs w:val="21"/>
              </w:rPr>
            </w:pPr>
            <w:r>
              <w:rPr>
                <w:rFonts w:hint="eastAsia" w:ascii="宋体" w:hAnsi="宋体" w:cs="宋体"/>
                <w:kern w:val="0"/>
                <w:sz w:val="21"/>
                <w:szCs w:val="21"/>
              </w:rPr>
              <w:t>混炼</w:t>
            </w:r>
          </w:p>
        </w:tc>
        <w:tc>
          <w:tcPr>
            <w:tcW w:w="251" w:type="pct"/>
            <w:shd w:val="clear" w:color="auto" w:fill="auto"/>
            <w:vAlign w:val="center"/>
          </w:tcPr>
          <w:p w14:paraId="2E217A4D">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5" w:type="pct"/>
            <w:shd w:val="clear" w:color="auto" w:fill="auto"/>
            <w:vAlign w:val="center"/>
          </w:tcPr>
          <w:p w14:paraId="6B24FA32">
            <w:pPr>
              <w:widowControl/>
              <w:jc w:val="center"/>
              <w:rPr>
                <w:kern w:val="0"/>
                <w:sz w:val="21"/>
                <w:szCs w:val="21"/>
              </w:rPr>
            </w:pPr>
            <w:r>
              <w:rPr>
                <w:kern w:val="0"/>
                <w:sz w:val="21"/>
                <w:szCs w:val="21"/>
              </w:rPr>
              <w:t>52.60</w:t>
            </w:r>
          </w:p>
        </w:tc>
        <w:tc>
          <w:tcPr>
            <w:tcW w:w="358" w:type="pct"/>
            <w:shd w:val="clear" w:color="auto" w:fill="auto"/>
            <w:vAlign w:val="center"/>
          </w:tcPr>
          <w:p w14:paraId="42384C6E">
            <w:pPr>
              <w:widowControl/>
              <w:jc w:val="center"/>
              <w:rPr>
                <w:kern w:val="0"/>
                <w:sz w:val="21"/>
                <w:szCs w:val="21"/>
              </w:rPr>
            </w:pPr>
            <w:r>
              <w:rPr>
                <w:kern w:val="0"/>
                <w:sz w:val="21"/>
                <w:szCs w:val="21"/>
              </w:rPr>
              <w:t>1.894</w:t>
            </w:r>
          </w:p>
        </w:tc>
        <w:tc>
          <w:tcPr>
            <w:tcW w:w="356" w:type="pct"/>
            <w:shd w:val="clear" w:color="auto" w:fill="auto"/>
            <w:vAlign w:val="center"/>
          </w:tcPr>
          <w:p w14:paraId="251E0974">
            <w:pPr>
              <w:widowControl/>
              <w:jc w:val="center"/>
              <w:rPr>
                <w:kern w:val="0"/>
                <w:sz w:val="21"/>
                <w:szCs w:val="21"/>
              </w:rPr>
            </w:pPr>
            <w:r>
              <w:rPr>
                <w:kern w:val="0"/>
                <w:sz w:val="21"/>
                <w:szCs w:val="21"/>
              </w:rPr>
              <w:t>4.545</w:t>
            </w:r>
          </w:p>
        </w:tc>
        <w:tc>
          <w:tcPr>
            <w:tcW w:w="263" w:type="pct"/>
            <w:vMerge w:val="restart"/>
            <w:shd w:val="clear" w:color="auto" w:fill="auto"/>
            <w:vAlign w:val="center"/>
          </w:tcPr>
          <w:p w14:paraId="38BA3009">
            <w:pPr>
              <w:widowControl/>
              <w:jc w:val="center"/>
              <w:rPr>
                <w:rFonts w:ascii="宋体" w:hAnsi="宋体" w:cs="宋体"/>
                <w:kern w:val="0"/>
                <w:sz w:val="21"/>
                <w:szCs w:val="21"/>
              </w:rPr>
            </w:pPr>
            <w:r>
              <w:rPr>
                <w:rFonts w:hint="eastAsia" w:ascii="宋体" w:hAnsi="宋体" w:cs="宋体"/>
                <w:kern w:val="0"/>
                <w:sz w:val="21"/>
                <w:szCs w:val="21"/>
              </w:rPr>
              <w:t>布袋除尘</w:t>
            </w:r>
            <w:r>
              <w:rPr>
                <w:kern w:val="0"/>
                <w:sz w:val="21"/>
                <w:szCs w:val="21"/>
              </w:rPr>
              <w:t>+二级</w:t>
            </w:r>
            <w:r>
              <w:rPr>
                <w:rFonts w:hint="eastAsia" w:ascii="宋体" w:hAnsi="宋体" w:cs="宋体"/>
                <w:kern w:val="0"/>
                <w:sz w:val="21"/>
                <w:szCs w:val="21"/>
              </w:rPr>
              <w:t>活性炭吸附装置</w:t>
            </w:r>
          </w:p>
        </w:tc>
        <w:tc>
          <w:tcPr>
            <w:tcW w:w="177" w:type="pct"/>
            <w:shd w:val="clear" w:color="auto" w:fill="auto"/>
            <w:vAlign w:val="center"/>
          </w:tcPr>
          <w:p w14:paraId="4A019899">
            <w:pPr>
              <w:widowControl/>
              <w:jc w:val="center"/>
              <w:rPr>
                <w:kern w:val="0"/>
                <w:sz w:val="21"/>
                <w:szCs w:val="21"/>
              </w:rPr>
            </w:pPr>
            <w:r>
              <w:rPr>
                <w:kern w:val="0"/>
                <w:sz w:val="21"/>
                <w:szCs w:val="21"/>
              </w:rPr>
              <w:t>99</w:t>
            </w:r>
          </w:p>
        </w:tc>
        <w:tc>
          <w:tcPr>
            <w:tcW w:w="269" w:type="pct"/>
            <w:shd w:val="clear" w:color="auto" w:fill="auto"/>
            <w:vAlign w:val="center"/>
          </w:tcPr>
          <w:p w14:paraId="26505D61">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2" w:type="pct"/>
            <w:shd w:val="clear" w:color="auto" w:fill="auto"/>
            <w:vAlign w:val="center"/>
          </w:tcPr>
          <w:p w14:paraId="3424B6CD">
            <w:pPr>
              <w:widowControl/>
              <w:jc w:val="center"/>
              <w:rPr>
                <w:kern w:val="0"/>
                <w:sz w:val="21"/>
                <w:szCs w:val="21"/>
              </w:rPr>
            </w:pPr>
            <w:r>
              <w:rPr>
                <w:kern w:val="0"/>
                <w:sz w:val="21"/>
                <w:szCs w:val="21"/>
              </w:rPr>
              <w:t>0.57</w:t>
            </w:r>
          </w:p>
        </w:tc>
        <w:tc>
          <w:tcPr>
            <w:tcW w:w="389" w:type="pct"/>
            <w:shd w:val="clear" w:color="auto" w:fill="auto"/>
            <w:vAlign w:val="center"/>
          </w:tcPr>
          <w:p w14:paraId="3F969F78">
            <w:pPr>
              <w:widowControl/>
              <w:jc w:val="center"/>
              <w:rPr>
                <w:kern w:val="0"/>
                <w:sz w:val="21"/>
                <w:szCs w:val="21"/>
              </w:rPr>
            </w:pPr>
            <w:r>
              <w:rPr>
                <w:kern w:val="0"/>
                <w:sz w:val="21"/>
                <w:szCs w:val="21"/>
              </w:rPr>
              <w:t>0.020</w:t>
            </w:r>
          </w:p>
        </w:tc>
        <w:tc>
          <w:tcPr>
            <w:tcW w:w="351" w:type="pct"/>
            <w:shd w:val="clear" w:color="auto" w:fill="auto"/>
            <w:vAlign w:val="center"/>
          </w:tcPr>
          <w:p w14:paraId="690A038C">
            <w:pPr>
              <w:widowControl/>
              <w:jc w:val="center"/>
              <w:rPr>
                <w:kern w:val="0"/>
                <w:sz w:val="21"/>
                <w:szCs w:val="21"/>
              </w:rPr>
            </w:pPr>
            <w:r>
              <w:rPr>
                <w:kern w:val="0"/>
                <w:sz w:val="21"/>
                <w:szCs w:val="21"/>
              </w:rPr>
              <w:t>0.049</w:t>
            </w:r>
          </w:p>
        </w:tc>
        <w:tc>
          <w:tcPr>
            <w:tcW w:w="204" w:type="pct"/>
            <w:shd w:val="clear" w:color="auto" w:fill="auto"/>
            <w:vAlign w:val="center"/>
          </w:tcPr>
          <w:p w14:paraId="61D92F24">
            <w:pPr>
              <w:widowControl/>
              <w:snapToGrid w:val="0"/>
              <w:jc w:val="center"/>
              <w:rPr>
                <w:kern w:val="0"/>
                <w:sz w:val="21"/>
                <w:szCs w:val="21"/>
              </w:rPr>
            </w:pPr>
            <w:r>
              <w:rPr>
                <w:rFonts w:hint="eastAsia"/>
                <w:kern w:val="0"/>
                <w:sz w:val="21"/>
                <w:szCs w:val="21"/>
              </w:rPr>
              <w:t>12</w:t>
            </w:r>
          </w:p>
        </w:tc>
        <w:tc>
          <w:tcPr>
            <w:tcW w:w="255" w:type="pct"/>
            <w:shd w:val="clear" w:color="auto" w:fill="auto"/>
            <w:vAlign w:val="center"/>
          </w:tcPr>
          <w:p w14:paraId="7D7F3897">
            <w:pPr>
              <w:widowControl/>
              <w:snapToGrid w:val="0"/>
              <w:jc w:val="center"/>
              <w:rPr>
                <w:kern w:val="0"/>
                <w:sz w:val="21"/>
                <w:szCs w:val="21"/>
              </w:rPr>
            </w:pPr>
            <w:r>
              <w:rPr>
                <w:rFonts w:hint="eastAsia"/>
                <w:kern w:val="0"/>
                <w:sz w:val="21"/>
                <w:szCs w:val="21"/>
              </w:rPr>
              <w:t>/</w:t>
            </w:r>
          </w:p>
        </w:tc>
        <w:tc>
          <w:tcPr>
            <w:tcW w:w="203" w:type="pct"/>
            <w:vMerge w:val="restart"/>
            <w:shd w:val="clear" w:color="auto" w:fill="auto"/>
            <w:vAlign w:val="center"/>
          </w:tcPr>
          <w:p w14:paraId="48767651">
            <w:pPr>
              <w:widowControl/>
              <w:jc w:val="center"/>
              <w:rPr>
                <w:kern w:val="0"/>
                <w:sz w:val="21"/>
                <w:szCs w:val="21"/>
              </w:rPr>
            </w:pPr>
            <w:r>
              <w:rPr>
                <w:kern w:val="0"/>
                <w:sz w:val="21"/>
                <w:szCs w:val="21"/>
              </w:rPr>
              <w:t>15</w:t>
            </w:r>
          </w:p>
        </w:tc>
        <w:tc>
          <w:tcPr>
            <w:tcW w:w="204" w:type="pct"/>
            <w:vMerge w:val="restart"/>
            <w:shd w:val="clear" w:color="auto" w:fill="auto"/>
            <w:vAlign w:val="center"/>
          </w:tcPr>
          <w:p w14:paraId="77BA5750">
            <w:pPr>
              <w:widowControl/>
              <w:jc w:val="center"/>
              <w:rPr>
                <w:kern w:val="0"/>
                <w:sz w:val="21"/>
                <w:szCs w:val="21"/>
              </w:rPr>
            </w:pPr>
            <w:r>
              <w:rPr>
                <w:kern w:val="0"/>
                <w:sz w:val="21"/>
                <w:szCs w:val="21"/>
              </w:rPr>
              <w:t>0.</w:t>
            </w:r>
            <w:r>
              <w:rPr>
                <w:rFonts w:hint="eastAsia"/>
                <w:kern w:val="0"/>
                <w:sz w:val="21"/>
                <w:szCs w:val="21"/>
              </w:rPr>
              <w:t>8</w:t>
            </w:r>
          </w:p>
        </w:tc>
        <w:tc>
          <w:tcPr>
            <w:tcW w:w="205" w:type="pct"/>
            <w:vMerge w:val="restart"/>
            <w:shd w:val="clear" w:color="auto" w:fill="auto"/>
            <w:vAlign w:val="center"/>
          </w:tcPr>
          <w:p w14:paraId="0A1D2700">
            <w:pPr>
              <w:widowControl/>
              <w:jc w:val="center"/>
              <w:rPr>
                <w:kern w:val="0"/>
                <w:sz w:val="21"/>
                <w:szCs w:val="21"/>
              </w:rPr>
            </w:pPr>
            <w:r>
              <w:rPr>
                <w:kern w:val="0"/>
                <w:sz w:val="21"/>
                <w:szCs w:val="21"/>
              </w:rPr>
              <w:t>35</w:t>
            </w:r>
          </w:p>
        </w:tc>
        <w:tc>
          <w:tcPr>
            <w:tcW w:w="251" w:type="pct"/>
            <w:vMerge w:val="restart"/>
            <w:shd w:val="clear" w:color="auto" w:fill="auto"/>
            <w:vAlign w:val="center"/>
          </w:tcPr>
          <w:p w14:paraId="741DED5C">
            <w:pPr>
              <w:widowControl/>
              <w:jc w:val="center"/>
              <w:rPr>
                <w:rFonts w:ascii="宋体" w:hAnsi="宋体" w:cs="宋体"/>
                <w:kern w:val="0"/>
                <w:sz w:val="21"/>
                <w:szCs w:val="21"/>
              </w:rPr>
            </w:pPr>
            <w:r>
              <w:rPr>
                <w:rFonts w:hint="eastAsia" w:ascii="宋体" w:hAnsi="宋体" w:cs="宋体"/>
                <w:kern w:val="0"/>
                <w:sz w:val="21"/>
                <w:szCs w:val="21"/>
              </w:rPr>
              <w:t>间歇</w:t>
            </w:r>
            <w:r>
              <w:rPr>
                <w:kern w:val="0"/>
                <w:sz w:val="21"/>
                <w:szCs w:val="21"/>
              </w:rPr>
              <w:t>2400h</w:t>
            </w:r>
          </w:p>
        </w:tc>
      </w:tr>
      <w:tr w14:paraId="65D8F5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5C450DE8">
            <w:pPr>
              <w:widowControl/>
              <w:jc w:val="center"/>
              <w:rPr>
                <w:kern w:val="0"/>
                <w:sz w:val="21"/>
                <w:szCs w:val="21"/>
              </w:rPr>
            </w:pPr>
          </w:p>
        </w:tc>
        <w:tc>
          <w:tcPr>
            <w:tcW w:w="280" w:type="pct"/>
            <w:vMerge w:val="continue"/>
            <w:vAlign w:val="center"/>
          </w:tcPr>
          <w:p w14:paraId="0DA19A4A">
            <w:pPr>
              <w:widowControl/>
              <w:jc w:val="center"/>
              <w:rPr>
                <w:kern w:val="0"/>
                <w:sz w:val="21"/>
                <w:szCs w:val="21"/>
              </w:rPr>
            </w:pPr>
          </w:p>
        </w:tc>
        <w:tc>
          <w:tcPr>
            <w:tcW w:w="219" w:type="pct"/>
            <w:vMerge w:val="continue"/>
            <w:vAlign w:val="center"/>
          </w:tcPr>
          <w:p w14:paraId="4617BE9C">
            <w:pPr>
              <w:widowControl/>
              <w:jc w:val="center"/>
              <w:rPr>
                <w:rFonts w:ascii="宋体" w:hAnsi="宋体" w:cs="宋体"/>
                <w:kern w:val="0"/>
                <w:sz w:val="21"/>
                <w:szCs w:val="21"/>
              </w:rPr>
            </w:pPr>
          </w:p>
        </w:tc>
        <w:tc>
          <w:tcPr>
            <w:tcW w:w="251" w:type="pct"/>
            <w:shd w:val="clear" w:color="auto" w:fill="auto"/>
            <w:vAlign w:val="center"/>
          </w:tcPr>
          <w:p w14:paraId="4A07A745">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2B30565D">
            <w:pPr>
              <w:widowControl/>
              <w:jc w:val="center"/>
              <w:rPr>
                <w:kern w:val="0"/>
                <w:sz w:val="21"/>
                <w:szCs w:val="21"/>
              </w:rPr>
            </w:pPr>
            <w:r>
              <w:rPr>
                <w:kern w:val="0"/>
                <w:sz w:val="21"/>
                <w:szCs w:val="21"/>
              </w:rPr>
              <w:t>0.36</w:t>
            </w:r>
          </w:p>
        </w:tc>
        <w:tc>
          <w:tcPr>
            <w:tcW w:w="358" w:type="pct"/>
            <w:shd w:val="clear" w:color="auto" w:fill="auto"/>
            <w:vAlign w:val="center"/>
          </w:tcPr>
          <w:p w14:paraId="4CB431E4">
            <w:pPr>
              <w:widowControl/>
              <w:jc w:val="center"/>
              <w:rPr>
                <w:kern w:val="0"/>
                <w:sz w:val="21"/>
                <w:szCs w:val="21"/>
              </w:rPr>
            </w:pPr>
            <w:r>
              <w:rPr>
                <w:kern w:val="0"/>
                <w:sz w:val="21"/>
                <w:szCs w:val="21"/>
              </w:rPr>
              <w:t>0.013</w:t>
            </w:r>
          </w:p>
        </w:tc>
        <w:tc>
          <w:tcPr>
            <w:tcW w:w="356" w:type="pct"/>
            <w:shd w:val="clear" w:color="auto" w:fill="auto"/>
            <w:vAlign w:val="center"/>
          </w:tcPr>
          <w:p w14:paraId="744B8411">
            <w:pPr>
              <w:widowControl/>
              <w:jc w:val="center"/>
              <w:rPr>
                <w:kern w:val="0"/>
                <w:sz w:val="21"/>
                <w:szCs w:val="21"/>
              </w:rPr>
            </w:pPr>
            <w:r>
              <w:rPr>
                <w:kern w:val="0"/>
                <w:sz w:val="21"/>
                <w:szCs w:val="21"/>
              </w:rPr>
              <w:t>0.03105</w:t>
            </w:r>
          </w:p>
        </w:tc>
        <w:tc>
          <w:tcPr>
            <w:tcW w:w="263" w:type="pct"/>
            <w:vMerge w:val="continue"/>
            <w:vAlign w:val="center"/>
          </w:tcPr>
          <w:p w14:paraId="70695318">
            <w:pPr>
              <w:widowControl/>
              <w:jc w:val="center"/>
              <w:rPr>
                <w:rFonts w:ascii="宋体" w:hAnsi="宋体" w:cs="宋体"/>
                <w:kern w:val="0"/>
                <w:sz w:val="21"/>
                <w:szCs w:val="21"/>
              </w:rPr>
            </w:pPr>
          </w:p>
        </w:tc>
        <w:tc>
          <w:tcPr>
            <w:tcW w:w="177" w:type="pct"/>
            <w:vMerge w:val="restart"/>
            <w:shd w:val="clear" w:color="auto" w:fill="auto"/>
            <w:vAlign w:val="center"/>
          </w:tcPr>
          <w:p w14:paraId="0F610904">
            <w:pPr>
              <w:widowControl/>
              <w:jc w:val="center"/>
              <w:rPr>
                <w:kern w:val="0"/>
                <w:sz w:val="21"/>
                <w:szCs w:val="21"/>
              </w:rPr>
            </w:pPr>
            <w:r>
              <w:rPr>
                <w:kern w:val="0"/>
                <w:sz w:val="21"/>
                <w:szCs w:val="21"/>
              </w:rPr>
              <w:t>90</w:t>
            </w:r>
          </w:p>
        </w:tc>
        <w:tc>
          <w:tcPr>
            <w:tcW w:w="269" w:type="pct"/>
            <w:vMerge w:val="restart"/>
            <w:shd w:val="clear" w:color="auto" w:fill="auto"/>
            <w:vAlign w:val="center"/>
          </w:tcPr>
          <w:p w14:paraId="4AA643FF">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2" w:type="pct"/>
            <w:vMerge w:val="restart"/>
            <w:shd w:val="clear" w:color="auto" w:fill="auto"/>
            <w:vAlign w:val="center"/>
          </w:tcPr>
          <w:p w14:paraId="356354B0">
            <w:pPr>
              <w:widowControl/>
              <w:jc w:val="center"/>
              <w:rPr>
                <w:kern w:val="0"/>
                <w:sz w:val="21"/>
                <w:szCs w:val="21"/>
              </w:rPr>
            </w:pPr>
            <w:r>
              <w:rPr>
                <w:kern w:val="0"/>
                <w:sz w:val="21"/>
                <w:szCs w:val="21"/>
              </w:rPr>
              <w:t>0.17</w:t>
            </w:r>
          </w:p>
        </w:tc>
        <w:tc>
          <w:tcPr>
            <w:tcW w:w="389" w:type="pct"/>
            <w:vMerge w:val="restart"/>
            <w:shd w:val="clear" w:color="auto" w:fill="auto"/>
            <w:vAlign w:val="center"/>
          </w:tcPr>
          <w:p w14:paraId="05C49FAA">
            <w:pPr>
              <w:widowControl/>
              <w:jc w:val="center"/>
              <w:rPr>
                <w:kern w:val="0"/>
                <w:sz w:val="21"/>
                <w:szCs w:val="21"/>
              </w:rPr>
            </w:pPr>
            <w:r>
              <w:rPr>
                <w:kern w:val="0"/>
                <w:sz w:val="21"/>
                <w:szCs w:val="21"/>
              </w:rPr>
              <w:t>0.006</w:t>
            </w:r>
          </w:p>
        </w:tc>
        <w:tc>
          <w:tcPr>
            <w:tcW w:w="351" w:type="pct"/>
            <w:vMerge w:val="restart"/>
            <w:shd w:val="clear" w:color="auto" w:fill="auto"/>
            <w:vAlign w:val="center"/>
          </w:tcPr>
          <w:p w14:paraId="75EB530A">
            <w:pPr>
              <w:widowControl/>
              <w:jc w:val="center"/>
              <w:rPr>
                <w:kern w:val="0"/>
                <w:sz w:val="21"/>
                <w:szCs w:val="21"/>
              </w:rPr>
            </w:pPr>
            <w:r>
              <w:rPr>
                <w:kern w:val="0"/>
                <w:sz w:val="21"/>
                <w:szCs w:val="21"/>
              </w:rPr>
              <w:t>0.0146</w:t>
            </w:r>
          </w:p>
        </w:tc>
        <w:tc>
          <w:tcPr>
            <w:tcW w:w="204" w:type="pct"/>
            <w:vMerge w:val="restart"/>
            <w:shd w:val="clear" w:color="auto" w:fill="auto"/>
            <w:vAlign w:val="center"/>
          </w:tcPr>
          <w:p w14:paraId="61B9DD03">
            <w:pPr>
              <w:widowControl/>
              <w:jc w:val="center"/>
              <w:rPr>
                <w:kern w:val="0"/>
                <w:sz w:val="21"/>
                <w:szCs w:val="21"/>
              </w:rPr>
            </w:pPr>
            <w:r>
              <w:rPr>
                <w:kern w:val="0"/>
                <w:sz w:val="21"/>
                <w:szCs w:val="21"/>
              </w:rPr>
              <w:t>/</w:t>
            </w:r>
          </w:p>
        </w:tc>
        <w:tc>
          <w:tcPr>
            <w:tcW w:w="255" w:type="pct"/>
            <w:vMerge w:val="restart"/>
            <w:shd w:val="clear" w:color="auto" w:fill="auto"/>
            <w:vAlign w:val="center"/>
          </w:tcPr>
          <w:p w14:paraId="7B070DDF">
            <w:pPr>
              <w:widowControl/>
              <w:jc w:val="center"/>
              <w:rPr>
                <w:kern w:val="0"/>
                <w:sz w:val="21"/>
                <w:szCs w:val="21"/>
              </w:rPr>
            </w:pPr>
            <w:r>
              <w:rPr>
                <w:kern w:val="0"/>
                <w:sz w:val="21"/>
                <w:szCs w:val="21"/>
              </w:rPr>
              <w:t>0.</w:t>
            </w:r>
            <w:r>
              <w:rPr>
                <w:rFonts w:hint="eastAsia"/>
                <w:kern w:val="0"/>
                <w:sz w:val="21"/>
                <w:szCs w:val="21"/>
              </w:rPr>
              <w:t>3</w:t>
            </w:r>
            <w:r>
              <w:rPr>
                <w:kern w:val="0"/>
                <w:sz w:val="21"/>
                <w:szCs w:val="21"/>
              </w:rPr>
              <w:t>3</w:t>
            </w:r>
          </w:p>
        </w:tc>
        <w:tc>
          <w:tcPr>
            <w:tcW w:w="203" w:type="pct"/>
            <w:vMerge w:val="continue"/>
            <w:vAlign w:val="center"/>
          </w:tcPr>
          <w:p w14:paraId="388B3D6B">
            <w:pPr>
              <w:widowControl/>
              <w:jc w:val="center"/>
              <w:rPr>
                <w:kern w:val="0"/>
                <w:sz w:val="21"/>
                <w:szCs w:val="21"/>
              </w:rPr>
            </w:pPr>
          </w:p>
        </w:tc>
        <w:tc>
          <w:tcPr>
            <w:tcW w:w="204" w:type="pct"/>
            <w:vMerge w:val="continue"/>
            <w:vAlign w:val="center"/>
          </w:tcPr>
          <w:p w14:paraId="4038EE88">
            <w:pPr>
              <w:widowControl/>
              <w:jc w:val="center"/>
              <w:rPr>
                <w:kern w:val="0"/>
                <w:sz w:val="21"/>
                <w:szCs w:val="21"/>
              </w:rPr>
            </w:pPr>
          </w:p>
        </w:tc>
        <w:tc>
          <w:tcPr>
            <w:tcW w:w="205" w:type="pct"/>
            <w:vMerge w:val="continue"/>
            <w:vAlign w:val="center"/>
          </w:tcPr>
          <w:p w14:paraId="7DD4E03E">
            <w:pPr>
              <w:widowControl/>
              <w:jc w:val="center"/>
              <w:rPr>
                <w:kern w:val="0"/>
                <w:sz w:val="21"/>
                <w:szCs w:val="21"/>
              </w:rPr>
            </w:pPr>
          </w:p>
        </w:tc>
        <w:tc>
          <w:tcPr>
            <w:tcW w:w="251" w:type="pct"/>
            <w:vMerge w:val="continue"/>
            <w:vAlign w:val="center"/>
          </w:tcPr>
          <w:p w14:paraId="07AABF41">
            <w:pPr>
              <w:widowControl/>
              <w:jc w:val="center"/>
              <w:rPr>
                <w:rFonts w:ascii="宋体" w:hAnsi="宋体" w:cs="宋体"/>
                <w:kern w:val="0"/>
                <w:sz w:val="21"/>
                <w:szCs w:val="21"/>
              </w:rPr>
            </w:pPr>
          </w:p>
        </w:tc>
      </w:tr>
      <w:tr w14:paraId="40ECEE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23C5170D">
            <w:pPr>
              <w:widowControl/>
              <w:jc w:val="center"/>
              <w:rPr>
                <w:kern w:val="0"/>
                <w:sz w:val="21"/>
                <w:szCs w:val="21"/>
              </w:rPr>
            </w:pPr>
          </w:p>
        </w:tc>
        <w:tc>
          <w:tcPr>
            <w:tcW w:w="280" w:type="pct"/>
            <w:vMerge w:val="continue"/>
            <w:vAlign w:val="center"/>
          </w:tcPr>
          <w:p w14:paraId="5B1FF391">
            <w:pPr>
              <w:widowControl/>
              <w:jc w:val="center"/>
              <w:rPr>
                <w:kern w:val="0"/>
                <w:sz w:val="21"/>
                <w:szCs w:val="21"/>
              </w:rPr>
            </w:pPr>
          </w:p>
        </w:tc>
        <w:tc>
          <w:tcPr>
            <w:tcW w:w="219" w:type="pct"/>
            <w:vMerge w:val="continue"/>
            <w:vAlign w:val="center"/>
          </w:tcPr>
          <w:p w14:paraId="67193A87">
            <w:pPr>
              <w:widowControl/>
              <w:jc w:val="center"/>
              <w:rPr>
                <w:rFonts w:ascii="宋体" w:hAnsi="宋体" w:cs="宋体"/>
                <w:kern w:val="0"/>
                <w:sz w:val="21"/>
                <w:szCs w:val="21"/>
              </w:rPr>
            </w:pPr>
          </w:p>
        </w:tc>
        <w:tc>
          <w:tcPr>
            <w:tcW w:w="251" w:type="pct"/>
            <w:shd w:val="clear" w:color="auto" w:fill="auto"/>
            <w:vAlign w:val="center"/>
          </w:tcPr>
          <w:p w14:paraId="4E0A1D78">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798764DD">
            <w:pPr>
              <w:widowControl/>
              <w:jc w:val="center"/>
              <w:rPr>
                <w:kern w:val="0"/>
                <w:sz w:val="21"/>
                <w:szCs w:val="21"/>
              </w:rPr>
            </w:pPr>
            <w:r>
              <w:rPr>
                <w:kern w:val="0"/>
                <w:sz w:val="21"/>
                <w:szCs w:val="21"/>
              </w:rPr>
              <w:t>15.68</w:t>
            </w:r>
          </w:p>
        </w:tc>
        <w:tc>
          <w:tcPr>
            <w:tcW w:w="358" w:type="pct"/>
            <w:shd w:val="clear" w:color="auto" w:fill="auto"/>
            <w:vAlign w:val="center"/>
          </w:tcPr>
          <w:p w14:paraId="147A48E5">
            <w:pPr>
              <w:widowControl/>
              <w:jc w:val="center"/>
              <w:rPr>
                <w:kern w:val="0"/>
                <w:sz w:val="21"/>
                <w:szCs w:val="21"/>
              </w:rPr>
            </w:pPr>
            <w:r>
              <w:rPr>
                <w:kern w:val="0"/>
                <w:sz w:val="21"/>
                <w:szCs w:val="21"/>
              </w:rPr>
              <w:t>0.564</w:t>
            </w:r>
          </w:p>
        </w:tc>
        <w:tc>
          <w:tcPr>
            <w:tcW w:w="356" w:type="pct"/>
            <w:shd w:val="clear" w:color="auto" w:fill="auto"/>
            <w:vAlign w:val="center"/>
          </w:tcPr>
          <w:p w14:paraId="648518D6">
            <w:pPr>
              <w:widowControl/>
              <w:jc w:val="center"/>
              <w:rPr>
                <w:kern w:val="0"/>
                <w:sz w:val="21"/>
                <w:szCs w:val="21"/>
              </w:rPr>
            </w:pPr>
            <w:r>
              <w:rPr>
                <w:kern w:val="0"/>
                <w:sz w:val="21"/>
                <w:szCs w:val="21"/>
              </w:rPr>
              <w:t>1.3545</w:t>
            </w:r>
          </w:p>
        </w:tc>
        <w:tc>
          <w:tcPr>
            <w:tcW w:w="263" w:type="pct"/>
            <w:vMerge w:val="continue"/>
            <w:vAlign w:val="center"/>
          </w:tcPr>
          <w:p w14:paraId="070847A6">
            <w:pPr>
              <w:widowControl/>
              <w:jc w:val="center"/>
              <w:rPr>
                <w:rFonts w:ascii="宋体" w:hAnsi="宋体" w:cs="宋体"/>
                <w:kern w:val="0"/>
                <w:sz w:val="21"/>
                <w:szCs w:val="21"/>
              </w:rPr>
            </w:pPr>
          </w:p>
        </w:tc>
        <w:tc>
          <w:tcPr>
            <w:tcW w:w="177" w:type="pct"/>
            <w:vMerge w:val="continue"/>
            <w:vAlign w:val="center"/>
          </w:tcPr>
          <w:p w14:paraId="029B56ED">
            <w:pPr>
              <w:widowControl/>
              <w:jc w:val="center"/>
              <w:rPr>
                <w:kern w:val="0"/>
                <w:sz w:val="21"/>
                <w:szCs w:val="21"/>
              </w:rPr>
            </w:pPr>
          </w:p>
        </w:tc>
        <w:tc>
          <w:tcPr>
            <w:tcW w:w="269" w:type="pct"/>
            <w:vMerge w:val="continue"/>
            <w:vAlign w:val="center"/>
          </w:tcPr>
          <w:p w14:paraId="581368AE">
            <w:pPr>
              <w:widowControl/>
              <w:jc w:val="center"/>
              <w:rPr>
                <w:kern w:val="0"/>
                <w:sz w:val="21"/>
                <w:szCs w:val="21"/>
              </w:rPr>
            </w:pPr>
          </w:p>
        </w:tc>
        <w:tc>
          <w:tcPr>
            <w:tcW w:w="302" w:type="pct"/>
            <w:vMerge w:val="continue"/>
            <w:vAlign w:val="center"/>
          </w:tcPr>
          <w:p w14:paraId="21A48CBE">
            <w:pPr>
              <w:widowControl/>
              <w:jc w:val="center"/>
              <w:rPr>
                <w:kern w:val="0"/>
                <w:sz w:val="21"/>
                <w:szCs w:val="21"/>
              </w:rPr>
            </w:pPr>
          </w:p>
        </w:tc>
        <w:tc>
          <w:tcPr>
            <w:tcW w:w="389" w:type="pct"/>
            <w:vMerge w:val="continue"/>
            <w:vAlign w:val="center"/>
          </w:tcPr>
          <w:p w14:paraId="58F552E8">
            <w:pPr>
              <w:widowControl/>
              <w:jc w:val="center"/>
              <w:rPr>
                <w:kern w:val="0"/>
                <w:sz w:val="21"/>
                <w:szCs w:val="21"/>
              </w:rPr>
            </w:pPr>
          </w:p>
        </w:tc>
        <w:tc>
          <w:tcPr>
            <w:tcW w:w="351" w:type="pct"/>
            <w:vMerge w:val="continue"/>
            <w:vAlign w:val="center"/>
          </w:tcPr>
          <w:p w14:paraId="07D779DD">
            <w:pPr>
              <w:widowControl/>
              <w:jc w:val="center"/>
              <w:rPr>
                <w:kern w:val="0"/>
                <w:sz w:val="21"/>
                <w:szCs w:val="21"/>
              </w:rPr>
            </w:pPr>
          </w:p>
        </w:tc>
        <w:tc>
          <w:tcPr>
            <w:tcW w:w="204" w:type="pct"/>
            <w:vMerge w:val="continue"/>
            <w:vAlign w:val="center"/>
          </w:tcPr>
          <w:p w14:paraId="0EC3EE25">
            <w:pPr>
              <w:widowControl/>
              <w:jc w:val="center"/>
              <w:rPr>
                <w:kern w:val="0"/>
                <w:sz w:val="21"/>
                <w:szCs w:val="21"/>
              </w:rPr>
            </w:pPr>
          </w:p>
        </w:tc>
        <w:tc>
          <w:tcPr>
            <w:tcW w:w="255" w:type="pct"/>
            <w:vMerge w:val="continue"/>
            <w:vAlign w:val="center"/>
          </w:tcPr>
          <w:p w14:paraId="55A4DDFA">
            <w:pPr>
              <w:widowControl/>
              <w:jc w:val="center"/>
              <w:rPr>
                <w:kern w:val="0"/>
                <w:sz w:val="21"/>
                <w:szCs w:val="21"/>
              </w:rPr>
            </w:pPr>
          </w:p>
        </w:tc>
        <w:tc>
          <w:tcPr>
            <w:tcW w:w="203" w:type="pct"/>
            <w:vMerge w:val="continue"/>
            <w:vAlign w:val="center"/>
          </w:tcPr>
          <w:p w14:paraId="558C5FD4">
            <w:pPr>
              <w:widowControl/>
              <w:jc w:val="center"/>
              <w:rPr>
                <w:kern w:val="0"/>
                <w:sz w:val="21"/>
                <w:szCs w:val="21"/>
              </w:rPr>
            </w:pPr>
          </w:p>
        </w:tc>
        <w:tc>
          <w:tcPr>
            <w:tcW w:w="204" w:type="pct"/>
            <w:vMerge w:val="continue"/>
            <w:vAlign w:val="center"/>
          </w:tcPr>
          <w:p w14:paraId="7E525455">
            <w:pPr>
              <w:widowControl/>
              <w:jc w:val="center"/>
              <w:rPr>
                <w:kern w:val="0"/>
                <w:sz w:val="21"/>
                <w:szCs w:val="21"/>
              </w:rPr>
            </w:pPr>
          </w:p>
        </w:tc>
        <w:tc>
          <w:tcPr>
            <w:tcW w:w="205" w:type="pct"/>
            <w:vMerge w:val="continue"/>
            <w:vAlign w:val="center"/>
          </w:tcPr>
          <w:p w14:paraId="1231CEA0">
            <w:pPr>
              <w:widowControl/>
              <w:jc w:val="center"/>
              <w:rPr>
                <w:kern w:val="0"/>
                <w:sz w:val="21"/>
                <w:szCs w:val="21"/>
              </w:rPr>
            </w:pPr>
          </w:p>
        </w:tc>
        <w:tc>
          <w:tcPr>
            <w:tcW w:w="251" w:type="pct"/>
            <w:vMerge w:val="continue"/>
            <w:vAlign w:val="center"/>
          </w:tcPr>
          <w:p w14:paraId="27CB11AC">
            <w:pPr>
              <w:widowControl/>
              <w:jc w:val="center"/>
              <w:rPr>
                <w:rFonts w:ascii="宋体" w:hAnsi="宋体" w:cs="宋体"/>
                <w:kern w:val="0"/>
                <w:sz w:val="21"/>
                <w:szCs w:val="21"/>
              </w:rPr>
            </w:pPr>
          </w:p>
        </w:tc>
      </w:tr>
      <w:tr w14:paraId="4ABEA0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7" w:type="pct"/>
            <w:vMerge w:val="continue"/>
            <w:vAlign w:val="center"/>
          </w:tcPr>
          <w:p w14:paraId="5A6F88B0">
            <w:pPr>
              <w:widowControl/>
              <w:jc w:val="center"/>
              <w:rPr>
                <w:kern w:val="0"/>
                <w:sz w:val="21"/>
                <w:szCs w:val="21"/>
              </w:rPr>
            </w:pPr>
          </w:p>
        </w:tc>
        <w:tc>
          <w:tcPr>
            <w:tcW w:w="280" w:type="pct"/>
            <w:vMerge w:val="continue"/>
            <w:vAlign w:val="center"/>
          </w:tcPr>
          <w:p w14:paraId="262F1DDF">
            <w:pPr>
              <w:widowControl/>
              <w:jc w:val="center"/>
              <w:rPr>
                <w:kern w:val="0"/>
                <w:sz w:val="21"/>
                <w:szCs w:val="21"/>
              </w:rPr>
            </w:pPr>
          </w:p>
        </w:tc>
        <w:tc>
          <w:tcPr>
            <w:tcW w:w="219" w:type="pct"/>
            <w:vMerge w:val="restart"/>
            <w:shd w:val="clear" w:color="auto" w:fill="auto"/>
            <w:vAlign w:val="center"/>
          </w:tcPr>
          <w:p w14:paraId="762C325E">
            <w:pPr>
              <w:widowControl/>
              <w:jc w:val="center"/>
              <w:rPr>
                <w:rFonts w:ascii="宋体" w:hAnsi="宋体" w:cs="宋体"/>
                <w:kern w:val="0"/>
                <w:sz w:val="21"/>
                <w:szCs w:val="21"/>
              </w:rPr>
            </w:pPr>
            <w:r>
              <w:rPr>
                <w:rFonts w:hint="eastAsia" w:ascii="宋体" w:hAnsi="宋体" w:cs="宋体"/>
                <w:kern w:val="0"/>
                <w:sz w:val="21"/>
                <w:szCs w:val="21"/>
              </w:rPr>
              <w:t>返炼</w:t>
            </w:r>
          </w:p>
        </w:tc>
        <w:tc>
          <w:tcPr>
            <w:tcW w:w="251" w:type="pct"/>
            <w:shd w:val="clear" w:color="auto" w:fill="auto"/>
            <w:vAlign w:val="center"/>
          </w:tcPr>
          <w:p w14:paraId="26EC9DF7">
            <w:pPr>
              <w:widowControl/>
              <w:jc w:val="center"/>
              <w:rPr>
                <w:rFonts w:ascii="宋体" w:hAnsi="宋体" w:cs="宋体"/>
                <w:kern w:val="0"/>
                <w:sz w:val="21"/>
                <w:szCs w:val="21"/>
              </w:rPr>
            </w:pPr>
            <w:r>
              <w:rPr>
                <w:rFonts w:hint="eastAsia" w:ascii="宋体" w:hAnsi="宋体" w:cs="宋体"/>
                <w:kern w:val="0"/>
                <w:sz w:val="21"/>
                <w:szCs w:val="21"/>
              </w:rPr>
              <w:t>粉尘（含炭黑尘）</w:t>
            </w:r>
          </w:p>
        </w:tc>
        <w:tc>
          <w:tcPr>
            <w:tcW w:w="305" w:type="pct"/>
            <w:shd w:val="clear" w:color="auto" w:fill="auto"/>
            <w:vAlign w:val="center"/>
          </w:tcPr>
          <w:p w14:paraId="1C0C3E3C">
            <w:pPr>
              <w:widowControl/>
              <w:jc w:val="center"/>
              <w:rPr>
                <w:kern w:val="0"/>
                <w:sz w:val="21"/>
                <w:szCs w:val="21"/>
              </w:rPr>
            </w:pPr>
            <w:r>
              <w:rPr>
                <w:kern w:val="0"/>
                <w:sz w:val="21"/>
                <w:szCs w:val="21"/>
              </w:rPr>
              <w:t>4.17</w:t>
            </w:r>
          </w:p>
        </w:tc>
        <w:tc>
          <w:tcPr>
            <w:tcW w:w="358" w:type="pct"/>
            <w:shd w:val="clear" w:color="auto" w:fill="auto"/>
            <w:vAlign w:val="center"/>
          </w:tcPr>
          <w:p w14:paraId="7076357A">
            <w:pPr>
              <w:widowControl/>
              <w:jc w:val="center"/>
              <w:rPr>
                <w:kern w:val="0"/>
                <w:sz w:val="21"/>
                <w:szCs w:val="21"/>
              </w:rPr>
            </w:pPr>
            <w:r>
              <w:rPr>
                <w:kern w:val="0"/>
                <w:sz w:val="21"/>
                <w:szCs w:val="21"/>
              </w:rPr>
              <w:t>0.150</w:t>
            </w:r>
          </w:p>
        </w:tc>
        <w:tc>
          <w:tcPr>
            <w:tcW w:w="356" w:type="pct"/>
            <w:shd w:val="clear" w:color="auto" w:fill="auto"/>
            <w:vAlign w:val="center"/>
          </w:tcPr>
          <w:p w14:paraId="56D1F474">
            <w:pPr>
              <w:widowControl/>
              <w:jc w:val="center"/>
              <w:rPr>
                <w:kern w:val="0"/>
                <w:sz w:val="21"/>
                <w:szCs w:val="21"/>
              </w:rPr>
            </w:pPr>
            <w:r>
              <w:rPr>
                <w:kern w:val="0"/>
                <w:sz w:val="21"/>
                <w:szCs w:val="21"/>
              </w:rPr>
              <w:t>0.36</w:t>
            </w:r>
          </w:p>
        </w:tc>
        <w:tc>
          <w:tcPr>
            <w:tcW w:w="263" w:type="pct"/>
            <w:vMerge w:val="continue"/>
            <w:vAlign w:val="center"/>
          </w:tcPr>
          <w:p w14:paraId="24AE372A">
            <w:pPr>
              <w:widowControl/>
              <w:jc w:val="center"/>
              <w:rPr>
                <w:rFonts w:ascii="宋体" w:hAnsi="宋体" w:cs="宋体"/>
                <w:kern w:val="0"/>
                <w:sz w:val="21"/>
                <w:szCs w:val="21"/>
              </w:rPr>
            </w:pPr>
          </w:p>
        </w:tc>
        <w:tc>
          <w:tcPr>
            <w:tcW w:w="177" w:type="pct"/>
            <w:vMerge w:val="restart"/>
            <w:shd w:val="clear" w:color="auto" w:fill="auto"/>
            <w:vAlign w:val="center"/>
          </w:tcPr>
          <w:p w14:paraId="3FCD07D9">
            <w:pPr>
              <w:widowControl/>
              <w:jc w:val="center"/>
              <w:rPr>
                <w:kern w:val="0"/>
                <w:sz w:val="21"/>
                <w:szCs w:val="21"/>
              </w:rPr>
            </w:pPr>
            <w:r>
              <w:rPr>
                <w:kern w:val="0"/>
                <w:sz w:val="21"/>
                <w:szCs w:val="21"/>
              </w:rPr>
              <w:t>90</w:t>
            </w:r>
          </w:p>
        </w:tc>
        <w:tc>
          <w:tcPr>
            <w:tcW w:w="269" w:type="pct"/>
            <w:vMerge w:val="restart"/>
            <w:shd w:val="clear" w:color="auto" w:fill="auto"/>
            <w:vAlign w:val="center"/>
          </w:tcPr>
          <w:p w14:paraId="48C5B03C">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2" w:type="pct"/>
            <w:vMerge w:val="restart"/>
            <w:shd w:val="clear" w:color="auto" w:fill="auto"/>
            <w:vAlign w:val="center"/>
          </w:tcPr>
          <w:p w14:paraId="3F325024">
            <w:pPr>
              <w:widowControl/>
              <w:jc w:val="center"/>
              <w:rPr>
                <w:kern w:val="0"/>
                <w:sz w:val="21"/>
                <w:szCs w:val="21"/>
              </w:rPr>
            </w:pPr>
            <w:r>
              <w:rPr>
                <w:kern w:val="0"/>
                <w:sz w:val="21"/>
                <w:szCs w:val="21"/>
              </w:rPr>
              <w:t>2.37</w:t>
            </w:r>
          </w:p>
        </w:tc>
        <w:tc>
          <w:tcPr>
            <w:tcW w:w="389" w:type="pct"/>
            <w:vMerge w:val="restart"/>
            <w:shd w:val="clear" w:color="auto" w:fill="auto"/>
            <w:vAlign w:val="center"/>
          </w:tcPr>
          <w:p w14:paraId="5FFD3413">
            <w:pPr>
              <w:widowControl/>
              <w:jc w:val="center"/>
              <w:rPr>
                <w:kern w:val="0"/>
                <w:sz w:val="21"/>
                <w:szCs w:val="21"/>
              </w:rPr>
            </w:pPr>
            <w:r>
              <w:rPr>
                <w:kern w:val="0"/>
                <w:sz w:val="21"/>
                <w:szCs w:val="21"/>
              </w:rPr>
              <w:t>0.085</w:t>
            </w:r>
          </w:p>
        </w:tc>
        <w:tc>
          <w:tcPr>
            <w:tcW w:w="351" w:type="pct"/>
            <w:vMerge w:val="restart"/>
            <w:shd w:val="clear" w:color="auto" w:fill="auto"/>
            <w:vAlign w:val="center"/>
          </w:tcPr>
          <w:p w14:paraId="53CA85E9">
            <w:pPr>
              <w:widowControl/>
              <w:jc w:val="center"/>
              <w:rPr>
                <w:kern w:val="0"/>
                <w:sz w:val="21"/>
                <w:szCs w:val="21"/>
              </w:rPr>
            </w:pPr>
            <w:r>
              <w:rPr>
                <w:kern w:val="0"/>
                <w:sz w:val="21"/>
                <w:szCs w:val="21"/>
              </w:rPr>
              <w:t>0.2048</w:t>
            </w:r>
          </w:p>
        </w:tc>
        <w:tc>
          <w:tcPr>
            <w:tcW w:w="204" w:type="pct"/>
            <w:vMerge w:val="restart"/>
            <w:shd w:val="clear" w:color="auto" w:fill="auto"/>
            <w:vAlign w:val="center"/>
          </w:tcPr>
          <w:p w14:paraId="663A9270">
            <w:pPr>
              <w:widowControl/>
              <w:snapToGrid w:val="0"/>
              <w:jc w:val="center"/>
              <w:rPr>
                <w:kern w:val="0"/>
                <w:sz w:val="21"/>
                <w:szCs w:val="21"/>
              </w:rPr>
            </w:pPr>
            <w:r>
              <w:rPr>
                <w:rFonts w:hint="eastAsia"/>
                <w:kern w:val="0"/>
                <w:sz w:val="21"/>
                <w:szCs w:val="21"/>
              </w:rPr>
              <w:t>10</w:t>
            </w:r>
          </w:p>
        </w:tc>
        <w:tc>
          <w:tcPr>
            <w:tcW w:w="255" w:type="pct"/>
            <w:vMerge w:val="restart"/>
            <w:shd w:val="clear" w:color="auto" w:fill="auto"/>
            <w:vAlign w:val="center"/>
          </w:tcPr>
          <w:p w14:paraId="04FD8E86">
            <w:pPr>
              <w:widowControl/>
              <w:snapToGrid w:val="0"/>
              <w:jc w:val="center"/>
              <w:rPr>
                <w:kern w:val="0"/>
                <w:sz w:val="21"/>
                <w:szCs w:val="21"/>
              </w:rPr>
            </w:pPr>
            <w:r>
              <w:rPr>
                <w:rFonts w:hint="eastAsia"/>
                <w:kern w:val="0"/>
                <w:sz w:val="21"/>
                <w:szCs w:val="21"/>
              </w:rPr>
              <w:t>/</w:t>
            </w:r>
          </w:p>
        </w:tc>
        <w:tc>
          <w:tcPr>
            <w:tcW w:w="203" w:type="pct"/>
            <w:vMerge w:val="continue"/>
            <w:vAlign w:val="center"/>
          </w:tcPr>
          <w:p w14:paraId="5CD55D93">
            <w:pPr>
              <w:widowControl/>
              <w:jc w:val="center"/>
              <w:rPr>
                <w:kern w:val="0"/>
                <w:sz w:val="21"/>
                <w:szCs w:val="21"/>
              </w:rPr>
            </w:pPr>
          </w:p>
        </w:tc>
        <w:tc>
          <w:tcPr>
            <w:tcW w:w="204" w:type="pct"/>
            <w:vMerge w:val="continue"/>
            <w:vAlign w:val="center"/>
          </w:tcPr>
          <w:p w14:paraId="0831B114">
            <w:pPr>
              <w:widowControl/>
              <w:jc w:val="center"/>
              <w:rPr>
                <w:kern w:val="0"/>
                <w:sz w:val="21"/>
                <w:szCs w:val="21"/>
              </w:rPr>
            </w:pPr>
          </w:p>
        </w:tc>
        <w:tc>
          <w:tcPr>
            <w:tcW w:w="205" w:type="pct"/>
            <w:vMerge w:val="continue"/>
            <w:vAlign w:val="center"/>
          </w:tcPr>
          <w:p w14:paraId="4DCC9879">
            <w:pPr>
              <w:widowControl/>
              <w:jc w:val="center"/>
              <w:rPr>
                <w:kern w:val="0"/>
                <w:sz w:val="21"/>
                <w:szCs w:val="21"/>
              </w:rPr>
            </w:pPr>
          </w:p>
        </w:tc>
        <w:tc>
          <w:tcPr>
            <w:tcW w:w="251" w:type="pct"/>
            <w:vMerge w:val="continue"/>
            <w:vAlign w:val="center"/>
          </w:tcPr>
          <w:p w14:paraId="6DD1694D">
            <w:pPr>
              <w:widowControl/>
              <w:jc w:val="center"/>
              <w:rPr>
                <w:rFonts w:ascii="宋体" w:hAnsi="宋体" w:cs="宋体"/>
                <w:kern w:val="0"/>
                <w:sz w:val="21"/>
                <w:szCs w:val="21"/>
              </w:rPr>
            </w:pPr>
          </w:p>
        </w:tc>
      </w:tr>
      <w:tr w14:paraId="4BE31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42E5019D">
            <w:pPr>
              <w:widowControl/>
              <w:jc w:val="center"/>
              <w:rPr>
                <w:kern w:val="0"/>
                <w:sz w:val="21"/>
                <w:szCs w:val="21"/>
              </w:rPr>
            </w:pPr>
          </w:p>
        </w:tc>
        <w:tc>
          <w:tcPr>
            <w:tcW w:w="280" w:type="pct"/>
            <w:vMerge w:val="continue"/>
            <w:vAlign w:val="center"/>
          </w:tcPr>
          <w:p w14:paraId="47775344">
            <w:pPr>
              <w:widowControl/>
              <w:jc w:val="center"/>
              <w:rPr>
                <w:kern w:val="0"/>
                <w:sz w:val="21"/>
                <w:szCs w:val="21"/>
              </w:rPr>
            </w:pPr>
          </w:p>
        </w:tc>
        <w:tc>
          <w:tcPr>
            <w:tcW w:w="219" w:type="pct"/>
            <w:vMerge w:val="continue"/>
            <w:vAlign w:val="center"/>
          </w:tcPr>
          <w:p w14:paraId="1DC0F250">
            <w:pPr>
              <w:widowControl/>
              <w:jc w:val="center"/>
              <w:rPr>
                <w:rFonts w:ascii="宋体" w:hAnsi="宋体" w:cs="宋体"/>
                <w:kern w:val="0"/>
                <w:sz w:val="21"/>
                <w:szCs w:val="21"/>
              </w:rPr>
            </w:pPr>
          </w:p>
        </w:tc>
        <w:tc>
          <w:tcPr>
            <w:tcW w:w="251" w:type="pct"/>
            <w:shd w:val="clear" w:color="auto" w:fill="auto"/>
            <w:vAlign w:val="center"/>
          </w:tcPr>
          <w:p w14:paraId="4466D99F">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6F4446D9">
            <w:pPr>
              <w:widowControl/>
              <w:jc w:val="center"/>
              <w:rPr>
                <w:kern w:val="0"/>
                <w:sz w:val="21"/>
                <w:szCs w:val="21"/>
              </w:rPr>
            </w:pPr>
            <w:r>
              <w:rPr>
                <w:kern w:val="0"/>
                <w:sz w:val="21"/>
                <w:szCs w:val="21"/>
              </w:rPr>
              <w:t>0.29</w:t>
            </w:r>
          </w:p>
        </w:tc>
        <w:tc>
          <w:tcPr>
            <w:tcW w:w="358" w:type="pct"/>
            <w:shd w:val="clear" w:color="auto" w:fill="auto"/>
            <w:vAlign w:val="center"/>
          </w:tcPr>
          <w:p w14:paraId="5841146C">
            <w:pPr>
              <w:widowControl/>
              <w:jc w:val="center"/>
              <w:rPr>
                <w:kern w:val="0"/>
                <w:sz w:val="21"/>
                <w:szCs w:val="21"/>
              </w:rPr>
            </w:pPr>
            <w:r>
              <w:rPr>
                <w:kern w:val="0"/>
                <w:sz w:val="21"/>
                <w:szCs w:val="21"/>
              </w:rPr>
              <w:t>0.010</w:t>
            </w:r>
          </w:p>
        </w:tc>
        <w:tc>
          <w:tcPr>
            <w:tcW w:w="356" w:type="pct"/>
            <w:shd w:val="clear" w:color="auto" w:fill="auto"/>
            <w:vAlign w:val="center"/>
          </w:tcPr>
          <w:p w14:paraId="58A374D2">
            <w:pPr>
              <w:widowControl/>
              <w:jc w:val="center"/>
              <w:rPr>
                <w:kern w:val="0"/>
                <w:sz w:val="21"/>
                <w:szCs w:val="21"/>
              </w:rPr>
            </w:pPr>
            <w:r>
              <w:rPr>
                <w:kern w:val="0"/>
                <w:sz w:val="21"/>
                <w:szCs w:val="21"/>
              </w:rPr>
              <w:t>0.02475</w:t>
            </w:r>
          </w:p>
        </w:tc>
        <w:tc>
          <w:tcPr>
            <w:tcW w:w="263" w:type="pct"/>
            <w:vMerge w:val="continue"/>
            <w:vAlign w:val="center"/>
          </w:tcPr>
          <w:p w14:paraId="7455C075">
            <w:pPr>
              <w:widowControl/>
              <w:jc w:val="center"/>
              <w:rPr>
                <w:rFonts w:ascii="宋体" w:hAnsi="宋体" w:cs="宋体"/>
                <w:kern w:val="0"/>
                <w:sz w:val="21"/>
                <w:szCs w:val="21"/>
              </w:rPr>
            </w:pPr>
          </w:p>
        </w:tc>
        <w:tc>
          <w:tcPr>
            <w:tcW w:w="177" w:type="pct"/>
            <w:vMerge w:val="continue"/>
            <w:vAlign w:val="center"/>
          </w:tcPr>
          <w:p w14:paraId="3031EF9E">
            <w:pPr>
              <w:widowControl/>
              <w:jc w:val="center"/>
              <w:rPr>
                <w:kern w:val="0"/>
                <w:sz w:val="21"/>
                <w:szCs w:val="21"/>
              </w:rPr>
            </w:pPr>
          </w:p>
        </w:tc>
        <w:tc>
          <w:tcPr>
            <w:tcW w:w="269" w:type="pct"/>
            <w:vMerge w:val="continue"/>
            <w:vAlign w:val="center"/>
          </w:tcPr>
          <w:p w14:paraId="743A3E20">
            <w:pPr>
              <w:widowControl/>
              <w:jc w:val="center"/>
              <w:rPr>
                <w:rFonts w:ascii="宋体" w:hAnsi="宋体" w:cs="宋体"/>
                <w:kern w:val="0"/>
                <w:sz w:val="21"/>
                <w:szCs w:val="21"/>
              </w:rPr>
            </w:pPr>
          </w:p>
        </w:tc>
        <w:tc>
          <w:tcPr>
            <w:tcW w:w="302" w:type="pct"/>
            <w:vMerge w:val="continue"/>
            <w:vAlign w:val="center"/>
          </w:tcPr>
          <w:p w14:paraId="1367111F">
            <w:pPr>
              <w:widowControl/>
              <w:jc w:val="center"/>
              <w:rPr>
                <w:kern w:val="0"/>
                <w:sz w:val="21"/>
                <w:szCs w:val="21"/>
              </w:rPr>
            </w:pPr>
          </w:p>
        </w:tc>
        <w:tc>
          <w:tcPr>
            <w:tcW w:w="389" w:type="pct"/>
            <w:vMerge w:val="continue"/>
            <w:vAlign w:val="center"/>
          </w:tcPr>
          <w:p w14:paraId="0646E9E5">
            <w:pPr>
              <w:widowControl/>
              <w:jc w:val="center"/>
              <w:rPr>
                <w:kern w:val="0"/>
                <w:sz w:val="21"/>
                <w:szCs w:val="21"/>
              </w:rPr>
            </w:pPr>
          </w:p>
        </w:tc>
        <w:tc>
          <w:tcPr>
            <w:tcW w:w="351" w:type="pct"/>
            <w:vMerge w:val="continue"/>
            <w:vAlign w:val="center"/>
          </w:tcPr>
          <w:p w14:paraId="69BB6FF8">
            <w:pPr>
              <w:widowControl/>
              <w:jc w:val="center"/>
              <w:rPr>
                <w:kern w:val="0"/>
                <w:sz w:val="21"/>
                <w:szCs w:val="21"/>
              </w:rPr>
            </w:pPr>
          </w:p>
        </w:tc>
        <w:tc>
          <w:tcPr>
            <w:tcW w:w="204" w:type="pct"/>
            <w:vMerge w:val="continue"/>
            <w:vAlign w:val="center"/>
          </w:tcPr>
          <w:p w14:paraId="6AA1988D">
            <w:pPr>
              <w:widowControl/>
              <w:jc w:val="center"/>
              <w:rPr>
                <w:kern w:val="0"/>
                <w:sz w:val="21"/>
                <w:szCs w:val="21"/>
              </w:rPr>
            </w:pPr>
          </w:p>
        </w:tc>
        <w:tc>
          <w:tcPr>
            <w:tcW w:w="255" w:type="pct"/>
            <w:vMerge w:val="continue"/>
            <w:vAlign w:val="center"/>
          </w:tcPr>
          <w:p w14:paraId="374B5AD7">
            <w:pPr>
              <w:widowControl/>
              <w:jc w:val="center"/>
              <w:rPr>
                <w:kern w:val="0"/>
                <w:sz w:val="21"/>
                <w:szCs w:val="21"/>
              </w:rPr>
            </w:pPr>
          </w:p>
        </w:tc>
        <w:tc>
          <w:tcPr>
            <w:tcW w:w="203" w:type="pct"/>
            <w:vMerge w:val="continue"/>
            <w:vAlign w:val="center"/>
          </w:tcPr>
          <w:p w14:paraId="21B674EE">
            <w:pPr>
              <w:widowControl/>
              <w:jc w:val="center"/>
              <w:rPr>
                <w:kern w:val="0"/>
                <w:sz w:val="21"/>
                <w:szCs w:val="21"/>
              </w:rPr>
            </w:pPr>
          </w:p>
        </w:tc>
        <w:tc>
          <w:tcPr>
            <w:tcW w:w="204" w:type="pct"/>
            <w:vMerge w:val="continue"/>
            <w:vAlign w:val="center"/>
          </w:tcPr>
          <w:p w14:paraId="490582CF">
            <w:pPr>
              <w:widowControl/>
              <w:jc w:val="center"/>
              <w:rPr>
                <w:kern w:val="0"/>
                <w:sz w:val="21"/>
                <w:szCs w:val="21"/>
              </w:rPr>
            </w:pPr>
          </w:p>
        </w:tc>
        <w:tc>
          <w:tcPr>
            <w:tcW w:w="205" w:type="pct"/>
            <w:vMerge w:val="continue"/>
            <w:vAlign w:val="center"/>
          </w:tcPr>
          <w:p w14:paraId="3110CE08">
            <w:pPr>
              <w:widowControl/>
              <w:jc w:val="center"/>
              <w:rPr>
                <w:kern w:val="0"/>
                <w:sz w:val="21"/>
                <w:szCs w:val="21"/>
              </w:rPr>
            </w:pPr>
          </w:p>
        </w:tc>
        <w:tc>
          <w:tcPr>
            <w:tcW w:w="251" w:type="pct"/>
            <w:vMerge w:val="continue"/>
            <w:vAlign w:val="center"/>
          </w:tcPr>
          <w:p w14:paraId="75DF19F2">
            <w:pPr>
              <w:widowControl/>
              <w:jc w:val="center"/>
              <w:rPr>
                <w:rFonts w:ascii="宋体" w:hAnsi="宋体" w:cs="宋体"/>
                <w:kern w:val="0"/>
                <w:sz w:val="21"/>
                <w:szCs w:val="21"/>
              </w:rPr>
            </w:pPr>
          </w:p>
        </w:tc>
      </w:tr>
      <w:tr w14:paraId="691D41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0537CF6F">
            <w:pPr>
              <w:widowControl/>
              <w:jc w:val="center"/>
              <w:rPr>
                <w:kern w:val="0"/>
                <w:sz w:val="21"/>
                <w:szCs w:val="21"/>
              </w:rPr>
            </w:pPr>
          </w:p>
        </w:tc>
        <w:tc>
          <w:tcPr>
            <w:tcW w:w="280" w:type="pct"/>
            <w:vMerge w:val="continue"/>
            <w:vAlign w:val="center"/>
          </w:tcPr>
          <w:p w14:paraId="40853115">
            <w:pPr>
              <w:widowControl/>
              <w:jc w:val="center"/>
              <w:rPr>
                <w:kern w:val="0"/>
                <w:sz w:val="21"/>
                <w:szCs w:val="21"/>
              </w:rPr>
            </w:pPr>
          </w:p>
        </w:tc>
        <w:tc>
          <w:tcPr>
            <w:tcW w:w="219" w:type="pct"/>
            <w:vMerge w:val="continue"/>
            <w:vAlign w:val="center"/>
          </w:tcPr>
          <w:p w14:paraId="5122CEBE">
            <w:pPr>
              <w:widowControl/>
              <w:jc w:val="center"/>
              <w:rPr>
                <w:rFonts w:ascii="宋体" w:hAnsi="宋体" w:cs="宋体"/>
                <w:kern w:val="0"/>
                <w:sz w:val="21"/>
                <w:szCs w:val="21"/>
              </w:rPr>
            </w:pPr>
          </w:p>
        </w:tc>
        <w:tc>
          <w:tcPr>
            <w:tcW w:w="251" w:type="pct"/>
            <w:shd w:val="clear" w:color="auto" w:fill="auto"/>
            <w:vAlign w:val="center"/>
          </w:tcPr>
          <w:p w14:paraId="6749E2C5">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3B97F105">
            <w:pPr>
              <w:widowControl/>
              <w:jc w:val="center"/>
              <w:rPr>
                <w:kern w:val="0"/>
                <w:sz w:val="21"/>
                <w:szCs w:val="21"/>
              </w:rPr>
            </w:pPr>
            <w:r>
              <w:rPr>
                <w:kern w:val="0"/>
                <w:sz w:val="21"/>
                <w:szCs w:val="21"/>
              </w:rPr>
              <w:t>1.82</w:t>
            </w:r>
          </w:p>
        </w:tc>
        <w:tc>
          <w:tcPr>
            <w:tcW w:w="358" w:type="pct"/>
            <w:shd w:val="clear" w:color="auto" w:fill="auto"/>
            <w:vAlign w:val="center"/>
          </w:tcPr>
          <w:p w14:paraId="45AED10C">
            <w:pPr>
              <w:widowControl/>
              <w:jc w:val="center"/>
              <w:rPr>
                <w:kern w:val="0"/>
                <w:sz w:val="21"/>
                <w:szCs w:val="21"/>
              </w:rPr>
            </w:pPr>
            <w:r>
              <w:rPr>
                <w:kern w:val="0"/>
                <w:sz w:val="21"/>
                <w:szCs w:val="21"/>
              </w:rPr>
              <w:t>0.066</w:t>
            </w:r>
          </w:p>
        </w:tc>
        <w:tc>
          <w:tcPr>
            <w:tcW w:w="356" w:type="pct"/>
            <w:shd w:val="clear" w:color="auto" w:fill="auto"/>
            <w:vAlign w:val="center"/>
          </w:tcPr>
          <w:p w14:paraId="2DE89761">
            <w:pPr>
              <w:widowControl/>
              <w:jc w:val="center"/>
              <w:rPr>
                <w:kern w:val="0"/>
                <w:sz w:val="21"/>
                <w:szCs w:val="21"/>
              </w:rPr>
            </w:pPr>
            <w:r>
              <w:rPr>
                <w:kern w:val="0"/>
                <w:sz w:val="21"/>
                <w:szCs w:val="21"/>
              </w:rPr>
              <w:t>0.1575</w:t>
            </w:r>
          </w:p>
        </w:tc>
        <w:tc>
          <w:tcPr>
            <w:tcW w:w="263" w:type="pct"/>
            <w:vMerge w:val="continue"/>
            <w:vAlign w:val="center"/>
          </w:tcPr>
          <w:p w14:paraId="5BE2AC98">
            <w:pPr>
              <w:widowControl/>
              <w:jc w:val="center"/>
              <w:rPr>
                <w:rFonts w:ascii="宋体" w:hAnsi="宋体" w:cs="宋体"/>
                <w:kern w:val="0"/>
                <w:sz w:val="21"/>
                <w:szCs w:val="21"/>
              </w:rPr>
            </w:pPr>
          </w:p>
        </w:tc>
        <w:tc>
          <w:tcPr>
            <w:tcW w:w="177" w:type="pct"/>
            <w:vMerge w:val="continue"/>
            <w:vAlign w:val="center"/>
          </w:tcPr>
          <w:p w14:paraId="33F804F5">
            <w:pPr>
              <w:widowControl/>
              <w:jc w:val="center"/>
              <w:rPr>
                <w:kern w:val="0"/>
                <w:sz w:val="21"/>
                <w:szCs w:val="21"/>
              </w:rPr>
            </w:pPr>
          </w:p>
        </w:tc>
        <w:tc>
          <w:tcPr>
            <w:tcW w:w="269" w:type="pct"/>
            <w:vMerge w:val="continue"/>
            <w:vAlign w:val="center"/>
          </w:tcPr>
          <w:p w14:paraId="0DDABD42">
            <w:pPr>
              <w:widowControl/>
              <w:jc w:val="center"/>
              <w:rPr>
                <w:rFonts w:ascii="宋体" w:hAnsi="宋体" w:cs="宋体"/>
                <w:kern w:val="0"/>
                <w:sz w:val="21"/>
                <w:szCs w:val="21"/>
              </w:rPr>
            </w:pPr>
          </w:p>
        </w:tc>
        <w:tc>
          <w:tcPr>
            <w:tcW w:w="302" w:type="pct"/>
            <w:vMerge w:val="continue"/>
            <w:vAlign w:val="center"/>
          </w:tcPr>
          <w:p w14:paraId="572E520B">
            <w:pPr>
              <w:widowControl/>
              <w:jc w:val="center"/>
              <w:rPr>
                <w:kern w:val="0"/>
                <w:sz w:val="21"/>
                <w:szCs w:val="21"/>
              </w:rPr>
            </w:pPr>
          </w:p>
        </w:tc>
        <w:tc>
          <w:tcPr>
            <w:tcW w:w="389" w:type="pct"/>
            <w:vMerge w:val="continue"/>
            <w:vAlign w:val="center"/>
          </w:tcPr>
          <w:p w14:paraId="2535B8FF">
            <w:pPr>
              <w:widowControl/>
              <w:jc w:val="center"/>
              <w:rPr>
                <w:kern w:val="0"/>
                <w:sz w:val="21"/>
                <w:szCs w:val="21"/>
              </w:rPr>
            </w:pPr>
          </w:p>
        </w:tc>
        <w:tc>
          <w:tcPr>
            <w:tcW w:w="351" w:type="pct"/>
            <w:vMerge w:val="continue"/>
            <w:vAlign w:val="center"/>
          </w:tcPr>
          <w:p w14:paraId="3C03B15E">
            <w:pPr>
              <w:widowControl/>
              <w:jc w:val="center"/>
              <w:rPr>
                <w:kern w:val="0"/>
                <w:sz w:val="21"/>
                <w:szCs w:val="21"/>
              </w:rPr>
            </w:pPr>
          </w:p>
        </w:tc>
        <w:tc>
          <w:tcPr>
            <w:tcW w:w="204" w:type="pct"/>
            <w:vMerge w:val="continue"/>
            <w:vAlign w:val="center"/>
          </w:tcPr>
          <w:p w14:paraId="46F29E9B">
            <w:pPr>
              <w:widowControl/>
              <w:jc w:val="center"/>
              <w:rPr>
                <w:kern w:val="0"/>
                <w:sz w:val="21"/>
                <w:szCs w:val="21"/>
              </w:rPr>
            </w:pPr>
          </w:p>
        </w:tc>
        <w:tc>
          <w:tcPr>
            <w:tcW w:w="255" w:type="pct"/>
            <w:vMerge w:val="continue"/>
            <w:vAlign w:val="center"/>
          </w:tcPr>
          <w:p w14:paraId="105804EC">
            <w:pPr>
              <w:widowControl/>
              <w:jc w:val="center"/>
              <w:rPr>
                <w:kern w:val="0"/>
                <w:sz w:val="21"/>
                <w:szCs w:val="21"/>
              </w:rPr>
            </w:pPr>
          </w:p>
        </w:tc>
        <w:tc>
          <w:tcPr>
            <w:tcW w:w="203" w:type="pct"/>
            <w:vMerge w:val="continue"/>
            <w:vAlign w:val="center"/>
          </w:tcPr>
          <w:p w14:paraId="0004818A">
            <w:pPr>
              <w:widowControl/>
              <w:jc w:val="center"/>
              <w:rPr>
                <w:kern w:val="0"/>
                <w:sz w:val="21"/>
                <w:szCs w:val="21"/>
              </w:rPr>
            </w:pPr>
          </w:p>
        </w:tc>
        <w:tc>
          <w:tcPr>
            <w:tcW w:w="204" w:type="pct"/>
            <w:vMerge w:val="continue"/>
            <w:vAlign w:val="center"/>
          </w:tcPr>
          <w:p w14:paraId="2B45D98C">
            <w:pPr>
              <w:widowControl/>
              <w:jc w:val="center"/>
              <w:rPr>
                <w:kern w:val="0"/>
                <w:sz w:val="21"/>
                <w:szCs w:val="21"/>
              </w:rPr>
            </w:pPr>
          </w:p>
        </w:tc>
        <w:tc>
          <w:tcPr>
            <w:tcW w:w="205" w:type="pct"/>
            <w:vMerge w:val="continue"/>
            <w:vAlign w:val="center"/>
          </w:tcPr>
          <w:p w14:paraId="6FED8C2B">
            <w:pPr>
              <w:widowControl/>
              <w:jc w:val="center"/>
              <w:rPr>
                <w:kern w:val="0"/>
                <w:sz w:val="21"/>
                <w:szCs w:val="21"/>
              </w:rPr>
            </w:pPr>
          </w:p>
        </w:tc>
        <w:tc>
          <w:tcPr>
            <w:tcW w:w="251" w:type="pct"/>
            <w:vMerge w:val="continue"/>
            <w:vAlign w:val="center"/>
          </w:tcPr>
          <w:p w14:paraId="722BD29E">
            <w:pPr>
              <w:widowControl/>
              <w:jc w:val="center"/>
              <w:rPr>
                <w:rFonts w:ascii="宋体" w:hAnsi="宋体" w:cs="宋体"/>
                <w:kern w:val="0"/>
                <w:sz w:val="21"/>
                <w:szCs w:val="21"/>
              </w:rPr>
            </w:pPr>
          </w:p>
        </w:tc>
      </w:tr>
      <w:tr w14:paraId="2E476A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660B25C0">
            <w:pPr>
              <w:widowControl/>
              <w:jc w:val="center"/>
              <w:rPr>
                <w:kern w:val="0"/>
                <w:sz w:val="21"/>
                <w:szCs w:val="21"/>
              </w:rPr>
            </w:pPr>
          </w:p>
        </w:tc>
        <w:tc>
          <w:tcPr>
            <w:tcW w:w="280" w:type="pct"/>
            <w:vMerge w:val="continue"/>
            <w:vAlign w:val="center"/>
          </w:tcPr>
          <w:p w14:paraId="70B267AA">
            <w:pPr>
              <w:widowControl/>
              <w:jc w:val="center"/>
              <w:rPr>
                <w:kern w:val="0"/>
                <w:sz w:val="21"/>
                <w:szCs w:val="21"/>
              </w:rPr>
            </w:pPr>
          </w:p>
        </w:tc>
        <w:tc>
          <w:tcPr>
            <w:tcW w:w="219" w:type="pct"/>
            <w:vMerge w:val="restart"/>
            <w:shd w:val="clear" w:color="auto" w:fill="auto"/>
            <w:vAlign w:val="center"/>
          </w:tcPr>
          <w:p w14:paraId="4DA125F0">
            <w:pPr>
              <w:widowControl/>
              <w:jc w:val="center"/>
              <w:rPr>
                <w:rFonts w:ascii="宋体" w:hAnsi="宋体" w:cs="宋体"/>
                <w:kern w:val="0"/>
                <w:sz w:val="21"/>
                <w:szCs w:val="21"/>
              </w:rPr>
            </w:pPr>
            <w:r>
              <w:rPr>
                <w:rFonts w:hint="eastAsia" w:ascii="宋体" w:hAnsi="宋体" w:cs="宋体"/>
                <w:kern w:val="0"/>
                <w:sz w:val="21"/>
                <w:szCs w:val="21"/>
              </w:rPr>
              <w:t>挤出预成型</w:t>
            </w:r>
          </w:p>
        </w:tc>
        <w:tc>
          <w:tcPr>
            <w:tcW w:w="251" w:type="pct"/>
            <w:shd w:val="clear" w:color="auto" w:fill="auto"/>
            <w:vAlign w:val="center"/>
          </w:tcPr>
          <w:p w14:paraId="6349D1D9">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14074C0F">
            <w:pPr>
              <w:widowControl/>
              <w:jc w:val="center"/>
              <w:rPr>
                <w:kern w:val="0"/>
                <w:sz w:val="21"/>
                <w:szCs w:val="21"/>
              </w:rPr>
            </w:pPr>
            <w:r>
              <w:rPr>
                <w:kern w:val="0"/>
                <w:sz w:val="21"/>
                <w:szCs w:val="21"/>
              </w:rPr>
              <w:t>0.6</w:t>
            </w:r>
          </w:p>
        </w:tc>
        <w:tc>
          <w:tcPr>
            <w:tcW w:w="358" w:type="pct"/>
            <w:shd w:val="clear" w:color="auto" w:fill="auto"/>
            <w:vAlign w:val="center"/>
          </w:tcPr>
          <w:p w14:paraId="247A86EB">
            <w:pPr>
              <w:widowControl/>
              <w:jc w:val="center"/>
              <w:rPr>
                <w:kern w:val="0"/>
                <w:sz w:val="21"/>
                <w:szCs w:val="21"/>
              </w:rPr>
            </w:pPr>
            <w:r>
              <w:rPr>
                <w:kern w:val="0"/>
                <w:sz w:val="21"/>
                <w:szCs w:val="21"/>
              </w:rPr>
              <w:t>0.013</w:t>
            </w:r>
          </w:p>
        </w:tc>
        <w:tc>
          <w:tcPr>
            <w:tcW w:w="356" w:type="pct"/>
            <w:shd w:val="clear" w:color="auto" w:fill="auto"/>
            <w:vAlign w:val="center"/>
          </w:tcPr>
          <w:p w14:paraId="44D50798">
            <w:pPr>
              <w:widowControl/>
              <w:jc w:val="center"/>
              <w:rPr>
                <w:kern w:val="0"/>
                <w:sz w:val="21"/>
                <w:szCs w:val="21"/>
              </w:rPr>
            </w:pPr>
            <w:r>
              <w:rPr>
                <w:kern w:val="0"/>
                <w:sz w:val="21"/>
                <w:szCs w:val="21"/>
              </w:rPr>
              <w:t>0.09</w:t>
            </w:r>
          </w:p>
        </w:tc>
        <w:tc>
          <w:tcPr>
            <w:tcW w:w="263" w:type="pct"/>
            <w:vMerge w:val="continue"/>
            <w:vAlign w:val="center"/>
          </w:tcPr>
          <w:p w14:paraId="3D327CFA">
            <w:pPr>
              <w:widowControl/>
              <w:jc w:val="center"/>
              <w:rPr>
                <w:rFonts w:ascii="宋体" w:hAnsi="宋体" w:cs="宋体"/>
                <w:kern w:val="0"/>
                <w:sz w:val="21"/>
                <w:szCs w:val="21"/>
              </w:rPr>
            </w:pPr>
          </w:p>
        </w:tc>
        <w:tc>
          <w:tcPr>
            <w:tcW w:w="177" w:type="pct"/>
            <w:vMerge w:val="continue"/>
            <w:vAlign w:val="center"/>
          </w:tcPr>
          <w:p w14:paraId="2F6D37B4">
            <w:pPr>
              <w:widowControl/>
              <w:jc w:val="center"/>
              <w:rPr>
                <w:kern w:val="0"/>
                <w:sz w:val="21"/>
                <w:szCs w:val="21"/>
              </w:rPr>
            </w:pPr>
          </w:p>
        </w:tc>
        <w:tc>
          <w:tcPr>
            <w:tcW w:w="269" w:type="pct"/>
            <w:vMerge w:val="continue"/>
            <w:vAlign w:val="center"/>
          </w:tcPr>
          <w:p w14:paraId="52FBD6F0">
            <w:pPr>
              <w:widowControl/>
              <w:jc w:val="center"/>
              <w:rPr>
                <w:rFonts w:ascii="宋体" w:hAnsi="宋体" w:cs="宋体"/>
                <w:kern w:val="0"/>
                <w:sz w:val="21"/>
                <w:szCs w:val="21"/>
              </w:rPr>
            </w:pPr>
          </w:p>
        </w:tc>
        <w:tc>
          <w:tcPr>
            <w:tcW w:w="302" w:type="pct"/>
            <w:vMerge w:val="continue"/>
            <w:vAlign w:val="center"/>
          </w:tcPr>
          <w:p w14:paraId="053BE75B">
            <w:pPr>
              <w:widowControl/>
              <w:jc w:val="center"/>
              <w:rPr>
                <w:kern w:val="0"/>
                <w:sz w:val="21"/>
                <w:szCs w:val="21"/>
              </w:rPr>
            </w:pPr>
          </w:p>
        </w:tc>
        <w:tc>
          <w:tcPr>
            <w:tcW w:w="389" w:type="pct"/>
            <w:vMerge w:val="continue"/>
            <w:vAlign w:val="center"/>
          </w:tcPr>
          <w:p w14:paraId="43019C18">
            <w:pPr>
              <w:widowControl/>
              <w:jc w:val="center"/>
              <w:rPr>
                <w:kern w:val="0"/>
                <w:sz w:val="21"/>
                <w:szCs w:val="21"/>
              </w:rPr>
            </w:pPr>
          </w:p>
        </w:tc>
        <w:tc>
          <w:tcPr>
            <w:tcW w:w="351" w:type="pct"/>
            <w:vMerge w:val="continue"/>
            <w:vAlign w:val="center"/>
          </w:tcPr>
          <w:p w14:paraId="12D8AAD8">
            <w:pPr>
              <w:widowControl/>
              <w:jc w:val="center"/>
              <w:rPr>
                <w:kern w:val="0"/>
                <w:sz w:val="21"/>
                <w:szCs w:val="21"/>
              </w:rPr>
            </w:pPr>
          </w:p>
        </w:tc>
        <w:tc>
          <w:tcPr>
            <w:tcW w:w="204" w:type="pct"/>
            <w:vMerge w:val="continue"/>
            <w:vAlign w:val="center"/>
          </w:tcPr>
          <w:p w14:paraId="793B6914">
            <w:pPr>
              <w:widowControl/>
              <w:jc w:val="center"/>
              <w:rPr>
                <w:kern w:val="0"/>
                <w:sz w:val="21"/>
                <w:szCs w:val="21"/>
              </w:rPr>
            </w:pPr>
          </w:p>
        </w:tc>
        <w:tc>
          <w:tcPr>
            <w:tcW w:w="255" w:type="pct"/>
            <w:vMerge w:val="continue"/>
            <w:vAlign w:val="center"/>
          </w:tcPr>
          <w:p w14:paraId="5476E99C">
            <w:pPr>
              <w:widowControl/>
              <w:jc w:val="center"/>
              <w:rPr>
                <w:kern w:val="0"/>
                <w:sz w:val="21"/>
                <w:szCs w:val="21"/>
              </w:rPr>
            </w:pPr>
          </w:p>
        </w:tc>
        <w:tc>
          <w:tcPr>
            <w:tcW w:w="203" w:type="pct"/>
            <w:vMerge w:val="continue"/>
            <w:vAlign w:val="center"/>
          </w:tcPr>
          <w:p w14:paraId="5423AEBF">
            <w:pPr>
              <w:widowControl/>
              <w:jc w:val="center"/>
              <w:rPr>
                <w:kern w:val="0"/>
                <w:sz w:val="21"/>
                <w:szCs w:val="21"/>
              </w:rPr>
            </w:pPr>
          </w:p>
        </w:tc>
        <w:tc>
          <w:tcPr>
            <w:tcW w:w="204" w:type="pct"/>
            <w:vMerge w:val="continue"/>
            <w:vAlign w:val="center"/>
          </w:tcPr>
          <w:p w14:paraId="303A02BD">
            <w:pPr>
              <w:widowControl/>
              <w:jc w:val="center"/>
              <w:rPr>
                <w:kern w:val="0"/>
                <w:sz w:val="21"/>
                <w:szCs w:val="21"/>
              </w:rPr>
            </w:pPr>
          </w:p>
        </w:tc>
        <w:tc>
          <w:tcPr>
            <w:tcW w:w="205" w:type="pct"/>
            <w:vMerge w:val="continue"/>
            <w:vAlign w:val="center"/>
          </w:tcPr>
          <w:p w14:paraId="4E1D1732">
            <w:pPr>
              <w:widowControl/>
              <w:jc w:val="center"/>
              <w:rPr>
                <w:kern w:val="0"/>
                <w:sz w:val="21"/>
                <w:szCs w:val="21"/>
              </w:rPr>
            </w:pPr>
          </w:p>
        </w:tc>
        <w:tc>
          <w:tcPr>
            <w:tcW w:w="251" w:type="pct"/>
            <w:vMerge w:val="continue"/>
            <w:vAlign w:val="center"/>
          </w:tcPr>
          <w:p w14:paraId="1A9A0A5E">
            <w:pPr>
              <w:widowControl/>
              <w:jc w:val="center"/>
              <w:rPr>
                <w:rFonts w:ascii="宋体" w:hAnsi="宋体" w:cs="宋体"/>
                <w:kern w:val="0"/>
                <w:sz w:val="21"/>
                <w:szCs w:val="21"/>
              </w:rPr>
            </w:pPr>
          </w:p>
        </w:tc>
      </w:tr>
      <w:tr w14:paraId="034C0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382EB087">
            <w:pPr>
              <w:widowControl/>
              <w:jc w:val="center"/>
              <w:rPr>
                <w:kern w:val="0"/>
                <w:sz w:val="21"/>
                <w:szCs w:val="21"/>
              </w:rPr>
            </w:pPr>
          </w:p>
        </w:tc>
        <w:tc>
          <w:tcPr>
            <w:tcW w:w="280" w:type="pct"/>
            <w:vMerge w:val="continue"/>
            <w:vAlign w:val="center"/>
          </w:tcPr>
          <w:p w14:paraId="237E5C16">
            <w:pPr>
              <w:widowControl/>
              <w:jc w:val="center"/>
              <w:rPr>
                <w:kern w:val="0"/>
                <w:sz w:val="21"/>
                <w:szCs w:val="21"/>
              </w:rPr>
            </w:pPr>
          </w:p>
        </w:tc>
        <w:tc>
          <w:tcPr>
            <w:tcW w:w="219" w:type="pct"/>
            <w:vMerge w:val="continue"/>
            <w:vAlign w:val="center"/>
          </w:tcPr>
          <w:p w14:paraId="3E88C3EB">
            <w:pPr>
              <w:widowControl/>
              <w:jc w:val="center"/>
              <w:rPr>
                <w:rFonts w:ascii="宋体" w:hAnsi="宋体" w:cs="宋体"/>
                <w:kern w:val="0"/>
                <w:sz w:val="21"/>
                <w:szCs w:val="21"/>
              </w:rPr>
            </w:pPr>
          </w:p>
        </w:tc>
        <w:tc>
          <w:tcPr>
            <w:tcW w:w="251" w:type="pct"/>
            <w:shd w:val="clear" w:color="auto" w:fill="auto"/>
            <w:vAlign w:val="center"/>
          </w:tcPr>
          <w:p w14:paraId="07A0DBE5">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605ED119">
            <w:pPr>
              <w:widowControl/>
              <w:jc w:val="center"/>
              <w:rPr>
                <w:kern w:val="0"/>
                <w:sz w:val="21"/>
                <w:szCs w:val="21"/>
              </w:rPr>
            </w:pPr>
            <w:r>
              <w:rPr>
                <w:kern w:val="0"/>
                <w:sz w:val="21"/>
                <w:szCs w:val="21"/>
              </w:rPr>
              <w:t>3.7</w:t>
            </w:r>
          </w:p>
        </w:tc>
        <w:tc>
          <w:tcPr>
            <w:tcW w:w="358" w:type="pct"/>
            <w:shd w:val="clear" w:color="auto" w:fill="auto"/>
            <w:vAlign w:val="center"/>
          </w:tcPr>
          <w:p w14:paraId="6C659AED">
            <w:pPr>
              <w:widowControl/>
              <w:jc w:val="center"/>
              <w:rPr>
                <w:kern w:val="0"/>
                <w:sz w:val="21"/>
                <w:szCs w:val="21"/>
              </w:rPr>
            </w:pPr>
            <w:r>
              <w:rPr>
                <w:kern w:val="0"/>
                <w:sz w:val="21"/>
                <w:szCs w:val="21"/>
              </w:rPr>
              <w:t>0.074</w:t>
            </w:r>
          </w:p>
        </w:tc>
        <w:tc>
          <w:tcPr>
            <w:tcW w:w="356" w:type="pct"/>
            <w:shd w:val="clear" w:color="auto" w:fill="auto"/>
            <w:vAlign w:val="center"/>
          </w:tcPr>
          <w:p w14:paraId="59004BCE">
            <w:pPr>
              <w:widowControl/>
              <w:jc w:val="center"/>
              <w:rPr>
                <w:kern w:val="0"/>
                <w:sz w:val="21"/>
                <w:szCs w:val="21"/>
              </w:rPr>
            </w:pPr>
            <w:r>
              <w:rPr>
                <w:kern w:val="0"/>
                <w:sz w:val="21"/>
                <w:szCs w:val="21"/>
              </w:rPr>
              <w:t>0.5355</w:t>
            </w:r>
          </w:p>
        </w:tc>
        <w:tc>
          <w:tcPr>
            <w:tcW w:w="263" w:type="pct"/>
            <w:vMerge w:val="continue"/>
            <w:vAlign w:val="center"/>
          </w:tcPr>
          <w:p w14:paraId="270B739A">
            <w:pPr>
              <w:widowControl/>
              <w:jc w:val="center"/>
              <w:rPr>
                <w:rFonts w:ascii="宋体" w:hAnsi="宋体" w:cs="宋体"/>
                <w:kern w:val="0"/>
                <w:sz w:val="21"/>
                <w:szCs w:val="21"/>
              </w:rPr>
            </w:pPr>
          </w:p>
        </w:tc>
        <w:tc>
          <w:tcPr>
            <w:tcW w:w="177" w:type="pct"/>
            <w:vMerge w:val="continue"/>
            <w:vAlign w:val="center"/>
          </w:tcPr>
          <w:p w14:paraId="275AE4F0">
            <w:pPr>
              <w:widowControl/>
              <w:jc w:val="center"/>
              <w:rPr>
                <w:kern w:val="0"/>
                <w:sz w:val="21"/>
                <w:szCs w:val="21"/>
              </w:rPr>
            </w:pPr>
          </w:p>
        </w:tc>
        <w:tc>
          <w:tcPr>
            <w:tcW w:w="269" w:type="pct"/>
            <w:vMerge w:val="continue"/>
            <w:vAlign w:val="center"/>
          </w:tcPr>
          <w:p w14:paraId="126FABFF">
            <w:pPr>
              <w:widowControl/>
              <w:jc w:val="center"/>
              <w:rPr>
                <w:rFonts w:ascii="宋体" w:hAnsi="宋体" w:cs="宋体"/>
                <w:kern w:val="0"/>
                <w:sz w:val="21"/>
                <w:szCs w:val="21"/>
              </w:rPr>
            </w:pPr>
          </w:p>
        </w:tc>
        <w:tc>
          <w:tcPr>
            <w:tcW w:w="302" w:type="pct"/>
            <w:vMerge w:val="continue"/>
            <w:vAlign w:val="center"/>
          </w:tcPr>
          <w:p w14:paraId="6D0FBE45">
            <w:pPr>
              <w:widowControl/>
              <w:jc w:val="center"/>
              <w:rPr>
                <w:kern w:val="0"/>
                <w:sz w:val="21"/>
                <w:szCs w:val="21"/>
              </w:rPr>
            </w:pPr>
          </w:p>
        </w:tc>
        <w:tc>
          <w:tcPr>
            <w:tcW w:w="389" w:type="pct"/>
            <w:vMerge w:val="continue"/>
            <w:vAlign w:val="center"/>
          </w:tcPr>
          <w:p w14:paraId="397FF6D3">
            <w:pPr>
              <w:widowControl/>
              <w:jc w:val="center"/>
              <w:rPr>
                <w:kern w:val="0"/>
                <w:sz w:val="21"/>
                <w:szCs w:val="21"/>
              </w:rPr>
            </w:pPr>
          </w:p>
        </w:tc>
        <w:tc>
          <w:tcPr>
            <w:tcW w:w="351" w:type="pct"/>
            <w:vMerge w:val="continue"/>
            <w:vAlign w:val="center"/>
          </w:tcPr>
          <w:p w14:paraId="5D010BDF">
            <w:pPr>
              <w:widowControl/>
              <w:jc w:val="center"/>
              <w:rPr>
                <w:kern w:val="0"/>
                <w:sz w:val="21"/>
                <w:szCs w:val="21"/>
              </w:rPr>
            </w:pPr>
          </w:p>
        </w:tc>
        <w:tc>
          <w:tcPr>
            <w:tcW w:w="204" w:type="pct"/>
            <w:vMerge w:val="continue"/>
            <w:vAlign w:val="center"/>
          </w:tcPr>
          <w:p w14:paraId="35CFC566">
            <w:pPr>
              <w:widowControl/>
              <w:jc w:val="center"/>
              <w:rPr>
                <w:kern w:val="0"/>
                <w:sz w:val="21"/>
                <w:szCs w:val="21"/>
              </w:rPr>
            </w:pPr>
          </w:p>
        </w:tc>
        <w:tc>
          <w:tcPr>
            <w:tcW w:w="255" w:type="pct"/>
            <w:vMerge w:val="continue"/>
            <w:vAlign w:val="center"/>
          </w:tcPr>
          <w:p w14:paraId="5BE76D56">
            <w:pPr>
              <w:widowControl/>
              <w:jc w:val="center"/>
              <w:rPr>
                <w:kern w:val="0"/>
                <w:sz w:val="21"/>
                <w:szCs w:val="21"/>
              </w:rPr>
            </w:pPr>
          </w:p>
        </w:tc>
        <w:tc>
          <w:tcPr>
            <w:tcW w:w="203" w:type="pct"/>
            <w:vMerge w:val="continue"/>
            <w:vAlign w:val="center"/>
          </w:tcPr>
          <w:p w14:paraId="19EF1099">
            <w:pPr>
              <w:widowControl/>
              <w:jc w:val="center"/>
              <w:rPr>
                <w:kern w:val="0"/>
                <w:sz w:val="21"/>
                <w:szCs w:val="21"/>
              </w:rPr>
            </w:pPr>
          </w:p>
        </w:tc>
        <w:tc>
          <w:tcPr>
            <w:tcW w:w="204" w:type="pct"/>
            <w:vMerge w:val="continue"/>
            <w:vAlign w:val="center"/>
          </w:tcPr>
          <w:p w14:paraId="664539A1">
            <w:pPr>
              <w:widowControl/>
              <w:jc w:val="center"/>
              <w:rPr>
                <w:kern w:val="0"/>
                <w:sz w:val="21"/>
                <w:szCs w:val="21"/>
              </w:rPr>
            </w:pPr>
          </w:p>
        </w:tc>
        <w:tc>
          <w:tcPr>
            <w:tcW w:w="205" w:type="pct"/>
            <w:vMerge w:val="continue"/>
            <w:vAlign w:val="center"/>
          </w:tcPr>
          <w:p w14:paraId="06D2B0F6">
            <w:pPr>
              <w:widowControl/>
              <w:jc w:val="center"/>
              <w:rPr>
                <w:kern w:val="0"/>
                <w:sz w:val="21"/>
                <w:szCs w:val="21"/>
              </w:rPr>
            </w:pPr>
          </w:p>
        </w:tc>
        <w:tc>
          <w:tcPr>
            <w:tcW w:w="251" w:type="pct"/>
            <w:vMerge w:val="continue"/>
            <w:vAlign w:val="center"/>
          </w:tcPr>
          <w:p w14:paraId="0C6F9FD8">
            <w:pPr>
              <w:widowControl/>
              <w:jc w:val="center"/>
              <w:rPr>
                <w:rFonts w:ascii="宋体" w:hAnsi="宋体" w:cs="宋体"/>
                <w:kern w:val="0"/>
                <w:sz w:val="21"/>
                <w:szCs w:val="21"/>
              </w:rPr>
            </w:pPr>
          </w:p>
        </w:tc>
      </w:tr>
      <w:tr w14:paraId="55C77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restart"/>
            <w:shd w:val="clear" w:color="auto" w:fill="auto"/>
            <w:vAlign w:val="center"/>
          </w:tcPr>
          <w:p w14:paraId="52494724">
            <w:pPr>
              <w:widowControl/>
              <w:jc w:val="center"/>
              <w:rPr>
                <w:kern w:val="0"/>
                <w:sz w:val="21"/>
                <w:szCs w:val="21"/>
              </w:rPr>
            </w:pPr>
            <w:r>
              <w:rPr>
                <w:kern w:val="0"/>
                <w:sz w:val="21"/>
                <w:szCs w:val="21"/>
              </w:rPr>
              <w:t>1#</w:t>
            </w:r>
          </w:p>
        </w:tc>
        <w:tc>
          <w:tcPr>
            <w:tcW w:w="280" w:type="pct"/>
            <w:vMerge w:val="restart"/>
            <w:shd w:val="clear" w:color="auto" w:fill="auto"/>
            <w:vAlign w:val="center"/>
          </w:tcPr>
          <w:p w14:paraId="7B326918">
            <w:pPr>
              <w:widowControl/>
              <w:jc w:val="center"/>
              <w:rPr>
                <w:kern w:val="0"/>
                <w:sz w:val="21"/>
                <w:szCs w:val="21"/>
              </w:rPr>
            </w:pPr>
            <w:r>
              <w:rPr>
                <w:kern w:val="0"/>
                <w:sz w:val="21"/>
                <w:szCs w:val="21"/>
              </w:rPr>
              <w:t>63000</w:t>
            </w:r>
          </w:p>
        </w:tc>
        <w:tc>
          <w:tcPr>
            <w:tcW w:w="219" w:type="pct"/>
            <w:vMerge w:val="restart"/>
            <w:shd w:val="clear" w:color="auto" w:fill="auto"/>
            <w:vAlign w:val="center"/>
          </w:tcPr>
          <w:p w14:paraId="21BAD849">
            <w:pPr>
              <w:widowControl/>
              <w:jc w:val="center"/>
              <w:rPr>
                <w:rFonts w:ascii="宋体" w:hAnsi="宋体" w:cs="宋体"/>
                <w:kern w:val="0"/>
                <w:sz w:val="21"/>
                <w:szCs w:val="21"/>
              </w:rPr>
            </w:pPr>
            <w:r>
              <w:rPr>
                <w:rFonts w:hint="eastAsia" w:ascii="宋体" w:hAnsi="宋体" w:cs="宋体"/>
                <w:kern w:val="0"/>
                <w:sz w:val="21"/>
                <w:szCs w:val="21"/>
              </w:rPr>
              <w:t>挤出预成型</w:t>
            </w:r>
          </w:p>
        </w:tc>
        <w:tc>
          <w:tcPr>
            <w:tcW w:w="251" w:type="pct"/>
            <w:shd w:val="clear" w:color="auto" w:fill="auto"/>
            <w:vAlign w:val="center"/>
          </w:tcPr>
          <w:p w14:paraId="3A5C359A">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6CF0B278">
            <w:pPr>
              <w:widowControl/>
              <w:jc w:val="center"/>
              <w:rPr>
                <w:kern w:val="0"/>
                <w:sz w:val="21"/>
                <w:szCs w:val="21"/>
              </w:rPr>
            </w:pPr>
            <w:r>
              <w:rPr>
                <w:kern w:val="0"/>
                <w:sz w:val="21"/>
                <w:szCs w:val="21"/>
              </w:rPr>
              <w:t>0.20</w:t>
            </w:r>
          </w:p>
        </w:tc>
        <w:tc>
          <w:tcPr>
            <w:tcW w:w="358" w:type="pct"/>
            <w:shd w:val="clear" w:color="auto" w:fill="auto"/>
            <w:vAlign w:val="center"/>
          </w:tcPr>
          <w:p w14:paraId="58E792A9">
            <w:pPr>
              <w:widowControl/>
              <w:jc w:val="center"/>
              <w:rPr>
                <w:kern w:val="0"/>
                <w:sz w:val="21"/>
                <w:szCs w:val="21"/>
              </w:rPr>
            </w:pPr>
            <w:r>
              <w:rPr>
                <w:kern w:val="0"/>
                <w:sz w:val="21"/>
                <w:szCs w:val="21"/>
              </w:rPr>
              <w:t>0.013</w:t>
            </w:r>
          </w:p>
        </w:tc>
        <w:tc>
          <w:tcPr>
            <w:tcW w:w="356" w:type="pct"/>
            <w:shd w:val="clear" w:color="auto" w:fill="auto"/>
            <w:vAlign w:val="center"/>
          </w:tcPr>
          <w:p w14:paraId="1CC92364">
            <w:pPr>
              <w:widowControl/>
              <w:jc w:val="center"/>
              <w:rPr>
                <w:kern w:val="0"/>
                <w:sz w:val="21"/>
                <w:szCs w:val="21"/>
              </w:rPr>
            </w:pPr>
            <w:r>
              <w:rPr>
                <w:kern w:val="0"/>
                <w:sz w:val="21"/>
                <w:szCs w:val="21"/>
              </w:rPr>
              <w:t>0.09</w:t>
            </w:r>
          </w:p>
        </w:tc>
        <w:tc>
          <w:tcPr>
            <w:tcW w:w="263" w:type="pct"/>
            <w:vMerge w:val="restart"/>
            <w:shd w:val="clear" w:color="auto" w:fill="auto"/>
            <w:vAlign w:val="center"/>
          </w:tcPr>
          <w:p w14:paraId="00A0AB17">
            <w:pPr>
              <w:widowControl/>
              <w:jc w:val="center"/>
              <w:rPr>
                <w:rFonts w:ascii="宋体" w:hAnsi="宋体" w:cs="宋体"/>
                <w:kern w:val="0"/>
                <w:sz w:val="21"/>
                <w:szCs w:val="21"/>
              </w:rPr>
            </w:pPr>
            <w:r>
              <w:rPr>
                <w:rFonts w:hint="eastAsia" w:ascii="宋体" w:hAnsi="宋体" w:cs="宋体"/>
                <w:kern w:val="0"/>
                <w:sz w:val="21"/>
                <w:szCs w:val="21"/>
              </w:rPr>
              <w:t>碱喷淋</w:t>
            </w:r>
            <w:r>
              <w:rPr>
                <w:kern w:val="0"/>
                <w:sz w:val="21"/>
                <w:szCs w:val="21"/>
              </w:rPr>
              <w:t>+除雾装置+二级</w:t>
            </w:r>
            <w:r>
              <w:rPr>
                <w:rFonts w:hint="eastAsia" w:ascii="宋体" w:hAnsi="宋体" w:cs="宋体"/>
                <w:kern w:val="0"/>
                <w:sz w:val="21"/>
                <w:szCs w:val="21"/>
              </w:rPr>
              <w:t>活性炭吸附装置</w:t>
            </w:r>
          </w:p>
        </w:tc>
        <w:tc>
          <w:tcPr>
            <w:tcW w:w="177" w:type="pct"/>
            <w:vMerge w:val="restart"/>
            <w:shd w:val="clear" w:color="auto" w:fill="auto"/>
            <w:vAlign w:val="center"/>
          </w:tcPr>
          <w:p w14:paraId="3245A598">
            <w:pPr>
              <w:widowControl/>
              <w:jc w:val="center"/>
              <w:rPr>
                <w:kern w:val="0"/>
                <w:sz w:val="21"/>
                <w:szCs w:val="21"/>
              </w:rPr>
            </w:pPr>
            <w:r>
              <w:rPr>
                <w:kern w:val="0"/>
                <w:sz w:val="21"/>
                <w:szCs w:val="21"/>
              </w:rPr>
              <w:t>90</w:t>
            </w:r>
          </w:p>
        </w:tc>
        <w:tc>
          <w:tcPr>
            <w:tcW w:w="269" w:type="pct"/>
            <w:vMerge w:val="restart"/>
            <w:shd w:val="clear" w:color="auto" w:fill="auto"/>
            <w:vAlign w:val="center"/>
          </w:tcPr>
          <w:p w14:paraId="73195AA1">
            <w:pPr>
              <w:widowControl/>
              <w:jc w:val="center"/>
              <w:rPr>
                <w:rFonts w:ascii="宋体" w:hAnsi="宋体" w:cs="宋体"/>
                <w:kern w:val="0"/>
                <w:sz w:val="21"/>
                <w:szCs w:val="21"/>
              </w:rPr>
            </w:pPr>
            <w:r>
              <w:rPr>
                <w:rFonts w:hint="eastAsia" w:ascii="宋体" w:hAnsi="宋体" w:cs="宋体"/>
                <w:kern w:val="0"/>
                <w:sz w:val="21"/>
                <w:szCs w:val="21"/>
              </w:rPr>
              <w:t>氟化物</w:t>
            </w:r>
          </w:p>
        </w:tc>
        <w:tc>
          <w:tcPr>
            <w:tcW w:w="302" w:type="pct"/>
            <w:vMerge w:val="restart"/>
            <w:shd w:val="clear" w:color="auto" w:fill="auto"/>
            <w:vAlign w:val="center"/>
          </w:tcPr>
          <w:p w14:paraId="6DBCFEB7">
            <w:pPr>
              <w:widowControl/>
              <w:jc w:val="center"/>
              <w:rPr>
                <w:kern w:val="0"/>
                <w:sz w:val="21"/>
                <w:szCs w:val="21"/>
              </w:rPr>
            </w:pPr>
            <w:r>
              <w:rPr>
                <w:kern w:val="0"/>
                <w:sz w:val="21"/>
                <w:szCs w:val="21"/>
              </w:rPr>
              <w:t>0.0009</w:t>
            </w:r>
          </w:p>
        </w:tc>
        <w:tc>
          <w:tcPr>
            <w:tcW w:w="389" w:type="pct"/>
            <w:vMerge w:val="restart"/>
            <w:shd w:val="clear" w:color="auto" w:fill="auto"/>
            <w:vAlign w:val="center"/>
          </w:tcPr>
          <w:p w14:paraId="26B5BD3E">
            <w:pPr>
              <w:widowControl/>
              <w:jc w:val="center"/>
              <w:rPr>
                <w:kern w:val="0"/>
                <w:sz w:val="21"/>
                <w:szCs w:val="21"/>
              </w:rPr>
            </w:pPr>
            <w:r>
              <w:rPr>
                <w:kern w:val="0"/>
                <w:sz w:val="21"/>
                <w:szCs w:val="21"/>
              </w:rPr>
              <w:t>0.000055</w:t>
            </w:r>
          </w:p>
        </w:tc>
        <w:tc>
          <w:tcPr>
            <w:tcW w:w="351" w:type="pct"/>
            <w:vMerge w:val="restart"/>
            <w:shd w:val="clear" w:color="auto" w:fill="auto"/>
            <w:vAlign w:val="center"/>
          </w:tcPr>
          <w:p w14:paraId="220E642D">
            <w:pPr>
              <w:widowControl/>
              <w:jc w:val="center"/>
              <w:rPr>
                <w:kern w:val="0"/>
                <w:sz w:val="21"/>
                <w:szCs w:val="21"/>
              </w:rPr>
            </w:pPr>
            <w:r>
              <w:rPr>
                <w:kern w:val="0"/>
                <w:sz w:val="21"/>
                <w:szCs w:val="21"/>
              </w:rPr>
              <w:t>0.0004</w:t>
            </w:r>
          </w:p>
        </w:tc>
        <w:tc>
          <w:tcPr>
            <w:tcW w:w="204" w:type="pct"/>
            <w:vMerge w:val="restart"/>
            <w:shd w:val="clear" w:color="auto" w:fill="auto"/>
            <w:vAlign w:val="center"/>
          </w:tcPr>
          <w:p w14:paraId="5AE3F18D">
            <w:pPr>
              <w:widowControl/>
              <w:snapToGrid w:val="0"/>
              <w:jc w:val="center"/>
              <w:rPr>
                <w:kern w:val="0"/>
                <w:sz w:val="21"/>
                <w:szCs w:val="21"/>
              </w:rPr>
            </w:pPr>
            <w:r>
              <w:rPr>
                <w:kern w:val="0"/>
                <w:sz w:val="21"/>
                <w:szCs w:val="21"/>
              </w:rPr>
              <w:t>3</w:t>
            </w:r>
          </w:p>
        </w:tc>
        <w:tc>
          <w:tcPr>
            <w:tcW w:w="255" w:type="pct"/>
            <w:vMerge w:val="restart"/>
            <w:shd w:val="clear" w:color="auto" w:fill="auto"/>
            <w:vAlign w:val="center"/>
          </w:tcPr>
          <w:p w14:paraId="6537E061">
            <w:pPr>
              <w:pStyle w:val="55"/>
              <w:snapToGrid w:val="0"/>
              <w:ind w:right="0" w:rightChars="0"/>
              <w:rPr>
                <w:rFonts w:ascii="Times New Roman" w:hAnsi="Times New Roman"/>
                <w:sz w:val="21"/>
                <w:szCs w:val="21"/>
              </w:rPr>
            </w:pPr>
            <w:r>
              <w:rPr>
                <w:rFonts w:ascii="Times New Roman" w:hAnsi="Times New Roman"/>
                <w:sz w:val="21"/>
                <w:szCs w:val="21"/>
              </w:rPr>
              <w:t>0.072</w:t>
            </w:r>
          </w:p>
        </w:tc>
        <w:tc>
          <w:tcPr>
            <w:tcW w:w="203" w:type="pct"/>
            <w:vMerge w:val="restart"/>
            <w:shd w:val="clear" w:color="auto" w:fill="auto"/>
            <w:vAlign w:val="center"/>
          </w:tcPr>
          <w:p w14:paraId="6AC7BD16">
            <w:pPr>
              <w:widowControl/>
              <w:jc w:val="center"/>
              <w:rPr>
                <w:kern w:val="0"/>
                <w:sz w:val="21"/>
                <w:szCs w:val="21"/>
              </w:rPr>
            </w:pPr>
            <w:r>
              <w:rPr>
                <w:kern w:val="0"/>
                <w:sz w:val="21"/>
                <w:szCs w:val="21"/>
              </w:rPr>
              <w:t>15</w:t>
            </w:r>
          </w:p>
        </w:tc>
        <w:tc>
          <w:tcPr>
            <w:tcW w:w="204" w:type="pct"/>
            <w:vMerge w:val="restart"/>
            <w:shd w:val="clear" w:color="auto" w:fill="auto"/>
            <w:vAlign w:val="center"/>
          </w:tcPr>
          <w:p w14:paraId="29672504">
            <w:pPr>
              <w:widowControl/>
              <w:jc w:val="center"/>
              <w:rPr>
                <w:kern w:val="0"/>
                <w:sz w:val="21"/>
                <w:szCs w:val="21"/>
              </w:rPr>
            </w:pPr>
            <w:r>
              <w:rPr>
                <w:rFonts w:hint="eastAsia"/>
                <w:kern w:val="0"/>
                <w:sz w:val="21"/>
                <w:szCs w:val="21"/>
              </w:rPr>
              <w:t>1.0</w:t>
            </w:r>
          </w:p>
        </w:tc>
        <w:tc>
          <w:tcPr>
            <w:tcW w:w="205" w:type="pct"/>
            <w:vMerge w:val="restart"/>
            <w:shd w:val="clear" w:color="auto" w:fill="auto"/>
            <w:vAlign w:val="center"/>
          </w:tcPr>
          <w:p w14:paraId="72C8330E">
            <w:pPr>
              <w:widowControl/>
              <w:jc w:val="center"/>
              <w:rPr>
                <w:kern w:val="0"/>
                <w:sz w:val="21"/>
                <w:szCs w:val="21"/>
              </w:rPr>
            </w:pPr>
            <w:r>
              <w:rPr>
                <w:kern w:val="0"/>
                <w:sz w:val="21"/>
                <w:szCs w:val="21"/>
              </w:rPr>
              <w:t>65</w:t>
            </w:r>
          </w:p>
        </w:tc>
        <w:tc>
          <w:tcPr>
            <w:tcW w:w="251" w:type="pct"/>
            <w:vMerge w:val="restart"/>
            <w:shd w:val="clear" w:color="auto" w:fill="auto"/>
            <w:vAlign w:val="center"/>
          </w:tcPr>
          <w:p w14:paraId="533168CE">
            <w:pPr>
              <w:widowControl/>
              <w:jc w:val="center"/>
              <w:rPr>
                <w:rFonts w:ascii="宋体" w:hAnsi="宋体" w:cs="宋体"/>
                <w:kern w:val="0"/>
                <w:sz w:val="21"/>
                <w:szCs w:val="21"/>
              </w:rPr>
            </w:pPr>
            <w:r>
              <w:rPr>
                <w:rFonts w:hint="eastAsia" w:ascii="宋体" w:hAnsi="宋体" w:cs="宋体"/>
                <w:kern w:val="0"/>
                <w:sz w:val="21"/>
                <w:szCs w:val="21"/>
              </w:rPr>
              <w:t>间歇</w:t>
            </w:r>
            <w:r>
              <w:rPr>
                <w:kern w:val="0"/>
                <w:sz w:val="21"/>
                <w:szCs w:val="21"/>
              </w:rPr>
              <w:t>7200h</w:t>
            </w:r>
          </w:p>
        </w:tc>
      </w:tr>
      <w:tr w14:paraId="083ABC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18B18604">
            <w:pPr>
              <w:widowControl/>
              <w:jc w:val="center"/>
              <w:rPr>
                <w:kern w:val="0"/>
                <w:sz w:val="21"/>
                <w:szCs w:val="21"/>
              </w:rPr>
            </w:pPr>
          </w:p>
        </w:tc>
        <w:tc>
          <w:tcPr>
            <w:tcW w:w="280" w:type="pct"/>
            <w:vMerge w:val="continue"/>
            <w:vAlign w:val="center"/>
          </w:tcPr>
          <w:p w14:paraId="2288053B">
            <w:pPr>
              <w:widowControl/>
              <w:jc w:val="center"/>
              <w:rPr>
                <w:kern w:val="0"/>
                <w:sz w:val="21"/>
                <w:szCs w:val="21"/>
              </w:rPr>
            </w:pPr>
          </w:p>
        </w:tc>
        <w:tc>
          <w:tcPr>
            <w:tcW w:w="219" w:type="pct"/>
            <w:vMerge w:val="continue"/>
            <w:vAlign w:val="center"/>
          </w:tcPr>
          <w:p w14:paraId="2E2C4D77">
            <w:pPr>
              <w:widowControl/>
              <w:jc w:val="center"/>
              <w:rPr>
                <w:rFonts w:ascii="宋体" w:hAnsi="宋体" w:cs="宋体"/>
                <w:kern w:val="0"/>
                <w:sz w:val="21"/>
                <w:szCs w:val="21"/>
              </w:rPr>
            </w:pPr>
          </w:p>
        </w:tc>
        <w:tc>
          <w:tcPr>
            <w:tcW w:w="251" w:type="pct"/>
            <w:shd w:val="clear" w:color="auto" w:fill="auto"/>
            <w:vAlign w:val="center"/>
          </w:tcPr>
          <w:p w14:paraId="2F33D454">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58C217DD">
            <w:pPr>
              <w:widowControl/>
              <w:jc w:val="center"/>
              <w:rPr>
                <w:kern w:val="0"/>
                <w:sz w:val="21"/>
                <w:szCs w:val="21"/>
              </w:rPr>
            </w:pPr>
            <w:r>
              <w:rPr>
                <w:kern w:val="0"/>
                <w:sz w:val="21"/>
                <w:szCs w:val="21"/>
              </w:rPr>
              <w:t>1.18</w:t>
            </w:r>
          </w:p>
        </w:tc>
        <w:tc>
          <w:tcPr>
            <w:tcW w:w="358" w:type="pct"/>
            <w:shd w:val="clear" w:color="auto" w:fill="auto"/>
            <w:vAlign w:val="center"/>
          </w:tcPr>
          <w:p w14:paraId="5CA1DF78">
            <w:pPr>
              <w:widowControl/>
              <w:jc w:val="center"/>
              <w:rPr>
                <w:kern w:val="0"/>
                <w:sz w:val="21"/>
                <w:szCs w:val="21"/>
              </w:rPr>
            </w:pPr>
            <w:r>
              <w:rPr>
                <w:kern w:val="0"/>
                <w:sz w:val="21"/>
                <w:szCs w:val="21"/>
              </w:rPr>
              <w:t>0.074</w:t>
            </w:r>
          </w:p>
        </w:tc>
        <w:tc>
          <w:tcPr>
            <w:tcW w:w="356" w:type="pct"/>
            <w:shd w:val="clear" w:color="auto" w:fill="auto"/>
            <w:vAlign w:val="center"/>
          </w:tcPr>
          <w:p w14:paraId="1B09AB2A">
            <w:pPr>
              <w:widowControl/>
              <w:jc w:val="center"/>
              <w:rPr>
                <w:kern w:val="0"/>
                <w:sz w:val="21"/>
                <w:szCs w:val="21"/>
              </w:rPr>
            </w:pPr>
            <w:r>
              <w:rPr>
                <w:kern w:val="0"/>
                <w:sz w:val="21"/>
                <w:szCs w:val="21"/>
              </w:rPr>
              <w:t>0.5355</w:t>
            </w:r>
          </w:p>
        </w:tc>
        <w:tc>
          <w:tcPr>
            <w:tcW w:w="263" w:type="pct"/>
            <w:vMerge w:val="continue"/>
            <w:vAlign w:val="center"/>
          </w:tcPr>
          <w:p w14:paraId="652ED317">
            <w:pPr>
              <w:widowControl/>
              <w:jc w:val="center"/>
              <w:rPr>
                <w:rFonts w:ascii="宋体" w:hAnsi="宋体" w:cs="宋体"/>
                <w:kern w:val="0"/>
                <w:sz w:val="21"/>
                <w:szCs w:val="21"/>
              </w:rPr>
            </w:pPr>
          </w:p>
        </w:tc>
        <w:tc>
          <w:tcPr>
            <w:tcW w:w="177" w:type="pct"/>
            <w:vMerge w:val="continue"/>
            <w:vAlign w:val="center"/>
          </w:tcPr>
          <w:p w14:paraId="0FF9313F">
            <w:pPr>
              <w:widowControl/>
              <w:jc w:val="center"/>
              <w:rPr>
                <w:kern w:val="0"/>
                <w:sz w:val="21"/>
                <w:szCs w:val="21"/>
              </w:rPr>
            </w:pPr>
          </w:p>
        </w:tc>
        <w:tc>
          <w:tcPr>
            <w:tcW w:w="269" w:type="pct"/>
            <w:vMerge w:val="continue"/>
            <w:vAlign w:val="center"/>
          </w:tcPr>
          <w:p w14:paraId="667030C0">
            <w:pPr>
              <w:widowControl/>
              <w:jc w:val="center"/>
              <w:rPr>
                <w:rFonts w:ascii="宋体" w:hAnsi="宋体" w:cs="宋体"/>
                <w:kern w:val="0"/>
                <w:sz w:val="21"/>
                <w:szCs w:val="21"/>
              </w:rPr>
            </w:pPr>
          </w:p>
        </w:tc>
        <w:tc>
          <w:tcPr>
            <w:tcW w:w="302" w:type="pct"/>
            <w:vMerge w:val="continue"/>
            <w:vAlign w:val="center"/>
          </w:tcPr>
          <w:p w14:paraId="3380929B">
            <w:pPr>
              <w:widowControl/>
              <w:jc w:val="center"/>
              <w:rPr>
                <w:kern w:val="0"/>
                <w:sz w:val="21"/>
                <w:szCs w:val="21"/>
              </w:rPr>
            </w:pPr>
          </w:p>
        </w:tc>
        <w:tc>
          <w:tcPr>
            <w:tcW w:w="389" w:type="pct"/>
            <w:vMerge w:val="continue"/>
            <w:vAlign w:val="center"/>
          </w:tcPr>
          <w:p w14:paraId="5B951F92">
            <w:pPr>
              <w:widowControl/>
              <w:jc w:val="center"/>
              <w:rPr>
                <w:kern w:val="0"/>
                <w:sz w:val="21"/>
                <w:szCs w:val="21"/>
              </w:rPr>
            </w:pPr>
          </w:p>
        </w:tc>
        <w:tc>
          <w:tcPr>
            <w:tcW w:w="351" w:type="pct"/>
            <w:vMerge w:val="continue"/>
            <w:vAlign w:val="center"/>
          </w:tcPr>
          <w:p w14:paraId="28E9CF38">
            <w:pPr>
              <w:widowControl/>
              <w:jc w:val="center"/>
              <w:rPr>
                <w:kern w:val="0"/>
                <w:sz w:val="21"/>
                <w:szCs w:val="21"/>
              </w:rPr>
            </w:pPr>
          </w:p>
        </w:tc>
        <w:tc>
          <w:tcPr>
            <w:tcW w:w="204" w:type="pct"/>
            <w:vMerge w:val="continue"/>
            <w:vAlign w:val="center"/>
          </w:tcPr>
          <w:p w14:paraId="4D4E4FF1">
            <w:pPr>
              <w:widowControl/>
              <w:jc w:val="center"/>
              <w:rPr>
                <w:kern w:val="0"/>
                <w:sz w:val="21"/>
                <w:szCs w:val="21"/>
              </w:rPr>
            </w:pPr>
          </w:p>
        </w:tc>
        <w:tc>
          <w:tcPr>
            <w:tcW w:w="255" w:type="pct"/>
            <w:vMerge w:val="continue"/>
            <w:vAlign w:val="center"/>
          </w:tcPr>
          <w:p w14:paraId="2415D610">
            <w:pPr>
              <w:widowControl/>
              <w:jc w:val="center"/>
              <w:rPr>
                <w:kern w:val="0"/>
                <w:sz w:val="21"/>
                <w:szCs w:val="21"/>
              </w:rPr>
            </w:pPr>
          </w:p>
        </w:tc>
        <w:tc>
          <w:tcPr>
            <w:tcW w:w="203" w:type="pct"/>
            <w:vMerge w:val="continue"/>
            <w:vAlign w:val="center"/>
          </w:tcPr>
          <w:p w14:paraId="15A59E36">
            <w:pPr>
              <w:widowControl/>
              <w:jc w:val="center"/>
              <w:rPr>
                <w:kern w:val="0"/>
                <w:sz w:val="21"/>
                <w:szCs w:val="21"/>
              </w:rPr>
            </w:pPr>
          </w:p>
        </w:tc>
        <w:tc>
          <w:tcPr>
            <w:tcW w:w="204" w:type="pct"/>
            <w:vMerge w:val="continue"/>
            <w:vAlign w:val="center"/>
          </w:tcPr>
          <w:p w14:paraId="273D6012">
            <w:pPr>
              <w:widowControl/>
              <w:jc w:val="center"/>
              <w:rPr>
                <w:kern w:val="0"/>
                <w:sz w:val="21"/>
                <w:szCs w:val="21"/>
              </w:rPr>
            </w:pPr>
          </w:p>
        </w:tc>
        <w:tc>
          <w:tcPr>
            <w:tcW w:w="205" w:type="pct"/>
            <w:vMerge w:val="continue"/>
            <w:vAlign w:val="center"/>
          </w:tcPr>
          <w:p w14:paraId="21EE5B62">
            <w:pPr>
              <w:widowControl/>
              <w:jc w:val="center"/>
              <w:rPr>
                <w:kern w:val="0"/>
                <w:sz w:val="21"/>
                <w:szCs w:val="21"/>
              </w:rPr>
            </w:pPr>
          </w:p>
        </w:tc>
        <w:tc>
          <w:tcPr>
            <w:tcW w:w="251" w:type="pct"/>
            <w:vMerge w:val="continue"/>
            <w:vAlign w:val="center"/>
          </w:tcPr>
          <w:p w14:paraId="14F57EEF">
            <w:pPr>
              <w:widowControl/>
              <w:jc w:val="center"/>
              <w:rPr>
                <w:rFonts w:ascii="宋体" w:hAnsi="宋体" w:cs="宋体"/>
                <w:kern w:val="0"/>
                <w:sz w:val="21"/>
                <w:szCs w:val="21"/>
              </w:rPr>
            </w:pPr>
          </w:p>
        </w:tc>
      </w:tr>
      <w:tr w14:paraId="5EF931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 w:type="pct"/>
            <w:vMerge w:val="continue"/>
            <w:vAlign w:val="center"/>
          </w:tcPr>
          <w:p w14:paraId="7F3265AC">
            <w:pPr>
              <w:widowControl/>
              <w:jc w:val="center"/>
              <w:rPr>
                <w:kern w:val="0"/>
                <w:sz w:val="21"/>
                <w:szCs w:val="21"/>
              </w:rPr>
            </w:pPr>
          </w:p>
        </w:tc>
        <w:tc>
          <w:tcPr>
            <w:tcW w:w="280" w:type="pct"/>
            <w:vMerge w:val="continue"/>
            <w:vAlign w:val="center"/>
          </w:tcPr>
          <w:p w14:paraId="13695FCC">
            <w:pPr>
              <w:widowControl/>
              <w:jc w:val="center"/>
              <w:rPr>
                <w:kern w:val="0"/>
                <w:sz w:val="21"/>
                <w:szCs w:val="21"/>
              </w:rPr>
            </w:pPr>
          </w:p>
        </w:tc>
        <w:tc>
          <w:tcPr>
            <w:tcW w:w="219" w:type="pct"/>
            <w:vMerge w:val="restart"/>
            <w:shd w:val="clear" w:color="auto" w:fill="auto"/>
            <w:vAlign w:val="center"/>
          </w:tcPr>
          <w:p w14:paraId="5A68A317">
            <w:pPr>
              <w:widowControl/>
              <w:jc w:val="center"/>
              <w:rPr>
                <w:rFonts w:ascii="宋体" w:hAnsi="宋体" w:cs="宋体"/>
                <w:kern w:val="0"/>
                <w:sz w:val="21"/>
                <w:szCs w:val="21"/>
              </w:rPr>
            </w:pPr>
            <w:r>
              <w:rPr>
                <w:rFonts w:hint="eastAsia" w:ascii="宋体" w:hAnsi="宋体" w:cs="宋体"/>
                <w:kern w:val="0"/>
                <w:sz w:val="21"/>
                <w:szCs w:val="21"/>
              </w:rPr>
              <w:t>一次硫化</w:t>
            </w:r>
          </w:p>
        </w:tc>
        <w:tc>
          <w:tcPr>
            <w:tcW w:w="251" w:type="pct"/>
            <w:shd w:val="clear" w:color="auto" w:fill="auto"/>
            <w:vAlign w:val="center"/>
          </w:tcPr>
          <w:p w14:paraId="574F2682">
            <w:pPr>
              <w:widowControl/>
              <w:jc w:val="center"/>
              <w:rPr>
                <w:rFonts w:ascii="宋体" w:hAnsi="宋体" w:cs="宋体"/>
                <w:kern w:val="0"/>
                <w:sz w:val="21"/>
                <w:szCs w:val="21"/>
              </w:rPr>
            </w:pPr>
            <w:r>
              <w:rPr>
                <w:rFonts w:hint="eastAsia" w:ascii="宋体" w:hAnsi="宋体" w:cs="宋体"/>
                <w:kern w:val="0"/>
                <w:sz w:val="21"/>
                <w:szCs w:val="21"/>
              </w:rPr>
              <w:t>氟化物</w:t>
            </w:r>
          </w:p>
        </w:tc>
        <w:tc>
          <w:tcPr>
            <w:tcW w:w="305" w:type="pct"/>
            <w:shd w:val="clear" w:color="auto" w:fill="auto"/>
            <w:vAlign w:val="center"/>
          </w:tcPr>
          <w:p w14:paraId="75DD5067">
            <w:pPr>
              <w:widowControl/>
              <w:jc w:val="center"/>
              <w:rPr>
                <w:kern w:val="0"/>
                <w:sz w:val="21"/>
                <w:szCs w:val="21"/>
              </w:rPr>
            </w:pPr>
            <w:r>
              <w:rPr>
                <w:kern w:val="0"/>
                <w:sz w:val="21"/>
                <w:szCs w:val="21"/>
              </w:rPr>
              <w:t>0.0008</w:t>
            </w:r>
          </w:p>
        </w:tc>
        <w:tc>
          <w:tcPr>
            <w:tcW w:w="358" w:type="pct"/>
            <w:shd w:val="clear" w:color="auto" w:fill="auto"/>
            <w:vAlign w:val="center"/>
          </w:tcPr>
          <w:p w14:paraId="7C9CF1FD">
            <w:pPr>
              <w:widowControl/>
              <w:jc w:val="center"/>
              <w:rPr>
                <w:kern w:val="0"/>
                <w:sz w:val="21"/>
                <w:szCs w:val="21"/>
              </w:rPr>
            </w:pPr>
            <w:r>
              <w:rPr>
                <w:kern w:val="0"/>
                <w:sz w:val="21"/>
                <w:szCs w:val="21"/>
              </w:rPr>
              <w:t>0.00005</w:t>
            </w:r>
          </w:p>
        </w:tc>
        <w:tc>
          <w:tcPr>
            <w:tcW w:w="356" w:type="pct"/>
            <w:shd w:val="clear" w:color="auto" w:fill="auto"/>
            <w:noWrap/>
            <w:vAlign w:val="center"/>
          </w:tcPr>
          <w:p w14:paraId="0C79452A">
            <w:pPr>
              <w:widowControl/>
              <w:jc w:val="center"/>
              <w:rPr>
                <w:kern w:val="0"/>
                <w:sz w:val="21"/>
                <w:szCs w:val="21"/>
              </w:rPr>
            </w:pPr>
            <w:r>
              <w:rPr>
                <w:kern w:val="0"/>
                <w:sz w:val="21"/>
                <w:szCs w:val="21"/>
              </w:rPr>
              <w:t>0.00036</w:t>
            </w:r>
          </w:p>
        </w:tc>
        <w:tc>
          <w:tcPr>
            <w:tcW w:w="263" w:type="pct"/>
            <w:vMerge w:val="continue"/>
            <w:vAlign w:val="center"/>
          </w:tcPr>
          <w:p w14:paraId="1441652E">
            <w:pPr>
              <w:widowControl/>
              <w:jc w:val="center"/>
              <w:rPr>
                <w:rFonts w:ascii="宋体" w:hAnsi="宋体" w:cs="宋体"/>
                <w:kern w:val="0"/>
                <w:sz w:val="21"/>
                <w:szCs w:val="21"/>
              </w:rPr>
            </w:pPr>
          </w:p>
        </w:tc>
        <w:tc>
          <w:tcPr>
            <w:tcW w:w="177" w:type="pct"/>
            <w:vMerge w:val="restart"/>
            <w:shd w:val="clear" w:color="auto" w:fill="auto"/>
            <w:vAlign w:val="center"/>
          </w:tcPr>
          <w:p w14:paraId="60AEC9F9">
            <w:pPr>
              <w:widowControl/>
              <w:jc w:val="center"/>
              <w:rPr>
                <w:kern w:val="0"/>
                <w:sz w:val="21"/>
                <w:szCs w:val="21"/>
              </w:rPr>
            </w:pPr>
            <w:r>
              <w:rPr>
                <w:kern w:val="0"/>
                <w:sz w:val="21"/>
                <w:szCs w:val="21"/>
              </w:rPr>
              <w:t>90</w:t>
            </w:r>
          </w:p>
        </w:tc>
        <w:tc>
          <w:tcPr>
            <w:tcW w:w="269" w:type="pct"/>
            <w:vMerge w:val="restart"/>
            <w:shd w:val="clear" w:color="auto" w:fill="auto"/>
            <w:vAlign w:val="center"/>
          </w:tcPr>
          <w:p w14:paraId="4824AD0B">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2" w:type="pct"/>
            <w:vMerge w:val="restart"/>
            <w:shd w:val="clear" w:color="auto" w:fill="auto"/>
            <w:vAlign w:val="center"/>
          </w:tcPr>
          <w:p w14:paraId="337DAC02">
            <w:pPr>
              <w:widowControl/>
              <w:jc w:val="center"/>
              <w:rPr>
                <w:kern w:val="0"/>
                <w:sz w:val="21"/>
                <w:szCs w:val="21"/>
              </w:rPr>
            </w:pPr>
            <w:r>
              <w:rPr>
                <w:kern w:val="0"/>
                <w:sz w:val="21"/>
                <w:szCs w:val="21"/>
              </w:rPr>
              <w:t>0.12</w:t>
            </w:r>
          </w:p>
        </w:tc>
        <w:tc>
          <w:tcPr>
            <w:tcW w:w="389" w:type="pct"/>
            <w:vMerge w:val="restart"/>
            <w:shd w:val="clear" w:color="auto" w:fill="auto"/>
            <w:vAlign w:val="center"/>
          </w:tcPr>
          <w:p w14:paraId="772E73ED">
            <w:pPr>
              <w:widowControl/>
              <w:jc w:val="center"/>
              <w:rPr>
                <w:kern w:val="0"/>
                <w:sz w:val="21"/>
                <w:szCs w:val="21"/>
              </w:rPr>
            </w:pPr>
            <w:r>
              <w:rPr>
                <w:kern w:val="0"/>
                <w:sz w:val="21"/>
                <w:szCs w:val="21"/>
              </w:rPr>
              <w:t>0.007</w:t>
            </w:r>
          </w:p>
        </w:tc>
        <w:tc>
          <w:tcPr>
            <w:tcW w:w="351" w:type="pct"/>
            <w:vMerge w:val="restart"/>
            <w:shd w:val="clear" w:color="auto" w:fill="auto"/>
            <w:vAlign w:val="center"/>
          </w:tcPr>
          <w:p w14:paraId="30E1D621">
            <w:pPr>
              <w:widowControl/>
              <w:jc w:val="center"/>
              <w:rPr>
                <w:kern w:val="0"/>
                <w:sz w:val="21"/>
                <w:szCs w:val="21"/>
              </w:rPr>
            </w:pPr>
            <w:r>
              <w:rPr>
                <w:kern w:val="0"/>
                <w:sz w:val="21"/>
                <w:szCs w:val="21"/>
              </w:rPr>
              <w:t>0.054</w:t>
            </w:r>
          </w:p>
        </w:tc>
        <w:tc>
          <w:tcPr>
            <w:tcW w:w="204" w:type="pct"/>
            <w:vMerge w:val="restart"/>
            <w:shd w:val="clear" w:color="auto" w:fill="auto"/>
            <w:vAlign w:val="center"/>
          </w:tcPr>
          <w:p w14:paraId="1D9615D5">
            <w:pPr>
              <w:widowControl/>
              <w:jc w:val="center"/>
              <w:rPr>
                <w:kern w:val="0"/>
                <w:sz w:val="21"/>
                <w:szCs w:val="21"/>
              </w:rPr>
            </w:pPr>
            <w:r>
              <w:rPr>
                <w:kern w:val="0"/>
                <w:sz w:val="21"/>
                <w:szCs w:val="21"/>
              </w:rPr>
              <w:t>/</w:t>
            </w:r>
          </w:p>
        </w:tc>
        <w:tc>
          <w:tcPr>
            <w:tcW w:w="255" w:type="pct"/>
            <w:vMerge w:val="restart"/>
            <w:shd w:val="clear" w:color="auto" w:fill="auto"/>
            <w:vAlign w:val="center"/>
          </w:tcPr>
          <w:p w14:paraId="7A9D468D">
            <w:pPr>
              <w:widowControl/>
              <w:jc w:val="center"/>
              <w:rPr>
                <w:kern w:val="0"/>
                <w:sz w:val="21"/>
                <w:szCs w:val="21"/>
              </w:rPr>
            </w:pPr>
            <w:r>
              <w:rPr>
                <w:kern w:val="0"/>
                <w:sz w:val="21"/>
                <w:szCs w:val="21"/>
              </w:rPr>
              <w:t>0.</w:t>
            </w:r>
            <w:r>
              <w:rPr>
                <w:rFonts w:hint="eastAsia"/>
                <w:kern w:val="0"/>
                <w:sz w:val="21"/>
                <w:szCs w:val="21"/>
              </w:rPr>
              <w:t>3</w:t>
            </w:r>
            <w:r>
              <w:rPr>
                <w:kern w:val="0"/>
                <w:sz w:val="21"/>
                <w:szCs w:val="21"/>
              </w:rPr>
              <w:t>3</w:t>
            </w:r>
          </w:p>
        </w:tc>
        <w:tc>
          <w:tcPr>
            <w:tcW w:w="203" w:type="pct"/>
            <w:vMerge w:val="continue"/>
            <w:vAlign w:val="center"/>
          </w:tcPr>
          <w:p w14:paraId="3200EF52">
            <w:pPr>
              <w:widowControl/>
              <w:jc w:val="center"/>
              <w:rPr>
                <w:kern w:val="0"/>
                <w:sz w:val="21"/>
                <w:szCs w:val="21"/>
              </w:rPr>
            </w:pPr>
          </w:p>
        </w:tc>
        <w:tc>
          <w:tcPr>
            <w:tcW w:w="204" w:type="pct"/>
            <w:vMerge w:val="continue"/>
            <w:vAlign w:val="center"/>
          </w:tcPr>
          <w:p w14:paraId="0B7FFDEA">
            <w:pPr>
              <w:widowControl/>
              <w:jc w:val="center"/>
              <w:rPr>
                <w:kern w:val="0"/>
                <w:sz w:val="21"/>
                <w:szCs w:val="21"/>
              </w:rPr>
            </w:pPr>
          </w:p>
        </w:tc>
        <w:tc>
          <w:tcPr>
            <w:tcW w:w="205" w:type="pct"/>
            <w:vMerge w:val="continue"/>
            <w:vAlign w:val="center"/>
          </w:tcPr>
          <w:p w14:paraId="7F68621E">
            <w:pPr>
              <w:widowControl/>
              <w:jc w:val="center"/>
              <w:rPr>
                <w:kern w:val="0"/>
                <w:sz w:val="21"/>
                <w:szCs w:val="21"/>
              </w:rPr>
            </w:pPr>
          </w:p>
        </w:tc>
        <w:tc>
          <w:tcPr>
            <w:tcW w:w="251" w:type="pct"/>
            <w:vMerge w:val="continue"/>
            <w:vAlign w:val="center"/>
          </w:tcPr>
          <w:p w14:paraId="53796620">
            <w:pPr>
              <w:widowControl/>
              <w:jc w:val="center"/>
              <w:rPr>
                <w:rFonts w:ascii="宋体" w:hAnsi="宋体" w:cs="宋体"/>
                <w:kern w:val="0"/>
                <w:sz w:val="21"/>
                <w:szCs w:val="21"/>
              </w:rPr>
            </w:pPr>
          </w:p>
        </w:tc>
      </w:tr>
      <w:tr w14:paraId="1AD434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626F90E1">
            <w:pPr>
              <w:widowControl/>
              <w:jc w:val="center"/>
              <w:rPr>
                <w:kern w:val="0"/>
                <w:sz w:val="21"/>
                <w:szCs w:val="21"/>
              </w:rPr>
            </w:pPr>
          </w:p>
        </w:tc>
        <w:tc>
          <w:tcPr>
            <w:tcW w:w="280" w:type="pct"/>
            <w:vMerge w:val="continue"/>
            <w:vAlign w:val="center"/>
          </w:tcPr>
          <w:p w14:paraId="0A24FDB6">
            <w:pPr>
              <w:widowControl/>
              <w:jc w:val="center"/>
              <w:rPr>
                <w:kern w:val="0"/>
                <w:sz w:val="21"/>
                <w:szCs w:val="21"/>
              </w:rPr>
            </w:pPr>
          </w:p>
        </w:tc>
        <w:tc>
          <w:tcPr>
            <w:tcW w:w="219" w:type="pct"/>
            <w:vMerge w:val="continue"/>
            <w:vAlign w:val="center"/>
          </w:tcPr>
          <w:p w14:paraId="399FE5D1">
            <w:pPr>
              <w:widowControl/>
              <w:jc w:val="center"/>
              <w:rPr>
                <w:rFonts w:ascii="宋体" w:hAnsi="宋体" w:cs="宋体"/>
                <w:kern w:val="0"/>
                <w:sz w:val="21"/>
                <w:szCs w:val="21"/>
              </w:rPr>
            </w:pPr>
          </w:p>
        </w:tc>
        <w:tc>
          <w:tcPr>
            <w:tcW w:w="251" w:type="pct"/>
            <w:shd w:val="clear" w:color="auto" w:fill="auto"/>
            <w:vAlign w:val="center"/>
          </w:tcPr>
          <w:p w14:paraId="34BC842B">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7311F1CE">
            <w:pPr>
              <w:widowControl/>
              <w:jc w:val="center"/>
              <w:rPr>
                <w:kern w:val="0"/>
                <w:sz w:val="21"/>
                <w:szCs w:val="21"/>
              </w:rPr>
            </w:pPr>
            <w:r>
              <w:rPr>
                <w:kern w:val="0"/>
                <w:sz w:val="21"/>
                <w:szCs w:val="21"/>
              </w:rPr>
              <w:t>0.63</w:t>
            </w:r>
          </w:p>
        </w:tc>
        <w:tc>
          <w:tcPr>
            <w:tcW w:w="358" w:type="pct"/>
            <w:shd w:val="clear" w:color="auto" w:fill="auto"/>
            <w:vAlign w:val="center"/>
          </w:tcPr>
          <w:p w14:paraId="20F5F21D">
            <w:pPr>
              <w:widowControl/>
              <w:jc w:val="center"/>
              <w:rPr>
                <w:kern w:val="0"/>
                <w:sz w:val="21"/>
                <w:szCs w:val="21"/>
              </w:rPr>
            </w:pPr>
            <w:r>
              <w:rPr>
                <w:kern w:val="0"/>
                <w:sz w:val="21"/>
                <w:szCs w:val="21"/>
              </w:rPr>
              <w:t>0.040</w:t>
            </w:r>
          </w:p>
        </w:tc>
        <w:tc>
          <w:tcPr>
            <w:tcW w:w="356" w:type="pct"/>
            <w:shd w:val="clear" w:color="auto" w:fill="auto"/>
            <w:noWrap/>
            <w:vAlign w:val="center"/>
          </w:tcPr>
          <w:p w14:paraId="2CE7BB9F">
            <w:pPr>
              <w:widowControl/>
              <w:jc w:val="center"/>
              <w:rPr>
                <w:kern w:val="0"/>
                <w:sz w:val="21"/>
                <w:szCs w:val="21"/>
              </w:rPr>
            </w:pPr>
            <w:r>
              <w:rPr>
                <w:kern w:val="0"/>
                <w:sz w:val="21"/>
                <w:szCs w:val="21"/>
              </w:rPr>
              <w:t>0.2865</w:t>
            </w:r>
          </w:p>
        </w:tc>
        <w:tc>
          <w:tcPr>
            <w:tcW w:w="263" w:type="pct"/>
            <w:vMerge w:val="continue"/>
            <w:vAlign w:val="center"/>
          </w:tcPr>
          <w:p w14:paraId="39776414">
            <w:pPr>
              <w:widowControl/>
              <w:jc w:val="center"/>
              <w:rPr>
                <w:rFonts w:ascii="宋体" w:hAnsi="宋体" w:cs="宋体"/>
                <w:kern w:val="0"/>
                <w:sz w:val="21"/>
                <w:szCs w:val="21"/>
              </w:rPr>
            </w:pPr>
          </w:p>
        </w:tc>
        <w:tc>
          <w:tcPr>
            <w:tcW w:w="177" w:type="pct"/>
            <w:vMerge w:val="continue"/>
            <w:vAlign w:val="center"/>
          </w:tcPr>
          <w:p w14:paraId="6862C2C2">
            <w:pPr>
              <w:widowControl/>
              <w:jc w:val="center"/>
              <w:rPr>
                <w:kern w:val="0"/>
                <w:sz w:val="21"/>
                <w:szCs w:val="21"/>
              </w:rPr>
            </w:pPr>
          </w:p>
        </w:tc>
        <w:tc>
          <w:tcPr>
            <w:tcW w:w="269" w:type="pct"/>
            <w:vMerge w:val="continue"/>
            <w:vAlign w:val="center"/>
          </w:tcPr>
          <w:p w14:paraId="22F60F4D">
            <w:pPr>
              <w:widowControl/>
              <w:jc w:val="center"/>
              <w:rPr>
                <w:kern w:val="0"/>
                <w:sz w:val="21"/>
                <w:szCs w:val="21"/>
              </w:rPr>
            </w:pPr>
          </w:p>
        </w:tc>
        <w:tc>
          <w:tcPr>
            <w:tcW w:w="302" w:type="pct"/>
            <w:vMerge w:val="continue"/>
            <w:vAlign w:val="center"/>
          </w:tcPr>
          <w:p w14:paraId="30711F89">
            <w:pPr>
              <w:widowControl/>
              <w:jc w:val="center"/>
              <w:rPr>
                <w:kern w:val="0"/>
                <w:sz w:val="21"/>
                <w:szCs w:val="21"/>
              </w:rPr>
            </w:pPr>
          </w:p>
        </w:tc>
        <w:tc>
          <w:tcPr>
            <w:tcW w:w="389" w:type="pct"/>
            <w:vMerge w:val="continue"/>
            <w:vAlign w:val="center"/>
          </w:tcPr>
          <w:p w14:paraId="7733368D">
            <w:pPr>
              <w:widowControl/>
              <w:jc w:val="center"/>
              <w:rPr>
                <w:kern w:val="0"/>
                <w:sz w:val="21"/>
                <w:szCs w:val="21"/>
              </w:rPr>
            </w:pPr>
          </w:p>
        </w:tc>
        <w:tc>
          <w:tcPr>
            <w:tcW w:w="351" w:type="pct"/>
            <w:vMerge w:val="continue"/>
            <w:vAlign w:val="center"/>
          </w:tcPr>
          <w:p w14:paraId="60E1FC4F">
            <w:pPr>
              <w:widowControl/>
              <w:jc w:val="center"/>
              <w:rPr>
                <w:kern w:val="0"/>
                <w:sz w:val="21"/>
                <w:szCs w:val="21"/>
              </w:rPr>
            </w:pPr>
          </w:p>
        </w:tc>
        <w:tc>
          <w:tcPr>
            <w:tcW w:w="204" w:type="pct"/>
            <w:vMerge w:val="continue"/>
            <w:vAlign w:val="center"/>
          </w:tcPr>
          <w:p w14:paraId="570C8FCD">
            <w:pPr>
              <w:widowControl/>
              <w:jc w:val="center"/>
              <w:rPr>
                <w:kern w:val="0"/>
                <w:sz w:val="21"/>
                <w:szCs w:val="21"/>
              </w:rPr>
            </w:pPr>
          </w:p>
        </w:tc>
        <w:tc>
          <w:tcPr>
            <w:tcW w:w="255" w:type="pct"/>
            <w:vMerge w:val="continue"/>
            <w:vAlign w:val="center"/>
          </w:tcPr>
          <w:p w14:paraId="59EC7A87">
            <w:pPr>
              <w:widowControl/>
              <w:jc w:val="center"/>
              <w:rPr>
                <w:kern w:val="0"/>
                <w:sz w:val="21"/>
                <w:szCs w:val="21"/>
              </w:rPr>
            </w:pPr>
          </w:p>
        </w:tc>
        <w:tc>
          <w:tcPr>
            <w:tcW w:w="203" w:type="pct"/>
            <w:vMerge w:val="continue"/>
            <w:vAlign w:val="center"/>
          </w:tcPr>
          <w:p w14:paraId="4139B3AB">
            <w:pPr>
              <w:widowControl/>
              <w:jc w:val="center"/>
              <w:rPr>
                <w:kern w:val="0"/>
                <w:sz w:val="21"/>
                <w:szCs w:val="21"/>
              </w:rPr>
            </w:pPr>
          </w:p>
        </w:tc>
        <w:tc>
          <w:tcPr>
            <w:tcW w:w="204" w:type="pct"/>
            <w:vMerge w:val="continue"/>
            <w:vAlign w:val="center"/>
          </w:tcPr>
          <w:p w14:paraId="23A72D96">
            <w:pPr>
              <w:widowControl/>
              <w:jc w:val="center"/>
              <w:rPr>
                <w:kern w:val="0"/>
                <w:sz w:val="21"/>
                <w:szCs w:val="21"/>
              </w:rPr>
            </w:pPr>
          </w:p>
        </w:tc>
        <w:tc>
          <w:tcPr>
            <w:tcW w:w="205" w:type="pct"/>
            <w:vMerge w:val="continue"/>
            <w:vAlign w:val="center"/>
          </w:tcPr>
          <w:p w14:paraId="0C4EE572">
            <w:pPr>
              <w:widowControl/>
              <w:jc w:val="center"/>
              <w:rPr>
                <w:kern w:val="0"/>
                <w:sz w:val="21"/>
                <w:szCs w:val="21"/>
              </w:rPr>
            </w:pPr>
          </w:p>
        </w:tc>
        <w:tc>
          <w:tcPr>
            <w:tcW w:w="251" w:type="pct"/>
            <w:vMerge w:val="continue"/>
            <w:vAlign w:val="center"/>
          </w:tcPr>
          <w:p w14:paraId="2771C298">
            <w:pPr>
              <w:widowControl/>
              <w:jc w:val="center"/>
              <w:rPr>
                <w:rFonts w:ascii="宋体" w:hAnsi="宋体" w:cs="宋体"/>
                <w:kern w:val="0"/>
                <w:sz w:val="21"/>
                <w:szCs w:val="21"/>
              </w:rPr>
            </w:pPr>
          </w:p>
        </w:tc>
      </w:tr>
      <w:tr w14:paraId="6E589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1FF49A22">
            <w:pPr>
              <w:widowControl/>
              <w:jc w:val="center"/>
              <w:rPr>
                <w:kern w:val="0"/>
                <w:sz w:val="21"/>
                <w:szCs w:val="21"/>
              </w:rPr>
            </w:pPr>
          </w:p>
        </w:tc>
        <w:tc>
          <w:tcPr>
            <w:tcW w:w="280" w:type="pct"/>
            <w:vMerge w:val="continue"/>
            <w:vAlign w:val="center"/>
          </w:tcPr>
          <w:p w14:paraId="23DABA4E">
            <w:pPr>
              <w:widowControl/>
              <w:jc w:val="center"/>
              <w:rPr>
                <w:kern w:val="0"/>
                <w:sz w:val="21"/>
                <w:szCs w:val="21"/>
              </w:rPr>
            </w:pPr>
          </w:p>
        </w:tc>
        <w:tc>
          <w:tcPr>
            <w:tcW w:w="219" w:type="pct"/>
            <w:vMerge w:val="continue"/>
            <w:vAlign w:val="center"/>
          </w:tcPr>
          <w:p w14:paraId="33671B0B">
            <w:pPr>
              <w:widowControl/>
              <w:jc w:val="center"/>
              <w:rPr>
                <w:rFonts w:ascii="宋体" w:hAnsi="宋体" w:cs="宋体"/>
                <w:kern w:val="0"/>
                <w:sz w:val="21"/>
                <w:szCs w:val="21"/>
              </w:rPr>
            </w:pPr>
          </w:p>
        </w:tc>
        <w:tc>
          <w:tcPr>
            <w:tcW w:w="251" w:type="pct"/>
            <w:shd w:val="clear" w:color="auto" w:fill="auto"/>
            <w:vAlign w:val="center"/>
          </w:tcPr>
          <w:p w14:paraId="48E17136">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4C8DAEED">
            <w:pPr>
              <w:widowControl/>
              <w:jc w:val="center"/>
              <w:rPr>
                <w:kern w:val="0"/>
                <w:sz w:val="21"/>
                <w:szCs w:val="21"/>
              </w:rPr>
            </w:pPr>
            <w:r>
              <w:rPr>
                <w:kern w:val="0"/>
                <w:sz w:val="21"/>
                <w:szCs w:val="21"/>
              </w:rPr>
              <w:t>2.65</w:t>
            </w:r>
          </w:p>
        </w:tc>
        <w:tc>
          <w:tcPr>
            <w:tcW w:w="358" w:type="pct"/>
            <w:shd w:val="clear" w:color="auto" w:fill="auto"/>
            <w:vAlign w:val="center"/>
          </w:tcPr>
          <w:p w14:paraId="7893A6C2">
            <w:pPr>
              <w:widowControl/>
              <w:jc w:val="center"/>
              <w:rPr>
                <w:kern w:val="0"/>
                <w:sz w:val="21"/>
                <w:szCs w:val="21"/>
              </w:rPr>
            </w:pPr>
            <w:r>
              <w:rPr>
                <w:kern w:val="0"/>
                <w:sz w:val="21"/>
                <w:szCs w:val="21"/>
              </w:rPr>
              <w:t>0.167</w:t>
            </w:r>
          </w:p>
        </w:tc>
        <w:tc>
          <w:tcPr>
            <w:tcW w:w="356" w:type="pct"/>
            <w:shd w:val="clear" w:color="auto" w:fill="auto"/>
            <w:noWrap/>
            <w:vAlign w:val="center"/>
          </w:tcPr>
          <w:p w14:paraId="5A43AD22">
            <w:pPr>
              <w:widowControl/>
              <w:jc w:val="center"/>
              <w:rPr>
                <w:kern w:val="0"/>
                <w:sz w:val="21"/>
                <w:szCs w:val="21"/>
              </w:rPr>
            </w:pPr>
            <w:r>
              <w:rPr>
                <w:kern w:val="0"/>
                <w:sz w:val="21"/>
                <w:szCs w:val="21"/>
              </w:rPr>
              <w:t>1.204</w:t>
            </w:r>
          </w:p>
        </w:tc>
        <w:tc>
          <w:tcPr>
            <w:tcW w:w="263" w:type="pct"/>
            <w:vMerge w:val="continue"/>
            <w:vAlign w:val="center"/>
          </w:tcPr>
          <w:p w14:paraId="43676311">
            <w:pPr>
              <w:widowControl/>
              <w:jc w:val="center"/>
              <w:rPr>
                <w:rFonts w:ascii="宋体" w:hAnsi="宋体" w:cs="宋体"/>
                <w:kern w:val="0"/>
                <w:sz w:val="21"/>
                <w:szCs w:val="21"/>
              </w:rPr>
            </w:pPr>
          </w:p>
        </w:tc>
        <w:tc>
          <w:tcPr>
            <w:tcW w:w="177" w:type="pct"/>
            <w:vMerge w:val="continue"/>
            <w:vAlign w:val="center"/>
          </w:tcPr>
          <w:p w14:paraId="16CC0D00">
            <w:pPr>
              <w:widowControl/>
              <w:jc w:val="center"/>
              <w:rPr>
                <w:kern w:val="0"/>
                <w:sz w:val="21"/>
                <w:szCs w:val="21"/>
              </w:rPr>
            </w:pPr>
          </w:p>
        </w:tc>
        <w:tc>
          <w:tcPr>
            <w:tcW w:w="269" w:type="pct"/>
            <w:vMerge w:val="continue"/>
            <w:vAlign w:val="center"/>
          </w:tcPr>
          <w:p w14:paraId="6D6435AB">
            <w:pPr>
              <w:widowControl/>
              <w:jc w:val="center"/>
              <w:rPr>
                <w:kern w:val="0"/>
                <w:sz w:val="21"/>
                <w:szCs w:val="21"/>
              </w:rPr>
            </w:pPr>
          </w:p>
        </w:tc>
        <w:tc>
          <w:tcPr>
            <w:tcW w:w="302" w:type="pct"/>
            <w:vMerge w:val="continue"/>
            <w:vAlign w:val="center"/>
          </w:tcPr>
          <w:p w14:paraId="0540F8F9">
            <w:pPr>
              <w:widowControl/>
              <w:jc w:val="center"/>
              <w:rPr>
                <w:kern w:val="0"/>
                <w:sz w:val="21"/>
                <w:szCs w:val="21"/>
              </w:rPr>
            </w:pPr>
          </w:p>
        </w:tc>
        <w:tc>
          <w:tcPr>
            <w:tcW w:w="389" w:type="pct"/>
            <w:vMerge w:val="continue"/>
            <w:vAlign w:val="center"/>
          </w:tcPr>
          <w:p w14:paraId="19A3E3B1">
            <w:pPr>
              <w:widowControl/>
              <w:jc w:val="center"/>
              <w:rPr>
                <w:kern w:val="0"/>
                <w:sz w:val="21"/>
                <w:szCs w:val="21"/>
              </w:rPr>
            </w:pPr>
          </w:p>
        </w:tc>
        <w:tc>
          <w:tcPr>
            <w:tcW w:w="351" w:type="pct"/>
            <w:vMerge w:val="continue"/>
            <w:vAlign w:val="center"/>
          </w:tcPr>
          <w:p w14:paraId="45459433">
            <w:pPr>
              <w:widowControl/>
              <w:jc w:val="center"/>
              <w:rPr>
                <w:kern w:val="0"/>
                <w:sz w:val="21"/>
                <w:szCs w:val="21"/>
              </w:rPr>
            </w:pPr>
          </w:p>
        </w:tc>
        <w:tc>
          <w:tcPr>
            <w:tcW w:w="204" w:type="pct"/>
            <w:vMerge w:val="continue"/>
            <w:vAlign w:val="center"/>
          </w:tcPr>
          <w:p w14:paraId="1B9B26E4">
            <w:pPr>
              <w:widowControl/>
              <w:jc w:val="center"/>
              <w:rPr>
                <w:kern w:val="0"/>
                <w:sz w:val="21"/>
                <w:szCs w:val="21"/>
              </w:rPr>
            </w:pPr>
          </w:p>
        </w:tc>
        <w:tc>
          <w:tcPr>
            <w:tcW w:w="255" w:type="pct"/>
            <w:vMerge w:val="continue"/>
            <w:vAlign w:val="center"/>
          </w:tcPr>
          <w:p w14:paraId="68E53710">
            <w:pPr>
              <w:widowControl/>
              <w:jc w:val="center"/>
              <w:rPr>
                <w:kern w:val="0"/>
                <w:sz w:val="21"/>
                <w:szCs w:val="21"/>
              </w:rPr>
            </w:pPr>
          </w:p>
        </w:tc>
        <w:tc>
          <w:tcPr>
            <w:tcW w:w="203" w:type="pct"/>
            <w:vMerge w:val="continue"/>
            <w:vAlign w:val="center"/>
          </w:tcPr>
          <w:p w14:paraId="26061297">
            <w:pPr>
              <w:widowControl/>
              <w:jc w:val="center"/>
              <w:rPr>
                <w:kern w:val="0"/>
                <w:sz w:val="21"/>
                <w:szCs w:val="21"/>
              </w:rPr>
            </w:pPr>
          </w:p>
        </w:tc>
        <w:tc>
          <w:tcPr>
            <w:tcW w:w="204" w:type="pct"/>
            <w:vMerge w:val="continue"/>
            <w:vAlign w:val="center"/>
          </w:tcPr>
          <w:p w14:paraId="009AEED6">
            <w:pPr>
              <w:widowControl/>
              <w:jc w:val="center"/>
              <w:rPr>
                <w:kern w:val="0"/>
                <w:sz w:val="21"/>
                <w:szCs w:val="21"/>
              </w:rPr>
            </w:pPr>
          </w:p>
        </w:tc>
        <w:tc>
          <w:tcPr>
            <w:tcW w:w="205" w:type="pct"/>
            <w:vMerge w:val="continue"/>
            <w:vAlign w:val="center"/>
          </w:tcPr>
          <w:p w14:paraId="586D9FC1">
            <w:pPr>
              <w:widowControl/>
              <w:jc w:val="center"/>
              <w:rPr>
                <w:kern w:val="0"/>
                <w:sz w:val="21"/>
                <w:szCs w:val="21"/>
              </w:rPr>
            </w:pPr>
          </w:p>
        </w:tc>
        <w:tc>
          <w:tcPr>
            <w:tcW w:w="251" w:type="pct"/>
            <w:vMerge w:val="continue"/>
            <w:vAlign w:val="center"/>
          </w:tcPr>
          <w:p w14:paraId="491CD077">
            <w:pPr>
              <w:widowControl/>
              <w:jc w:val="center"/>
              <w:rPr>
                <w:rFonts w:ascii="宋体" w:hAnsi="宋体" w:cs="宋体"/>
                <w:kern w:val="0"/>
                <w:sz w:val="21"/>
                <w:szCs w:val="21"/>
              </w:rPr>
            </w:pPr>
          </w:p>
        </w:tc>
      </w:tr>
      <w:tr w14:paraId="11508B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67602B05">
            <w:pPr>
              <w:widowControl/>
              <w:jc w:val="center"/>
              <w:rPr>
                <w:kern w:val="0"/>
                <w:sz w:val="21"/>
                <w:szCs w:val="21"/>
              </w:rPr>
            </w:pPr>
          </w:p>
        </w:tc>
        <w:tc>
          <w:tcPr>
            <w:tcW w:w="280" w:type="pct"/>
            <w:vMerge w:val="continue"/>
            <w:vAlign w:val="center"/>
          </w:tcPr>
          <w:p w14:paraId="3828005E">
            <w:pPr>
              <w:widowControl/>
              <w:jc w:val="center"/>
              <w:rPr>
                <w:kern w:val="0"/>
                <w:sz w:val="21"/>
                <w:szCs w:val="21"/>
              </w:rPr>
            </w:pPr>
          </w:p>
        </w:tc>
        <w:tc>
          <w:tcPr>
            <w:tcW w:w="219" w:type="pct"/>
            <w:vMerge w:val="restart"/>
            <w:shd w:val="clear" w:color="auto" w:fill="auto"/>
            <w:vAlign w:val="center"/>
          </w:tcPr>
          <w:p w14:paraId="2D77B9FA">
            <w:pPr>
              <w:widowControl/>
              <w:jc w:val="center"/>
              <w:rPr>
                <w:rFonts w:ascii="宋体" w:hAnsi="宋体" w:cs="宋体"/>
                <w:kern w:val="0"/>
                <w:sz w:val="21"/>
                <w:szCs w:val="21"/>
              </w:rPr>
            </w:pPr>
            <w:r>
              <w:rPr>
                <w:rFonts w:hint="eastAsia" w:ascii="宋体" w:hAnsi="宋体" w:cs="宋体"/>
                <w:kern w:val="0"/>
                <w:sz w:val="21"/>
                <w:szCs w:val="21"/>
              </w:rPr>
              <w:t>二次硫化</w:t>
            </w:r>
          </w:p>
        </w:tc>
        <w:tc>
          <w:tcPr>
            <w:tcW w:w="251" w:type="pct"/>
            <w:shd w:val="clear" w:color="auto" w:fill="auto"/>
            <w:vAlign w:val="center"/>
          </w:tcPr>
          <w:p w14:paraId="40CD6155">
            <w:pPr>
              <w:widowControl/>
              <w:jc w:val="center"/>
              <w:rPr>
                <w:rFonts w:ascii="宋体" w:hAnsi="宋体" w:cs="宋体"/>
                <w:kern w:val="0"/>
                <w:sz w:val="21"/>
                <w:szCs w:val="21"/>
              </w:rPr>
            </w:pPr>
            <w:r>
              <w:rPr>
                <w:rFonts w:hint="eastAsia" w:ascii="宋体" w:hAnsi="宋体" w:cs="宋体"/>
                <w:kern w:val="0"/>
                <w:sz w:val="21"/>
                <w:szCs w:val="21"/>
              </w:rPr>
              <w:t>氟化物</w:t>
            </w:r>
          </w:p>
        </w:tc>
        <w:tc>
          <w:tcPr>
            <w:tcW w:w="305" w:type="pct"/>
            <w:shd w:val="clear" w:color="auto" w:fill="auto"/>
            <w:vAlign w:val="center"/>
          </w:tcPr>
          <w:p w14:paraId="6D5341E3">
            <w:pPr>
              <w:widowControl/>
              <w:jc w:val="center"/>
              <w:rPr>
                <w:kern w:val="0"/>
                <w:sz w:val="21"/>
                <w:szCs w:val="21"/>
              </w:rPr>
            </w:pPr>
            <w:r>
              <w:rPr>
                <w:kern w:val="0"/>
                <w:sz w:val="21"/>
                <w:szCs w:val="21"/>
              </w:rPr>
              <w:t>0.008</w:t>
            </w:r>
          </w:p>
        </w:tc>
        <w:tc>
          <w:tcPr>
            <w:tcW w:w="358" w:type="pct"/>
            <w:shd w:val="clear" w:color="auto" w:fill="auto"/>
            <w:vAlign w:val="center"/>
          </w:tcPr>
          <w:p w14:paraId="7E73E985">
            <w:pPr>
              <w:widowControl/>
              <w:jc w:val="center"/>
              <w:rPr>
                <w:kern w:val="0"/>
                <w:sz w:val="21"/>
                <w:szCs w:val="21"/>
              </w:rPr>
            </w:pPr>
            <w:r>
              <w:rPr>
                <w:kern w:val="0"/>
                <w:sz w:val="21"/>
                <w:szCs w:val="21"/>
              </w:rPr>
              <w:t>0.0005</w:t>
            </w:r>
          </w:p>
        </w:tc>
        <w:tc>
          <w:tcPr>
            <w:tcW w:w="356" w:type="pct"/>
            <w:shd w:val="clear" w:color="auto" w:fill="auto"/>
            <w:noWrap/>
            <w:vAlign w:val="center"/>
          </w:tcPr>
          <w:p w14:paraId="3F94BA68">
            <w:pPr>
              <w:widowControl/>
              <w:jc w:val="center"/>
              <w:rPr>
                <w:kern w:val="0"/>
                <w:sz w:val="21"/>
                <w:szCs w:val="21"/>
              </w:rPr>
            </w:pPr>
            <w:r>
              <w:rPr>
                <w:kern w:val="0"/>
                <w:sz w:val="21"/>
                <w:szCs w:val="21"/>
              </w:rPr>
              <w:t>0.0036</w:t>
            </w:r>
          </w:p>
        </w:tc>
        <w:tc>
          <w:tcPr>
            <w:tcW w:w="263" w:type="pct"/>
            <w:vMerge w:val="continue"/>
            <w:vAlign w:val="center"/>
          </w:tcPr>
          <w:p w14:paraId="03EA44C5">
            <w:pPr>
              <w:widowControl/>
              <w:jc w:val="center"/>
              <w:rPr>
                <w:rFonts w:ascii="宋体" w:hAnsi="宋体" w:cs="宋体"/>
                <w:kern w:val="0"/>
                <w:sz w:val="21"/>
                <w:szCs w:val="21"/>
              </w:rPr>
            </w:pPr>
          </w:p>
        </w:tc>
        <w:tc>
          <w:tcPr>
            <w:tcW w:w="177" w:type="pct"/>
            <w:vMerge w:val="restart"/>
            <w:shd w:val="clear" w:color="auto" w:fill="auto"/>
            <w:vAlign w:val="center"/>
          </w:tcPr>
          <w:p w14:paraId="1CB1E2BA">
            <w:pPr>
              <w:widowControl/>
              <w:jc w:val="center"/>
              <w:rPr>
                <w:kern w:val="0"/>
                <w:sz w:val="21"/>
                <w:szCs w:val="21"/>
              </w:rPr>
            </w:pPr>
            <w:r>
              <w:rPr>
                <w:kern w:val="0"/>
                <w:sz w:val="21"/>
                <w:szCs w:val="21"/>
              </w:rPr>
              <w:t>90</w:t>
            </w:r>
          </w:p>
        </w:tc>
        <w:tc>
          <w:tcPr>
            <w:tcW w:w="269" w:type="pct"/>
            <w:vMerge w:val="restart"/>
            <w:shd w:val="clear" w:color="auto" w:fill="auto"/>
            <w:vAlign w:val="center"/>
          </w:tcPr>
          <w:p w14:paraId="506E3B7E">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2" w:type="pct"/>
            <w:vMerge w:val="restart"/>
            <w:shd w:val="clear" w:color="auto" w:fill="auto"/>
            <w:vAlign w:val="center"/>
          </w:tcPr>
          <w:p w14:paraId="54B4402E">
            <w:pPr>
              <w:widowControl/>
              <w:jc w:val="center"/>
              <w:rPr>
                <w:kern w:val="0"/>
                <w:sz w:val="21"/>
                <w:szCs w:val="21"/>
              </w:rPr>
            </w:pPr>
            <w:r>
              <w:rPr>
                <w:kern w:val="0"/>
                <w:sz w:val="21"/>
                <w:szCs w:val="21"/>
              </w:rPr>
              <w:t>0.52</w:t>
            </w:r>
          </w:p>
        </w:tc>
        <w:tc>
          <w:tcPr>
            <w:tcW w:w="389" w:type="pct"/>
            <w:vMerge w:val="restart"/>
            <w:shd w:val="clear" w:color="auto" w:fill="auto"/>
            <w:vAlign w:val="center"/>
          </w:tcPr>
          <w:p w14:paraId="1E60FB51">
            <w:pPr>
              <w:widowControl/>
              <w:jc w:val="center"/>
              <w:rPr>
                <w:kern w:val="0"/>
                <w:sz w:val="21"/>
                <w:szCs w:val="21"/>
              </w:rPr>
            </w:pPr>
            <w:r>
              <w:rPr>
                <w:kern w:val="0"/>
                <w:sz w:val="21"/>
                <w:szCs w:val="21"/>
              </w:rPr>
              <w:t>0.033</w:t>
            </w:r>
          </w:p>
        </w:tc>
        <w:tc>
          <w:tcPr>
            <w:tcW w:w="351" w:type="pct"/>
            <w:vMerge w:val="restart"/>
            <w:shd w:val="clear" w:color="auto" w:fill="auto"/>
            <w:vAlign w:val="center"/>
          </w:tcPr>
          <w:p w14:paraId="15F4A3D5">
            <w:pPr>
              <w:widowControl/>
              <w:jc w:val="center"/>
              <w:rPr>
                <w:kern w:val="0"/>
                <w:sz w:val="21"/>
                <w:szCs w:val="21"/>
              </w:rPr>
            </w:pPr>
            <w:r>
              <w:rPr>
                <w:kern w:val="0"/>
                <w:sz w:val="21"/>
                <w:szCs w:val="21"/>
              </w:rPr>
              <w:t>0.238</w:t>
            </w:r>
          </w:p>
        </w:tc>
        <w:tc>
          <w:tcPr>
            <w:tcW w:w="204" w:type="pct"/>
            <w:vMerge w:val="restart"/>
            <w:shd w:val="clear" w:color="auto" w:fill="auto"/>
            <w:vAlign w:val="center"/>
          </w:tcPr>
          <w:p w14:paraId="030E9DEA">
            <w:pPr>
              <w:widowControl/>
              <w:jc w:val="center"/>
              <w:rPr>
                <w:kern w:val="0"/>
                <w:sz w:val="21"/>
                <w:szCs w:val="21"/>
              </w:rPr>
            </w:pPr>
            <w:r>
              <w:rPr>
                <w:kern w:val="0"/>
                <w:sz w:val="21"/>
                <w:szCs w:val="21"/>
              </w:rPr>
              <w:t>10</w:t>
            </w:r>
          </w:p>
        </w:tc>
        <w:tc>
          <w:tcPr>
            <w:tcW w:w="255" w:type="pct"/>
            <w:vMerge w:val="restart"/>
            <w:shd w:val="clear" w:color="auto" w:fill="auto"/>
            <w:vAlign w:val="center"/>
          </w:tcPr>
          <w:p w14:paraId="7D04E322">
            <w:pPr>
              <w:widowControl/>
              <w:jc w:val="center"/>
              <w:rPr>
                <w:kern w:val="0"/>
                <w:sz w:val="21"/>
                <w:szCs w:val="21"/>
              </w:rPr>
            </w:pPr>
            <w:r>
              <w:rPr>
                <w:rFonts w:hint="eastAsia"/>
                <w:kern w:val="0"/>
                <w:sz w:val="21"/>
                <w:szCs w:val="21"/>
              </w:rPr>
              <w:t>/</w:t>
            </w:r>
          </w:p>
        </w:tc>
        <w:tc>
          <w:tcPr>
            <w:tcW w:w="203" w:type="pct"/>
            <w:vMerge w:val="continue"/>
            <w:vAlign w:val="center"/>
          </w:tcPr>
          <w:p w14:paraId="68A10DE2">
            <w:pPr>
              <w:widowControl/>
              <w:jc w:val="center"/>
              <w:rPr>
                <w:kern w:val="0"/>
                <w:sz w:val="21"/>
                <w:szCs w:val="21"/>
              </w:rPr>
            </w:pPr>
          </w:p>
        </w:tc>
        <w:tc>
          <w:tcPr>
            <w:tcW w:w="204" w:type="pct"/>
            <w:vMerge w:val="continue"/>
            <w:vAlign w:val="center"/>
          </w:tcPr>
          <w:p w14:paraId="138AF6EA">
            <w:pPr>
              <w:widowControl/>
              <w:jc w:val="center"/>
              <w:rPr>
                <w:kern w:val="0"/>
                <w:sz w:val="21"/>
                <w:szCs w:val="21"/>
              </w:rPr>
            </w:pPr>
          </w:p>
        </w:tc>
        <w:tc>
          <w:tcPr>
            <w:tcW w:w="205" w:type="pct"/>
            <w:vMerge w:val="continue"/>
            <w:vAlign w:val="center"/>
          </w:tcPr>
          <w:p w14:paraId="0A67D19A">
            <w:pPr>
              <w:widowControl/>
              <w:jc w:val="center"/>
              <w:rPr>
                <w:kern w:val="0"/>
                <w:sz w:val="21"/>
                <w:szCs w:val="21"/>
              </w:rPr>
            </w:pPr>
          </w:p>
        </w:tc>
        <w:tc>
          <w:tcPr>
            <w:tcW w:w="251" w:type="pct"/>
            <w:vMerge w:val="continue"/>
            <w:vAlign w:val="center"/>
          </w:tcPr>
          <w:p w14:paraId="2D5848C9">
            <w:pPr>
              <w:widowControl/>
              <w:jc w:val="center"/>
              <w:rPr>
                <w:rFonts w:ascii="宋体" w:hAnsi="宋体" w:cs="宋体"/>
                <w:kern w:val="0"/>
                <w:sz w:val="21"/>
                <w:szCs w:val="21"/>
              </w:rPr>
            </w:pPr>
          </w:p>
        </w:tc>
      </w:tr>
      <w:tr w14:paraId="37305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5DF42130">
            <w:pPr>
              <w:widowControl/>
              <w:jc w:val="center"/>
              <w:rPr>
                <w:kern w:val="0"/>
                <w:sz w:val="21"/>
                <w:szCs w:val="21"/>
              </w:rPr>
            </w:pPr>
          </w:p>
        </w:tc>
        <w:tc>
          <w:tcPr>
            <w:tcW w:w="280" w:type="pct"/>
            <w:vMerge w:val="continue"/>
            <w:vAlign w:val="center"/>
          </w:tcPr>
          <w:p w14:paraId="4D49109C">
            <w:pPr>
              <w:widowControl/>
              <w:jc w:val="center"/>
              <w:rPr>
                <w:kern w:val="0"/>
                <w:sz w:val="21"/>
                <w:szCs w:val="21"/>
              </w:rPr>
            </w:pPr>
          </w:p>
        </w:tc>
        <w:tc>
          <w:tcPr>
            <w:tcW w:w="219" w:type="pct"/>
            <w:vMerge w:val="continue"/>
            <w:vAlign w:val="center"/>
          </w:tcPr>
          <w:p w14:paraId="4C0445E1">
            <w:pPr>
              <w:widowControl/>
              <w:jc w:val="center"/>
              <w:rPr>
                <w:rFonts w:ascii="宋体" w:hAnsi="宋体" w:cs="宋体"/>
                <w:kern w:val="0"/>
                <w:sz w:val="21"/>
                <w:szCs w:val="21"/>
              </w:rPr>
            </w:pPr>
          </w:p>
        </w:tc>
        <w:tc>
          <w:tcPr>
            <w:tcW w:w="251" w:type="pct"/>
            <w:shd w:val="clear" w:color="auto" w:fill="auto"/>
            <w:vAlign w:val="center"/>
          </w:tcPr>
          <w:p w14:paraId="1C9E72FB">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3669554F">
            <w:pPr>
              <w:widowControl/>
              <w:jc w:val="center"/>
              <w:rPr>
                <w:kern w:val="0"/>
                <w:sz w:val="21"/>
                <w:szCs w:val="21"/>
              </w:rPr>
            </w:pPr>
            <w:r>
              <w:rPr>
                <w:kern w:val="0"/>
                <w:sz w:val="21"/>
                <w:szCs w:val="21"/>
              </w:rPr>
              <w:t>0.35</w:t>
            </w:r>
          </w:p>
        </w:tc>
        <w:tc>
          <w:tcPr>
            <w:tcW w:w="358" w:type="pct"/>
            <w:shd w:val="clear" w:color="auto" w:fill="auto"/>
            <w:vAlign w:val="center"/>
          </w:tcPr>
          <w:p w14:paraId="0A223FAB">
            <w:pPr>
              <w:widowControl/>
              <w:jc w:val="center"/>
              <w:rPr>
                <w:kern w:val="0"/>
                <w:sz w:val="21"/>
                <w:szCs w:val="21"/>
              </w:rPr>
            </w:pPr>
            <w:r>
              <w:rPr>
                <w:kern w:val="0"/>
                <w:sz w:val="21"/>
                <w:szCs w:val="21"/>
              </w:rPr>
              <w:t>0.022</w:t>
            </w:r>
          </w:p>
        </w:tc>
        <w:tc>
          <w:tcPr>
            <w:tcW w:w="356" w:type="pct"/>
            <w:shd w:val="clear" w:color="auto" w:fill="auto"/>
            <w:noWrap/>
            <w:vAlign w:val="center"/>
          </w:tcPr>
          <w:p w14:paraId="6DA7B974">
            <w:pPr>
              <w:widowControl/>
              <w:jc w:val="center"/>
              <w:rPr>
                <w:kern w:val="0"/>
                <w:sz w:val="21"/>
                <w:szCs w:val="21"/>
              </w:rPr>
            </w:pPr>
            <w:r>
              <w:rPr>
                <w:kern w:val="0"/>
                <w:sz w:val="21"/>
                <w:szCs w:val="21"/>
              </w:rPr>
              <w:t>0.159</w:t>
            </w:r>
          </w:p>
        </w:tc>
        <w:tc>
          <w:tcPr>
            <w:tcW w:w="263" w:type="pct"/>
            <w:vMerge w:val="continue"/>
            <w:vAlign w:val="center"/>
          </w:tcPr>
          <w:p w14:paraId="0893D98F">
            <w:pPr>
              <w:widowControl/>
              <w:jc w:val="center"/>
              <w:rPr>
                <w:rFonts w:ascii="宋体" w:hAnsi="宋体" w:cs="宋体"/>
                <w:kern w:val="0"/>
                <w:sz w:val="21"/>
                <w:szCs w:val="21"/>
              </w:rPr>
            </w:pPr>
          </w:p>
        </w:tc>
        <w:tc>
          <w:tcPr>
            <w:tcW w:w="177" w:type="pct"/>
            <w:vMerge w:val="continue"/>
            <w:vAlign w:val="center"/>
          </w:tcPr>
          <w:p w14:paraId="6573B9D4">
            <w:pPr>
              <w:widowControl/>
              <w:jc w:val="center"/>
              <w:rPr>
                <w:kern w:val="0"/>
                <w:sz w:val="21"/>
                <w:szCs w:val="21"/>
              </w:rPr>
            </w:pPr>
          </w:p>
        </w:tc>
        <w:tc>
          <w:tcPr>
            <w:tcW w:w="269" w:type="pct"/>
            <w:vMerge w:val="continue"/>
            <w:vAlign w:val="center"/>
          </w:tcPr>
          <w:p w14:paraId="18DBCF08">
            <w:pPr>
              <w:widowControl/>
              <w:jc w:val="center"/>
              <w:rPr>
                <w:rFonts w:ascii="宋体" w:hAnsi="宋体" w:cs="宋体"/>
                <w:kern w:val="0"/>
                <w:sz w:val="21"/>
                <w:szCs w:val="21"/>
              </w:rPr>
            </w:pPr>
          </w:p>
        </w:tc>
        <w:tc>
          <w:tcPr>
            <w:tcW w:w="302" w:type="pct"/>
            <w:vMerge w:val="continue"/>
            <w:vAlign w:val="center"/>
          </w:tcPr>
          <w:p w14:paraId="43FD62D7">
            <w:pPr>
              <w:widowControl/>
              <w:jc w:val="center"/>
              <w:rPr>
                <w:kern w:val="0"/>
                <w:sz w:val="21"/>
                <w:szCs w:val="21"/>
              </w:rPr>
            </w:pPr>
          </w:p>
        </w:tc>
        <w:tc>
          <w:tcPr>
            <w:tcW w:w="389" w:type="pct"/>
            <w:vMerge w:val="continue"/>
            <w:vAlign w:val="center"/>
          </w:tcPr>
          <w:p w14:paraId="0ED4A4E3">
            <w:pPr>
              <w:widowControl/>
              <w:jc w:val="center"/>
              <w:rPr>
                <w:kern w:val="0"/>
                <w:sz w:val="21"/>
                <w:szCs w:val="21"/>
              </w:rPr>
            </w:pPr>
          </w:p>
        </w:tc>
        <w:tc>
          <w:tcPr>
            <w:tcW w:w="351" w:type="pct"/>
            <w:vMerge w:val="continue"/>
            <w:vAlign w:val="center"/>
          </w:tcPr>
          <w:p w14:paraId="742A800A">
            <w:pPr>
              <w:widowControl/>
              <w:jc w:val="center"/>
              <w:rPr>
                <w:kern w:val="0"/>
                <w:sz w:val="21"/>
                <w:szCs w:val="21"/>
              </w:rPr>
            </w:pPr>
          </w:p>
        </w:tc>
        <w:tc>
          <w:tcPr>
            <w:tcW w:w="204" w:type="pct"/>
            <w:vMerge w:val="continue"/>
            <w:vAlign w:val="center"/>
          </w:tcPr>
          <w:p w14:paraId="5CBAF11C">
            <w:pPr>
              <w:widowControl/>
              <w:jc w:val="center"/>
              <w:rPr>
                <w:kern w:val="0"/>
                <w:sz w:val="21"/>
                <w:szCs w:val="21"/>
              </w:rPr>
            </w:pPr>
          </w:p>
        </w:tc>
        <w:tc>
          <w:tcPr>
            <w:tcW w:w="255" w:type="pct"/>
            <w:vMerge w:val="continue"/>
            <w:vAlign w:val="center"/>
          </w:tcPr>
          <w:p w14:paraId="06CF51AF">
            <w:pPr>
              <w:widowControl/>
              <w:jc w:val="center"/>
              <w:rPr>
                <w:kern w:val="0"/>
                <w:sz w:val="21"/>
                <w:szCs w:val="21"/>
              </w:rPr>
            </w:pPr>
          </w:p>
        </w:tc>
        <w:tc>
          <w:tcPr>
            <w:tcW w:w="203" w:type="pct"/>
            <w:vMerge w:val="continue"/>
            <w:vAlign w:val="center"/>
          </w:tcPr>
          <w:p w14:paraId="33790961">
            <w:pPr>
              <w:widowControl/>
              <w:jc w:val="center"/>
              <w:rPr>
                <w:kern w:val="0"/>
                <w:sz w:val="21"/>
                <w:szCs w:val="21"/>
              </w:rPr>
            </w:pPr>
          </w:p>
        </w:tc>
        <w:tc>
          <w:tcPr>
            <w:tcW w:w="204" w:type="pct"/>
            <w:vMerge w:val="continue"/>
            <w:vAlign w:val="center"/>
          </w:tcPr>
          <w:p w14:paraId="05BAD494">
            <w:pPr>
              <w:widowControl/>
              <w:jc w:val="center"/>
              <w:rPr>
                <w:kern w:val="0"/>
                <w:sz w:val="21"/>
                <w:szCs w:val="21"/>
              </w:rPr>
            </w:pPr>
          </w:p>
        </w:tc>
        <w:tc>
          <w:tcPr>
            <w:tcW w:w="205" w:type="pct"/>
            <w:vMerge w:val="continue"/>
            <w:vAlign w:val="center"/>
          </w:tcPr>
          <w:p w14:paraId="5B6FB042">
            <w:pPr>
              <w:widowControl/>
              <w:jc w:val="center"/>
              <w:rPr>
                <w:kern w:val="0"/>
                <w:sz w:val="21"/>
                <w:szCs w:val="21"/>
              </w:rPr>
            </w:pPr>
          </w:p>
        </w:tc>
        <w:tc>
          <w:tcPr>
            <w:tcW w:w="251" w:type="pct"/>
            <w:vMerge w:val="continue"/>
            <w:vAlign w:val="center"/>
          </w:tcPr>
          <w:p w14:paraId="6016496A">
            <w:pPr>
              <w:widowControl/>
              <w:jc w:val="center"/>
              <w:rPr>
                <w:rFonts w:ascii="宋体" w:hAnsi="宋体" w:cs="宋体"/>
                <w:kern w:val="0"/>
                <w:sz w:val="21"/>
                <w:szCs w:val="21"/>
              </w:rPr>
            </w:pPr>
          </w:p>
        </w:tc>
      </w:tr>
      <w:tr w14:paraId="5B7FFA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0C85D51F">
            <w:pPr>
              <w:widowControl/>
              <w:jc w:val="center"/>
              <w:rPr>
                <w:kern w:val="0"/>
                <w:sz w:val="21"/>
                <w:szCs w:val="21"/>
              </w:rPr>
            </w:pPr>
          </w:p>
        </w:tc>
        <w:tc>
          <w:tcPr>
            <w:tcW w:w="280" w:type="pct"/>
            <w:vMerge w:val="continue"/>
            <w:vAlign w:val="center"/>
          </w:tcPr>
          <w:p w14:paraId="477F1A87">
            <w:pPr>
              <w:widowControl/>
              <w:jc w:val="center"/>
              <w:rPr>
                <w:kern w:val="0"/>
                <w:sz w:val="21"/>
                <w:szCs w:val="21"/>
              </w:rPr>
            </w:pPr>
          </w:p>
        </w:tc>
        <w:tc>
          <w:tcPr>
            <w:tcW w:w="219" w:type="pct"/>
            <w:vMerge w:val="continue"/>
            <w:vAlign w:val="center"/>
          </w:tcPr>
          <w:p w14:paraId="4D1E851A">
            <w:pPr>
              <w:widowControl/>
              <w:jc w:val="center"/>
              <w:rPr>
                <w:rFonts w:ascii="宋体" w:hAnsi="宋体" w:cs="宋体"/>
                <w:kern w:val="0"/>
                <w:sz w:val="21"/>
                <w:szCs w:val="21"/>
              </w:rPr>
            </w:pPr>
          </w:p>
        </w:tc>
        <w:tc>
          <w:tcPr>
            <w:tcW w:w="251" w:type="pct"/>
            <w:shd w:val="clear" w:color="auto" w:fill="auto"/>
            <w:vAlign w:val="center"/>
          </w:tcPr>
          <w:p w14:paraId="11F01F19">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574FFC43">
            <w:pPr>
              <w:widowControl/>
              <w:jc w:val="center"/>
              <w:rPr>
                <w:kern w:val="0"/>
                <w:sz w:val="21"/>
                <w:szCs w:val="21"/>
              </w:rPr>
            </w:pPr>
            <w:r>
              <w:rPr>
                <w:kern w:val="0"/>
                <w:sz w:val="21"/>
                <w:szCs w:val="21"/>
              </w:rPr>
              <w:t>1.41</w:t>
            </w:r>
          </w:p>
        </w:tc>
        <w:tc>
          <w:tcPr>
            <w:tcW w:w="358" w:type="pct"/>
            <w:shd w:val="clear" w:color="auto" w:fill="auto"/>
            <w:vAlign w:val="center"/>
          </w:tcPr>
          <w:p w14:paraId="31A7D234">
            <w:pPr>
              <w:widowControl/>
              <w:jc w:val="center"/>
              <w:rPr>
                <w:kern w:val="0"/>
                <w:sz w:val="21"/>
                <w:szCs w:val="21"/>
              </w:rPr>
            </w:pPr>
            <w:r>
              <w:rPr>
                <w:kern w:val="0"/>
                <w:sz w:val="21"/>
                <w:szCs w:val="21"/>
              </w:rPr>
              <w:t>0.089</w:t>
            </w:r>
          </w:p>
        </w:tc>
        <w:tc>
          <w:tcPr>
            <w:tcW w:w="356" w:type="pct"/>
            <w:shd w:val="clear" w:color="auto" w:fill="auto"/>
            <w:noWrap/>
            <w:vAlign w:val="center"/>
          </w:tcPr>
          <w:p w14:paraId="77203D67">
            <w:pPr>
              <w:widowControl/>
              <w:jc w:val="center"/>
              <w:rPr>
                <w:kern w:val="0"/>
                <w:sz w:val="21"/>
                <w:szCs w:val="21"/>
              </w:rPr>
            </w:pPr>
            <w:r>
              <w:rPr>
                <w:kern w:val="0"/>
                <w:sz w:val="21"/>
                <w:szCs w:val="21"/>
              </w:rPr>
              <w:t>0.6415</w:t>
            </w:r>
          </w:p>
        </w:tc>
        <w:tc>
          <w:tcPr>
            <w:tcW w:w="263" w:type="pct"/>
            <w:vMerge w:val="continue"/>
            <w:vAlign w:val="center"/>
          </w:tcPr>
          <w:p w14:paraId="2BE9A013">
            <w:pPr>
              <w:widowControl/>
              <w:jc w:val="center"/>
              <w:rPr>
                <w:rFonts w:ascii="宋体" w:hAnsi="宋体" w:cs="宋体"/>
                <w:kern w:val="0"/>
                <w:sz w:val="21"/>
                <w:szCs w:val="21"/>
              </w:rPr>
            </w:pPr>
          </w:p>
        </w:tc>
        <w:tc>
          <w:tcPr>
            <w:tcW w:w="177" w:type="pct"/>
            <w:vMerge w:val="continue"/>
            <w:vAlign w:val="center"/>
          </w:tcPr>
          <w:p w14:paraId="26827F15">
            <w:pPr>
              <w:widowControl/>
              <w:jc w:val="center"/>
              <w:rPr>
                <w:kern w:val="0"/>
                <w:sz w:val="21"/>
                <w:szCs w:val="21"/>
              </w:rPr>
            </w:pPr>
          </w:p>
        </w:tc>
        <w:tc>
          <w:tcPr>
            <w:tcW w:w="269" w:type="pct"/>
            <w:vMerge w:val="continue"/>
            <w:vAlign w:val="center"/>
          </w:tcPr>
          <w:p w14:paraId="7F4FB107">
            <w:pPr>
              <w:widowControl/>
              <w:jc w:val="center"/>
              <w:rPr>
                <w:rFonts w:ascii="宋体" w:hAnsi="宋体" w:cs="宋体"/>
                <w:kern w:val="0"/>
                <w:sz w:val="21"/>
                <w:szCs w:val="21"/>
              </w:rPr>
            </w:pPr>
          </w:p>
        </w:tc>
        <w:tc>
          <w:tcPr>
            <w:tcW w:w="302" w:type="pct"/>
            <w:vMerge w:val="continue"/>
            <w:vAlign w:val="center"/>
          </w:tcPr>
          <w:p w14:paraId="6482F729">
            <w:pPr>
              <w:widowControl/>
              <w:jc w:val="center"/>
              <w:rPr>
                <w:kern w:val="0"/>
                <w:sz w:val="21"/>
                <w:szCs w:val="21"/>
              </w:rPr>
            </w:pPr>
          </w:p>
        </w:tc>
        <w:tc>
          <w:tcPr>
            <w:tcW w:w="389" w:type="pct"/>
            <w:vMerge w:val="continue"/>
            <w:vAlign w:val="center"/>
          </w:tcPr>
          <w:p w14:paraId="0BD48423">
            <w:pPr>
              <w:widowControl/>
              <w:jc w:val="center"/>
              <w:rPr>
                <w:kern w:val="0"/>
                <w:sz w:val="21"/>
                <w:szCs w:val="21"/>
              </w:rPr>
            </w:pPr>
          </w:p>
        </w:tc>
        <w:tc>
          <w:tcPr>
            <w:tcW w:w="351" w:type="pct"/>
            <w:vMerge w:val="continue"/>
            <w:vAlign w:val="center"/>
          </w:tcPr>
          <w:p w14:paraId="375F88F1">
            <w:pPr>
              <w:widowControl/>
              <w:jc w:val="center"/>
              <w:rPr>
                <w:kern w:val="0"/>
                <w:sz w:val="21"/>
                <w:szCs w:val="21"/>
              </w:rPr>
            </w:pPr>
          </w:p>
        </w:tc>
        <w:tc>
          <w:tcPr>
            <w:tcW w:w="204" w:type="pct"/>
            <w:vMerge w:val="continue"/>
            <w:vAlign w:val="center"/>
          </w:tcPr>
          <w:p w14:paraId="2DC7AD15">
            <w:pPr>
              <w:widowControl/>
              <w:jc w:val="center"/>
              <w:rPr>
                <w:kern w:val="0"/>
                <w:sz w:val="21"/>
                <w:szCs w:val="21"/>
              </w:rPr>
            </w:pPr>
          </w:p>
        </w:tc>
        <w:tc>
          <w:tcPr>
            <w:tcW w:w="255" w:type="pct"/>
            <w:vMerge w:val="continue"/>
            <w:vAlign w:val="center"/>
          </w:tcPr>
          <w:p w14:paraId="71B45F36">
            <w:pPr>
              <w:widowControl/>
              <w:jc w:val="center"/>
              <w:rPr>
                <w:kern w:val="0"/>
                <w:sz w:val="21"/>
                <w:szCs w:val="21"/>
              </w:rPr>
            </w:pPr>
          </w:p>
        </w:tc>
        <w:tc>
          <w:tcPr>
            <w:tcW w:w="203" w:type="pct"/>
            <w:vMerge w:val="continue"/>
            <w:vAlign w:val="center"/>
          </w:tcPr>
          <w:p w14:paraId="25C2E7E7">
            <w:pPr>
              <w:widowControl/>
              <w:jc w:val="center"/>
              <w:rPr>
                <w:kern w:val="0"/>
                <w:sz w:val="21"/>
                <w:szCs w:val="21"/>
              </w:rPr>
            </w:pPr>
          </w:p>
        </w:tc>
        <w:tc>
          <w:tcPr>
            <w:tcW w:w="204" w:type="pct"/>
            <w:vMerge w:val="continue"/>
            <w:vAlign w:val="center"/>
          </w:tcPr>
          <w:p w14:paraId="1AB59227">
            <w:pPr>
              <w:widowControl/>
              <w:jc w:val="center"/>
              <w:rPr>
                <w:kern w:val="0"/>
                <w:sz w:val="21"/>
                <w:szCs w:val="21"/>
              </w:rPr>
            </w:pPr>
          </w:p>
        </w:tc>
        <w:tc>
          <w:tcPr>
            <w:tcW w:w="205" w:type="pct"/>
            <w:vMerge w:val="continue"/>
            <w:vAlign w:val="center"/>
          </w:tcPr>
          <w:p w14:paraId="7FE466C0">
            <w:pPr>
              <w:widowControl/>
              <w:jc w:val="center"/>
              <w:rPr>
                <w:kern w:val="0"/>
                <w:sz w:val="21"/>
                <w:szCs w:val="21"/>
              </w:rPr>
            </w:pPr>
          </w:p>
        </w:tc>
        <w:tc>
          <w:tcPr>
            <w:tcW w:w="251" w:type="pct"/>
            <w:vMerge w:val="continue"/>
            <w:vAlign w:val="center"/>
          </w:tcPr>
          <w:p w14:paraId="19647722">
            <w:pPr>
              <w:widowControl/>
              <w:jc w:val="center"/>
              <w:rPr>
                <w:rFonts w:ascii="宋体" w:hAnsi="宋体" w:cs="宋体"/>
                <w:kern w:val="0"/>
                <w:sz w:val="21"/>
                <w:szCs w:val="21"/>
              </w:rPr>
            </w:pPr>
          </w:p>
        </w:tc>
      </w:tr>
      <w:tr w14:paraId="157994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 w:type="pct"/>
            <w:vMerge w:val="restart"/>
            <w:shd w:val="clear" w:color="auto" w:fill="auto"/>
            <w:vAlign w:val="center"/>
          </w:tcPr>
          <w:p w14:paraId="357420D2">
            <w:pPr>
              <w:widowControl/>
              <w:jc w:val="center"/>
              <w:rPr>
                <w:kern w:val="0"/>
                <w:sz w:val="21"/>
                <w:szCs w:val="21"/>
              </w:rPr>
            </w:pPr>
            <w:r>
              <w:rPr>
                <w:kern w:val="0"/>
                <w:sz w:val="21"/>
                <w:szCs w:val="21"/>
              </w:rPr>
              <w:t>3#</w:t>
            </w:r>
          </w:p>
        </w:tc>
        <w:tc>
          <w:tcPr>
            <w:tcW w:w="280" w:type="pct"/>
            <w:vMerge w:val="restart"/>
            <w:shd w:val="clear" w:color="auto" w:fill="auto"/>
            <w:vAlign w:val="center"/>
          </w:tcPr>
          <w:p w14:paraId="30008BEF">
            <w:pPr>
              <w:widowControl/>
              <w:jc w:val="center"/>
              <w:rPr>
                <w:kern w:val="0"/>
                <w:sz w:val="21"/>
                <w:szCs w:val="21"/>
              </w:rPr>
            </w:pPr>
            <w:r>
              <w:rPr>
                <w:kern w:val="0"/>
                <w:sz w:val="21"/>
                <w:szCs w:val="21"/>
              </w:rPr>
              <w:t>63000</w:t>
            </w:r>
          </w:p>
        </w:tc>
        <w:tc>
          <w:tcPr>
            <w:tcW w:w="219" w:type="pct"/>
            <w:vMerge w:val="restart"/>
            <w:shd w:val="clear" w:color="auto" w:fill="auto"/>
            <w:vAlign w:val="center"/>
          </w:tcPr>
          <w:p w14:paraId="307AA7EA">
            <w:pPr>
              <w:widowControl/>
              <w:jc w:val="center"/>
              <w:rPr>
                <w:rFonts w:ascii="宋体" w:hAnsi="宋体" w:cs="宋体"/>
                <w:kern w:val="0"/>
                <w:sz w:val="21"/>
                <w:szCs w:val="21"/>
              </w:rPr>
            </w:pPr>
            <w:r>
              <w:rPr>
                <w:rFonts w:hint="eastAsia" w:ascii="宋体" w:hAnsi="宋体" w:cs="宋体"/>
                <w:kern w:val="0"/>
                <w:sz w:val="21"/>
                <w:szCs w:val="21"/>
              </w:rPr>
              <w:t>一次硫化</w:t>
            </w:r>
          </w:p>
        </w:tc>
        <w:tc>
          <w:tcPr>
            <w:tcW w:w="251" w:type="pct"/>
            <w:shd w:val="clear" w:color="auto" w:fill="auto"/>
            <w:vAlign w:val="center"/>
          </w:tcPr>
          <w:p w14:paraId="32A54BE9">
            <w:pPr>
              <w:widowControl/>
              <w:jc w:val="center"/>
              <w:rPr>
                <w:rFonts w:ascii="宋体" w:hAnsi="宋体" w:cs="宋体"/>
                <w:kern w:val="0"/>
                <w:sz w:val="21"/>
                <w:szCs w:val="21"/>
              </w:rPr>
            </w:pPr>
            <w:r>
              <w:rPr>
                <w:rFonts w:hint="eastAsia" w:ascii="宋体" w:hAnsi="宋体" w:cs="宋体"/>
                <w:kern w:val="0"/>
                <w:sz w:val="21"/>
                <w:szCs w:val="21"/>
              </w:rPr>
              <w:t>氟化物</w:t>
            </w:r>
          </w:p>
        </w:tc>
        <w:tc>
          <w:tcPr>
            <w:tcW w:w="305" w:type="pct"/>
            <w:shd w:val="clear" w:color="auto" w:fill="auto"/>
            <w:vAlign w:val="center"/>
          </w:tcPr>
          <w:p w14:paraId="701AA284">
            <w:pPr>
              <w:widowControl/>
              <w:jc w:val="center"/>
              <w:rPr>
                <w:kern w:val="0"/>
                <w:sz w:val="21"/>
                <w:szCs w:val="21"/>
              </w:rPr>
            </w:pPr>
            <w:r>
              <w:rPr>
                <w:kern w:val="0"/>
                <w:sz w:val="21"/>
                <w:szCs w:val="21"/>
              </w:rPr>
              <w:t>0.0008</w:t>
            </w:r>
          </w:p>
        </w:tc>
        <w:tc>
          <w:tcPr>
            <w:tcW w:w="358" w:type="pct"/>
            <w:shd w:val="clear" w:color="auto" w:fill="auto"/>
            <w:vAlign w:val="center"/>
          </w:tcPr>
          <w:p w14:paraId="63E5B1E1">
            <w:pPr>
              <w:widowControl/>
              <w:jc w:val="center"/>
              <w:rPr>
                <w:kern w:val="0"/>
                <w:sz w:val="21"/>
                <w:szCs w:val="21"/>
              </w:rPr>
            </w:pPr>
            <w:r>
              <w:rPr>
                <w:kern w:val="0"/>
                <w:sz w:val="21"/>
                <w:szCs w:val="21"/>
              </w:rPr>
              <w:t>0.00005</w:t>
            </w:r>
          </w:p>
        </w:tc>
        <w:tc>
          <w:tcPr>
            <w:tcW w:w="356" w:type="pct"/>
            <w:shd w:val="clear" w:color="auto" w:fill="auto"/>
            <w:noWrap/>
            <w:vAlign w:val="center"/>
          </w:tcPr>
          <w:p w14:paraId="6FACAB8E">
            <w:pPr>
              <w:widowControl/>
              <w:jc w:val="center"/>
              <w:rPr>
                <w:kern w:val="0"/>
                <w:sz w:val="21"/>
                <w:szCs w:val="21"/>
              </w:rPr>
            </w:pPr>
            <w:r>
              <w:rPr>
                <w:kern w:val="0"/>
                <w:sz w:val="21"/>
                <w:szCs w:val="21"/>
              </w:rPr>
              <w:t>0.00036</w:t>
            </w:r>
          </w:p>
        </w:tc>
        <w:tc>
          <w:tcPr>
            <w:tcW w:w="263" w:type="pct"/>
            <w:vMerge w:val="restart"/>
            <w:shd w:val="clear" w:color="auto" w:fill="auto"/>
            <w:vAlign w:val="center"/>
          </w:tcPr>
          <w:p w14:paraId="00A0901C">
            <w:pPr>
              <w:widowControl/>
              <w:jc w:val="center"/>
              <w:rPr>
                <w:rFonts w:ascii="宋体" w:hAnsi="宋体" w:cs="宋体"/>
                <w:kern w:val="0"/>
                <w:sz w:val="21"/>
                <w:szCs w:val="21"/>
              </w:rPr>
            </w:pPr>
            <w:r>
              <w:rPr>
                <w:rFonts w:hint="eastAsia" w:ascii="宋体" w:hAnsi="宋体" w:cs="宋体"/>
                <w:kern w:val="0"/>
                <w:sz w:val="21"/>
                <w:szCs w:val="21"/>
              </w:rPr>
              <w:t>碱喷淋</w:t>
            </w:r>
            <w:r>
              <w:rPr>
                <w:kern w:val="0"/>
                <w:sz w:val="21"/>
                <w:szCs w:val="21"/>
              </w:rPr>
              <w:t>+除雾装置+二级</w:t>
            </w:r>
            <w:r>
              <w:rPr>
                <w:rFonts w:hint="eastAsia" w:ascii="宋体" w:hAnsi="宋体" w:cs="宋体"/>
                <w:kern w:val="0"/>
                <w:sz w:val="21"/>
                <w:szCs w:val="21"/>
              </w:rPr>
              <w:t>活性炭吸附装置</w:t>
            </w:r>
          </w:p>
        </w:tc>
        <w:tc>
          <w:tcPr>
            <w:tcW w:w="177" w:type="pct"/>
            <w:vMerge w:val="restart"/>
            <w:shd w:val="clear" w:color="auto" w:fill="auto"/>
            <w:vAlign w:val="center"/>
          </w:tcPr>
          <w:p w14:paraId="6E96512B">
            <w:pPr>
              <w:widowControl/>
              <w:jc w:val="center"/>
              <w:rPr>
                <w:kern w:val="0"/>
                <w:sz w:val="21"/>
                <w:szCs w:val="21"/>
              </w:rPr>
            </w:pPr>
            <w:r>
              <w:rPr>
                <w:kern w:val="0"/>
                <w:sz w:val="21"/>
                <w:szCs w:val="21"/>
              </w:rPr>
              <w:t>90</w:t>
            </w:r>
          </w:p>
        </w:tc>
        <w:tc>
          <w:tcPr>
            <w:tcW w:w="269" w:type="pct"/>
            <w:vMerge w:val="restart"/>
            <w:shd w:val="clear" w:color="auto" w:fill="auto"/>
            <w:vAlign w:val="center"/>
          </w:tcPr>
          <w:p w14:paraId="033B8287">
            <w:pPr>
              <w:widowControl/>
              <w:jc w:val="center"/>
              <w:rPr>
                <w:rFonts w:ascii="宋体" w:hAnsi="宋体" w:cs="宋体"/>
                <w:kern w:val="0"/>
                <w:sz w:val="21"/>
                <w:szCs w:val="21"/>
              </w:rPr>
            </w:pPr>
            <w:r>
              <w:rPr>
                <w:rFonts w:hint="eastAsia" w:ascii="宋体" w:hAnsi="宋体" w:cs="宋体"/>
                <w:kern w:val="0"/>
                <w:sz w:val="21"/>
                <w:szCs w:val="21"/>
              </w:rPr>
              <w:t>氟化物</w:t>
            </w:r>
          </w:p>
        </w:tc>
        <w:tc>
          <w:tcPr>
            <w:tcW w:w="302" w:type="pct"/>
            <w:vMerge w:val="restart"/>
            <w:shd w:val="clear" w:color="auto" w:fill="auto"/>
            <w:vAlign w:val="center"/>
          </w:tcPr>
          <w:p w14:paraId="6A9897D2">
            <w:pPr>
              <w:widowControl/>
              <w:jc w:val="center"/>
              <w:rPr>
                <w:kern w:val="0"/>
                <w:sz w:val="21"/>
                <w:szCs w:val="21"/>
              </w:rPr>
            </w:pPr>
            <w:r>
              <w:rPr>
                <w:kern w:val="0"/>
                <w:sz w:val="21"/>
                <w:szCs w:val="21"/>
              </w:rPr>
              <w:t>0.0009</w:t>
            </w:r>
          </w:p>
        </w:tc>
        <w:tc>
          <w:tcPr>
            <w:tcW w:w="389" w:type="pct"/>
            <w:vMerge w:val="restart"/>
            <w:shd w:val="clear" w:color="auto" w:fill="auto"/>
            <w:vAlign w:val="center"/>
          </w:tcPr>
          <w:p w14:paraId="6989EEB2">
            <w:pPr>
              <w:widowControl/>
              <w:jc w:val="center"/>
              <w:rPr>
                <w:kern w:val="0"/>
                <w:sz w:val="21"/>
                <w:szCs w:val="21"/>
              </w:rPr>
            </w:pPr>
            <w:r>
              <w:rPr>
                <w:kern w:val="0"/>
                <w:sz w:val="21"/>
                <w:szCs w:val="21"/>
              </w:rPr>
              <w:t>0.000055</w:t>
            </w:r>
          </w:p>
        </w:tc>
        <w:tc>
          <w:tcPr>
            <w:tcW w:w="351" w:type="pct"/>
            <w:vMerge w:val="restart"/>
            <w:shd w:val="clear" w:color="auto" w:fill="auto"/>
            <w:vAlign w:val="center"/>
          </w:tcPr>
          <w:p w14:paraId="57E35079">
            <w:pPr>
              <w:widowControl/>
              <w:jc w:val="center"/>
              <w:rPr>
                <w:kern w:val="0"/>
                <w:sz w:val="21"/>
                <w:szCs w:val="21"/>
              </w:rPr>
            </w:pPr>
            <w:r>
              <w:rPr>
                <w:kern w:val="0"/>
                <w:sz w:val="21"/>
                <w:szCs w:val="21"/>
              </w:rPr>
              <w:t>0.0004</w:t>
            </w:r>
          </w:p>
        </w:tc>
        <w:tc>
          <w:tcPr>
            <w:tcW w:w="204" w:type="pct"/>
            <w:vMerge w:val="restart"/>
            <w:shd w:val="clear" w:color="auto" w:fill="auto"/>
            <w:vAlign w:val="center"/>
          </w:tcPr>
          <w:p w14:paraId="00D1B528">
            <w:pPr>
              <w:widowControl/>
              <w:snapToGrid w:val="0"/>
              <w:jc w:val="center"/>
              <w:rPr>
                <w:kern w:val="0"/>
                <w:sz w:val="21"/>
                <w:szCs w:val="21"/>
              </w:rPr>
            </w:pPr>
            <w:r>
              <w:rPr>
                <w:kern w:val="0"/>
                <w:sz w:val="21"/>
                <w:szCs w:val="21"/>
              </w:rPr>
              <w:t>3</w:t>
            </w:r>
          </w:p>
        </w:tc>
        <w:tc>
          <w:tcPr>
            <w:tcW w:w="255" w:type="pct"/>
            <w:vMerge w:val="restart"/>
            <w:shd w:val="clear" w:color="auto" w:fill="auto"/>
            <w:vAlign w:val="center"/>
          </w:tcPr>
          <w:p w14:paraId="0AC701B3">
            <w:pPr>
              <w:pStyle w:val="55"/>
              <w:snapToGrid w:val="0"/>
              <w:ind w:right="0" w:rightChars="0"/>
              <w:rPr>
                <w:rFonts w:ascii="Times New Roman" w:hAnsi="Times New Roman"/>
                <w:sz w:val="21"/>
                <w:szCs w:val="21"/>
              </w:rPr>
            </w:pPr>
            <w:r>
              <w:rPr>
                <w:rFonts w:ascii="Times New Roman" w:hAnsi="Times New Roman"/>
                <w:sz w:val="21"/>
                <w:szCs w:val="21"/>
              </w:rPr>
              <w:t>0.072</w:t>
            </w:r>
          </w:p>
        </w:tc>
        <w:tc>
          <w:tcPr>
            <w:tcW w:w="203" w:type="pct"/>
            <w:vMerge w:val="restart"/>
            <w:shd w:val="clear" w:color="auto" w:fill="auto"/>
            <w:vAlign w:val="center"/>
          </w:tcPr>
          <w:p w14:paraId="065E6A00">
            <w:pPr>
              <w:widowControl/>
              <w:jc w:val="center"/>
              <w:rPr>
                <w:kern w:val="0"/>
                <w:sz w:val="21"/>
                <w:szCs w:val="21"/>
              </w:rPr>
            </w:pPr>
            <w:r>
              <w:rPr>
                <w:kern w:val="0"/>
                <w:sz w:val="21"/>
                <w:szCs w:val="21"/>
              </w:rPr>
              <w:t>15</w:t>
            </w:r>
          </w:p>
        </w:tc>
        <w:tc>
          <w:tcPr>
            <w:tcW w:w="204" w:type="pct"/>
            <w:vMerge w:val="restart"/>
            <w:shd w:val="clear" w:color="auto" w:fill="auto"/>
            <w:vAlign w:val="center"/>
          </w:tcPr>
          <w:p w14:paraId="55E630DA">
            <w:pPr>
              <w:widowControl/>
              <w:jc w:val="center"/>
              <w:rPr>
                <w:kern w:val="0"/>
                <w:sz w:val="21"/>
                <w:szCs w:val="21"/>
              </w:rPr>
            </w:pPr>
            <w:r>
              <w:rPr>
                <w:rFonts w:hint="eastAsia"/>
                <w:kern w:val="0"/>
                <w:sz w:val="21"/>
                <w:szCs w:val="21"/>
              </w:rPr>
              <w:t>1.0</w:t>
            </w:r>
          </w:p>
        </w:tc>
        <w:tc>
          <w:tcPr>
            <w:tcW w:w="205" w:type="pct"/>
            <w:vMerge w:val="restart"/>
            <w:shd w:val="clear" w:color="auto" w:fill="auto"/>
            <w:vAlign w:val="center"/>
          </w:tcPr>
          <w:p w14:paraId="23887839">
            <w:pPr>
              <w:widowControl/>
              <w:jc w:val="center"/>
              <w:rPr>
                <w:kern w:val="0"/>
                <w:sz w:val="21"/>
                <w:szCs w:val="21"/>
              </w:rPr>
            </w:pPr>
            <w:r>
              <w:rPr>
                <w:kern w:val="0"/>
                <w:sz w:val="21"/>
                <w:szCs w:val="21"/>
              </w:rPr>
              <w:t>65</w:t>
            </w:r>
          </w:p>
        </w:tc>
        <w:tc>
          <w:tcPr>
            <w:tcW w:w="251" w:type="pct"/>
            <w:vMerge w:val="restart"/>
            <w:shd w:val="clear" w:color="auto" w:fill="auto"/>
            <w:vAlign w:val="center"/>
          </w:tcPr>
          <w:p w14:paraId="507B40A6">
            <w:pPr>
              <w:widowControl/>
              <w:jc w:val="center"/>
              <w:rPr>
                <w:rFonts w:ascii="宋体" w:hAnsi="宋体" w:cs="宋体"/>
                <w:kern w:val="0"/>
                <w:sz w:val="21"/>
                <w:szCs w:val="21"/>
              </w:rPr>
            </w:pPr>
            <w:r>
              <w:rPr>
                <w:rFonts w:hint="eastAsia" w:ascii="宋体" w:hAnsi="宋体" w:cs="宋体"/>
                <w:kern w:val="0"/>
                <w:sz w:val="21"/>
                <w:szCs w:val="21"/>
              </w:rPr>
              <w:t>间歇</w:t>
            </w:r>
            <w:r>
              <w:rPr>
                <w:kern w:val="0"/>
                <w:sz w:val="21"/>
                <w:szCs w:val="21"/>
              </w:rPr>
              <w:t>7200h</w:t>
            </w:r>
          </w:p>
        </w:tc>
      </w:tr>
      <w:tr w14:paraId="38A77D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462C1D0B">
            <w:pPr>
              <w:widowControl/>
              <w:jc w:val="center"/>
              <w:rPr>
                <w:kern w:val="0"/>
                <w:sz w:val="21"/>
                <w:szCs w:val="21"/>
              </w:rPr>
            </w:pPr>
          </w:p>
        </w:tc>
        <w:tc>
          <w:tcPr>
            <w:tcW w:w="280" w:type="pct"/>
            <w:vMerge w:val="continue"/>
            <w:vAlign w:val="center"/>
          </w:tcPr>
          <w:p w14:paraId="74FFBB09">
            <w:pPr>
              <w:widowControl/>
              <w:jc w:val="center"/>
              <w:rPr>
                <w:kern w:val="0"/>
                <w:sz w:val="21"/>
                <w:szCs w:val="21"/>
              </w:rPr>
            </w:pPr>
          </w:p>
        </w:tc>
        <w:tc>
          <w:tcPr>
            <w:tcW w:w="219" w:type="pct"/>
            <w:vMerge w:val="continue"/>
            <w:shd w:val="clear" w:color="auto" w:fill="auto"/>
            <w:vAlign w:val="center"/>
          </w:tcPr>
          <w:p w14:paraId="1F10AA1B">
            <w:pPr>
              <w:jc w:val="center"/>
              <w:rPr>
                <w:rFonts w:ascii="宋体" w:hAnsi="宋体" w:cs="宋体"/>
                <w:kern w:val="0"/>
                <w:sz w:val="21"/>
                <w:szCs w:val="21"/>
              </w:rPr>
            </w:pPr>
          </w:p>
        </w:tc>
        <w:tc>
          <w:tcPr>
            <w:tcW w:w="251" w:type="pct"/>
            <w:shd w:val="clear" w:color="auto" w:fill="auto"/>
            <w:vAlign w:val="center"/>
          </w:tcPr>
          <w:p w14:paraId="6F1ABD31">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32D03A14">
            <w:pPr>
              <w:widowControl/>
              <w:jc w:val="center"/>
              <w:rPr>
                <w:kern w:val="0"/>
                <w:sz w:val="21"/>
                <w:szCs w:val="21"/>
              </w:rPr>
            </w:pPr>
            <w:r>
              <w:rPr>
                <w:kern w:val="0"/>
                <w:sz w:val="21"/>
                <w:szCs w:val="21"/>
              </w:rPr>
              <w:t>0.63</w:t>
            </w:r>
          </w:p>
        </w:tc>
        <w:tc>
          <w:tcPr>
            <w:tcW w:w="358" w:type="pct"/>
            <w:shd w:val="clear" w:color="auto" w:fill="auto"/>
            <w:vAlign w:val="center"/>
          </w:tcPr>
          <w:p w14:paraId="6287D473">
            <w:pPr>
              <w:widowControl/>
              <w:jc w:val="center"/>
              <w:rPr>
                <w:kern w:val="0"/>
                <w:sz w:val="21"/>
                <w:szCs w:val="21"/>
              </w:rPr>
            </w:pPr>
            <w:r>
              <w:rPr>
                <w:kern w:val="0"/>
                <w:sz w:val="21"/>
                <w:szCs w:val="21"/>
              </w:rPr>
              <w:t>0.040</w:t>
            </w:r>
          </w:p>
        </w:tc>
        <w:tc>
          <w:tcPr>
            <w:tcW w:w="356" w:type="pct"/>
            <w:shd w:val="clear" w:color="auto" w:fill="auto"/>
            <w:noWrap/>
            <w:vAlign w:val="center"/>
          </w:tcPr>
          <w:p w14:paraId="44F9F894">
            <w:pPr>
              <w:widowControl/>
              <w:jc w:val="center"/>
              <w:rPr>
                <w:kern w:val="0"/>
                <w:sz w:val="21"/>
                <w:szCs w:val="21"/>
              </w:rPr>
            </w:pPr>
            <w:r>
              <w:rPr>
                <w:kern w:val="0"/>
                <w:sz w:val="21"/>
                <w:szCs w:val="21"/>
              </w:rPr>
              <w:t>0.2865</w:t>
            </w:r>
          </w:p>
        </w:tc>
        <w:tc>
          <w:tcPr>
            <w:tcW w:w="263" w:type="pct"/>
            <w:vMerge w:val="continue"/>
            <w:vAlign w:val="center"/>
          </w:tcPr>
          <w:p w14:paraId="58F5680E">
            <w:pPr>
              <w:widowControl/>
              <w:jc w:val="center"/>
              <w:rPr>
                <w:rFonts w:ascii="宋体" w:hAnsi="宋体" w:cs="宋体"/>
                <w:kern w:val="0"/>
                <w:sz w:val="21"/>
                <w:szCs w:val="21"/>
              </w:rPr>
            </w:pPr>
          </w:p>
        </w:tc>
        <w:tc>
          <w:tcPr>
            <w:tcW w:w="177" w:type="pct"/>
            <w:vMerge w:val="continue"/>
            <w:vAlign w:val="center"/>
          </w:tcPr>
          <w:p w14:paraId="669D35D0">
            <w:pPr>
              <w:widowControl/>
              <w:jc w:val="center"/>
              <w:rPr>
                <w:kern w:val="0"/>
                <w:sz w:val="21"/>
                <w:szCs w:val="21"/>
              </w:rPr>
            </w:pPr>
          </w:p>
        </w:tc>
        <w:tc>
          <w:tcPr>
            <w:tcW w:w="269" w:type="pct"/>
            <w:vMerge w:val="continue"/>
            <w:vAlign w:val="center"/>
          </w:tcPr>
          <w:p w14:paraId="44D9CBC0">
            <w:pPr>
              <w:widowControl/>
              <w:jc w:val="center"/>
              <w:rPr>
                <w:rFonts w:ascii="宋体" w:hAnsi="宋体" w:cs="宋体"/>
                <w:kern w:val="0"/>
                <w:sz w:val="21"/>
                <w:szCs w:val="21"/>
              </w:rPr>
            </w:pPr>
          </w:p>
        </w:tc>
        <w:tc>
          <w:tcPr>
            <w:tcW w:w="302" w:type="pct"/>
            <w:vMerge w:val="continue"/>
            <w:vAlign w:val="center"/>
          </w:tcPr>
          <w:p w14:paraId="19F6D7AE">
            <w:pPr>
              <w:widowControl/>
              <w:jc w:val="center"/>
              <w:rPr>
                <w:kern w:val="0"/>
                <w:sz w:val="21"/>
                <w:szCs w:val="21"/>
              </w:rPr>
            </w:pPr>
          </w:p>
        </w:tc>
        <w:tc>
          <w:tcPr>
            <w:tcW w:w="389" w:type="pct"/>
            <w:vMerge w:val="continue"/>
            <w:vAlign w:val="center"/>
          </w:tcPr>
          <w:p w14:paraId="32260887">
            <w:pPr>
              <w:widowControl/>
              <w:jc w:val="center"/>
              <w:rPr>
                <w:kern w:val="0"/>
                <w:sz w:val="21"/>
                <w:szCs w:val="21"/>
              </w:rPr>
            </w:pPr>
          </w:p>
        </w:tc>
        <w:tc>
          <w:tcPr>
            <w:tcW w:w="351" w:type="pct"/>
            <w:vMerge w:val="continue"/>
            <w:vAlign w:val="center"/>
          </w:tcPr>
          <w:p w14:paraId="6C740F92">
            <w:pPr>
              <w:widowControl/>
              <w:jc w:val="center"/>
              <w:rPr>
                <w:kern w:val="0"/>
                <w:sz w:val="21"/>
                <w:szCs w:val="21"/>
              </w:rPr>
            </w:pPr>
          </w:p>
        </w:tc>
        <w:tc>
          <w:tcPr>
            <w:tcW w:w="204" w:type="pct"/>
            <w:vMerge w:val="continue"/>
            <w:vAlign w:val="center"/>
          </w:tcPr>
          <w:p w14:paraId="06F97D81">
            <w:pPr>
              <w:widowControl/>
              <w:jc w:val="center"/>
              <w:rPr>
                <w:kern w:val="0"/>
                <w:sz w:val="21"/>
                <w:szCs w:val="21"/>
              </w:rPr>
            </w:pPr>
          </w:p>
        </w:tc>
        <w:tc>
          <w:tcPr>
            <w:tcW w:w="255" w:type="pct"/>
            <w:vMerge w:val="continue"/>
            <w:vAlign w:val="center"/>
          </w:tcPr>
          <w:p w14:paraId="489964F7">
            <w:pPr>
              <w:widowControl/>
              <w:jc w:val="center"/>
              <w:rPr>
                <w:kern w:val="0"/>
                <w:sz w:val="21"/>
                <w:szCs w:val="21"/>
              </w:rPr>
            </w:pPr>
          </w:p>
        </w:tc>
        <w:tc>
          <w:tcPr>
            <w:tcW w:w="203" w:type="pct"/>
            <w:vMerge w:val="continue"/>
            <w:vAlign w:val="center"/>
          </w:tcPr>
          <w:p w14:paraId="4D6EDC50">
            <w:pPr>
              <w:widowControl/>
              <w:jc w:val="center"/>
              <w:rPr>
                <w:kern w:val="0"/>
                <w:sz w:val="21"/>
                <w:szCs w:val="21"/>
              </w:rPr>
            </w:pPr>
          </w:p>
        </w:tc>
        <w:tc>
          <w:tcPr>
            <w:tcW w:w="204" w:type="pct"/>
            <w:vMerge w:val="continue"/>
            <w:vAlign w:val="center"/>
          </w:tcPr>
          <w:p w14:paraId="2B763595">
            <w:pPr>
              <w:widowControl/>
              <w:jc w:val="center"/>
              <w:rPr>
                <w:kern w:val="0"/>
                <w:sz w:val="21"/>
                <w:szCs w:val="21"/>
              </w:rPr>
            </w:pPr>
          </w:p>
        </w:tc>
        <w:tc>
          <w:tcPr>
            <w:tcW w:w="205" w:type="pct"/>
            <w:vMerge w:val="continue"/>
            <w:vAlign w:val="center"/>
          </w:tcPr>
          <w:p w14:paraId="18FE15E3">
            <w:pPr>
              <w:widowControl/>
              <w:jc w:val="center"/>
              <w:rPr>
                <w:kern w:val="0"/>
                <w:sz w:val="21"/>
                <w:szCs w:val="21"/>
              </w:rPr>
            </w:pPr>
          </w:p>
        </w:tc>
        <w:tc>
          <w:tcPr>
            <w:tcW w:w="251" w:type="pct"/>
            <w:vMerge w:val="continue"/>
            <w:vAlign w:val="center"/>
          </w:tcPr>
          <w:p w14:paraId="4F85CC47">
            <w:pPr>
              <w:widowControl/>
              <w:jc w:val="center"/>
              <w:rPr>
                <w:rFonts w:ascii="宋体" w:hAnsi="宋体" w:cs="宋体"/>
                <w:kern w:val="0"/>
                <w:sz w:val="21"/>
                <w:szCs w:val="21"/>
              </w:rPr>
            </w:pPr>
          </w:p>
        </w:tc>
      </w:tr>
      <w:tr w14:paraId="4D8B9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0E5254B3">
            <w:pPr>
              <w:widowControl/>
              <w:jc w:val="center"/>
              <w:rPr>
                <w:kern w:val="0"/>
                <w:sz w:val="21"/>
                <w:szCs w:val="21"/>
              </w:rPr>
            </w:pPr>
          </w:p>
        </w:tc>
        <w:tc>
          <w:tcPr>
            <w:tcW w:w="280" w:type="pct"/>
            <w:vMerge w:val="continue"/>
            <w:vAlign w:val="center"/>
          </w:tcPr>
          <w:p w14:paraId="6F4B8CDF">
            <w:pPr>
              <w:widowControl/>
              <w:jc w:val="center"/>
              <w:rPr>
                <w:kern w:val="0"/>
                <w:sz w:val="21"/>
                <w:szCs w:val="21"/>
              </w:rPr>
            </w:pPr>
          </w:p>
        </w:tc>
        <w:tc>
          <w:tcPr>
            <w:tcW w:w="219" w:type="pct"/>
            <w:vMerge w:val="continue"/>
            <w:shd w:val="clear" w:color="auto" w:fill="auto"/>
            <w:vAlign w:val="center"/>
          </w:tcPr>
          <w:p w14:paraId="0416F19D">
            <w:pPr>
              <w:widowControl/>
              <w:jc w:val="center"/>
              <w:rPr>
                <w:rFonts w:ascii="宋体" w:hAnsi="宋体" w:cs="宋体"/>
                <w:kern w:val="0"/>
                <w:sz w:val="21"/>
                <w:szCs w:val="21"/>
              </w:rPr>
            </w:pPr>
          </w:p>
        </w:tc>
        <w:tc>
          <w:tcPr>
            <w:tcW w:w="251" w:type="pct"/>
            <w:shd w:val="clear" w:color="auto" w:fill="auto"/>
            <w:vAlign w:val="center"/>
          </w:tcPr>
          <w:p w14:paraId="70AAA950">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7C745A0A">
            <w:pPr>
              <w:widowControl/>
              <w:jc w:val="center"/>
              <w:rPr>
                <w:kern w:val="0"/>
                <w:sz w:val="21"/>
                <w:szCs w:val="21"/>
              </w:rPr>
            </w:pPr>
            <w:r>
              <w:rPr>
                <w:kern w:val="0"/>
                <w:sz w:val="21"/>
                <w:szCs w:val="21"/>
              </w:rPr>
              <w:t>2.65</w:t>
            </w:r>
          </w:p>
        </w:tc>
        <w:tc>
          <w:tcPr>
            <w:tcW w:w="358" w:type="pct"/>
            <w:shd w:val="clear" w:color="auto" w:fill="auto"/>
            <w:vAlign w:val="center"/>
          </w:tcPr>
          <w:p w14:paraId="3A9A79A9">
            <w:pPr>
              <w:widowControl/>
              <w:jc w:val="center"/>
              <w:rPr>
                <w:kern w:val="0"/>
                <w:sz w:val="21"/>
                <w:szCs w:val="21"/>
              </w:rPr>
            </w:pPr>
            <w:r>
              <w:rPr>
                <w:kern w:val="0"/>
                <w:sz w:val="21"/>
                <w:szCs w:val="21"/>
              </w:rPr>
              <w:t>0.167</w:t>
            </w:r>
          </w:p>
        </w:tc>
        <w:tc>
          <w:tcPr>
            <w:tcW w:w="356" w:type="pct"/>
            <w:shd w:val="clear" w:color="auto" w:fill="auto"/>
            <w:noWrap/>
            <w:vAlign w:val="center"/>
          </w:tcPr>
          <w:p w14:paraId="772BEF4F">
            <w:pPr>
              <w:widowControl/>
              <w:jc w:val="center"/>
              <w:rPr>
                <w:kern w:val="0"/>
                <w:sz w:val="21"/>
                <w:szCs w:val="21"/>
              </w:rPr>
            </w:pPr>
            <w:r>
              <w:rPr>
                <w:kern w:val="0"/>
                <w:sz w:val="21"/>
                <w:szCs w:val="21"/>
              </w:rPr>
              <w:t>1.204</w:t>
            </w:r>
          </w:p>
        </w:tc>
        <w:tc>
          <w:tcPr>
            <w:tcW w:w="263" w:type="pct"/>
            <w:vMerge w:val="continue"/>
            <w:vAlign w:val="center"/>
          </w:tcPr>
          <w:p w14:paraId="3C43293C">
            <w:pPr>
              <w:widowControl/>
              <w:jc w:val="center"/>
              <w:rPr>
                <w:rFonts w:ascii="宋体" w:hAnsi="宋体" w:cs="宋体"/>
                <w:kern w:val="0"/>
                <w:sz w:val="21"/>
                <w:szCs w:val="21"/>
              </w:rPr>
            </w:pPr>
          </w:p>
        </w:tc>
        <w:tc>
          <w:tcPr>
            <w:tcW w:w="177" w:type="pct"/>
            <w:vMerge w:val="restart"/>
            <w:shd w:val="clear" w:color="auto" w:fill="auto"/>
            <w:vAlign w:val="center"/>
          </w:tcPr>
          <w:p w14:paraId="12469613">
            <w:pPr>
              <w:widowControl/>
              <w:jc w:val="center"/>
              <w:rPr>
                <w:kern w:val="0"/>
                <w:sz w:val="21"/>
                <w:szCs w:val="21"/>
              </w:rPr>
            </w:pPr>
            <w:r>
              <w:rPr>
                <w:kern w:val="0"/>
                <w:sz w:val="21"/>
                <w:szCs w:val="21"/>
              </w:rPr>
              <w:t>90</w:t>
            </w:r>
          </w:p>
        </w:tc>
        <w:tc>
          <w:tcPr>
            <w:tcW w:w="269" w:type="pct"/>
            <w:vMerge w:val="restart"/>
            <w:shd w:val="clear" w:color="auto" w:fill="auto"/>
            <w:vAlign w:val="center"/>
          </w:tcPr>
          <w:p w14:paraId="093F9155">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2" w:type="pct"/>
            <w:vMerge w:val="restart"/>
            <w:shd w:val="clear" w:color="auto" w:fill="auto"/>
            <w:vAlign w:val="center"/>
          </w:tcPr>
          <w:p w14:paraId="0B1A9606">
            <w:pPr>
              <w:widowControl/>
              <w:jc w:val="center"/>
              <w:rPr>
                <w:kern w:val="0"/>
                <w:sz w:val="21"/>
                <w:szCs w:val="21"/>
              </w:rPr>
            </w:pPr>
            <w:r>
              <w:rPr>
                <w:kern w:val="0"/>
                <w:sz w:val="21"/>
                <w:szCs w:val="21"/>
              </w:rPr>
              <w:t>0.10</w:t>
            </w:r>
          </w:p>
        </w:tc>
        <w:tc>
          <w:tcPr>
            <w:tcW w:w="389" w:type="pct"/>
            <w:vMerge w:val="restart"/>
            <w:shd w:val="clear" w:color="auto" w:fill="auto"/>
            <w:vAlign w:val="center"/>
          </w:tcPr>
          <w:p w14:paraId="019DB0DA">
            <w:pPr>
              <w:widowControl/>
              <w:jc w:val="center"/>
              <w:rPr>
                <w:kern w:val="0"/>
                <w:sz w:val="21"/>
                <w:szCs w:val="21"/>
              </w:rPr>
            </w:pPr>
            <w:r>
              <w:rPr>
                <w:kern w:val="0"/>
                <w:sz w:val="21"/>
                <w:szCs w:val="21"/>
              </w:rPr>
              <w:t>0.006</w:t>
            </w:r>
          </w:p>
        </w:tc>
        <w:tc>
          <w:tcPr>
            <w:tcW w:w="351" w:type="pct"/>
            <w:vMerge w:val="restart"/>
            <w:shd w:val="clear" w:color="auto" w:fill="auto"/>
            <w:vAlign w:val="center"/>
          </w:tcPr>
          <w:p w14:paraId="79487DE6">
            <w:pPr>
              <w:widowControl/>
              <w:jc w:val="center"/>
              <w:rPr>
                <w:kern w:val="0"/>
                <w:sz w:val="21"/>
                <w:szCs w:val="21"/>
              </w:rPr>
            </w:pPr>
            <w:r>
              <w:rPr>
                <w:kern w:val="0"/>
                <w:sz w:val="21"/>
                <w:szCs w:val="21"/>
              </w:rPr>
              <w:t>0.045</w:t>
            </w:r>
          </w:p>
        </w:tc>
        <w:tc>
          <w:tcPr>
            <w:tcW w:w="204" w:type="pct"/>
            <w:vMerge w:val="restart"/>
            <w:shd w:val="clear" w:color="auto" w:fill="auto"/>
            <w:vAlign w:val="center"/>
          </w:tcPr>
          <w:p w14:paraId="213A134B">
            <w:pPr>
              <w:widowControl/>
              <w:jc w:val="center"/>
              <w:rPr>
                <w:kern w:val="0"/>
                <w:sz w:val="21"/>
                <w:szCs w:val="21"/>
              </w:rPr>
            </w:pPr>
            <w:r>
              <w:rPr>
                <w:kern w:val="0"/>
                <w:sz w:val="21"/>
                <w:szCs w:val="21"/>
              </w:rPr>
              <w:t>/</w:t>
            </w:r>
          </w:p>
        </w:tc>
        <w:tc>
          <w:tcPr>
            <w:tcW w:w="255" w:type="pct"/>
            <w:vMerge w:val="restart"/>
            <w:shd w:val="clear" w:color="auto" w:fill="auto"/>
            <w:vAlign w:val="center"/>
          </w:tcPr>
          <w:p w14:paraId="4676437A">
            <w:pPr>
              <w:widowControl/>
              <w:jc w:val="center"/>
              <w:rPr>
                <w:kern w:val="0"/>
                <w:sz w:val="21"/>
                <w:szCs w:val="21"/>
              </w:rPr>
            </w:pPr>
            <w:r>
              <w:rPr>
                <w:kern w:val="0"/>
                <w:sz w:val="21"/>
                <w:szCs w:val="21"/>
              </w:rPr>
              <w:t>0.</w:t>
            </w:r>
            <w:r>
              <w:rPr>
                <w:rFonts w:hint="eastAsia"/>
                <w:kern w:val="0"/>
                <w:sz w:val="21"/>
                <w:szCs w:val="21"/>
              </w:rPr>
              <w:t>3</w:t>
            </w:r>
            <w:r>
              <w:rPr>
                <w:kern w:val="0"/>
                <w:sz w:val="21"/>
                <w:szCs w:val="21"/>
              </w:rPr>
              <w:t>3</w:t>
            </w:r>
          </w:p>
        </w:tc>
        <w:tc>
          <w:tcPr>
            <w:tcW w:w="203" w:type="pct"/>
            <w:vMerge w:val="continue"/>
            <w:vAlign w:val="center"/>
          </w:tcPr>
          <w:p w14:paraId="6349E579">
            <w:pPr>
              <w:widowControl/>
              <w:jc w:val="center"/>
              <w:rPr>
                <w:kern w:val="0"/>
                <w:sz w:val="21"/>
                <w:szCs w:val="21"/>
              </w:rPr>
            </w:pPr>
          </w:p>
        </w:tc>
        <w:tc>
          <w:tcPr>
            <w:tcW w:w="204" w:type="pct"/>
            <w:vMerge w:val="continue"/>
            <w:vAlign w:val="center"/>
          </w:tcPr>
          <w:p w14:paraId="490EBBA7">
            <w:pPr>
              <w:widowControl/>
              <w:jc w:val="center"/>
              <w:rPr>
                <w:kern w:val="0"/>
                <w:sz w:val="21"/>
                <w:szCs w:val="21"/>
              </w:rPr>
            </w:pPr>
          </w:p>
        </w:tc>
        <w:tc>
          <w:tcPr>
            <w:tcW w:w="205" w:type="pct"/>
            <w:vMerge w:val="continue"/>
            <w:vAlign w:val="center"/>
          </w:tcPr>
          <w:p w14:paraId="7FDDAD1C">
            <w:pPr>
              <w:widowControl/>
              <w:jc w:val="center"/>
              <w:rPr>
                <w:kern w:val="0"/>
                <w:sz w:val="21"/>
                <w:szCs w:val="21"/>
              </w:rPr>
            </w:pPr>
          </w:p>
        </w:tc>
        <w:tc>
          <w:tcPr>
            <w:tcW w:w="251" w:type="pct"/>
            <w:vMerge w:val="continue"/>
            <w:vAlign w:val="center"/>
          </w:tcPr>
          <w:p w14:paraId="4EF16561">
            <w:pPr>
              <w:widowControl/>
              <w:jc w:val="center"/>
              <w:rPr>
                <w:rFonts w:ascii="宋体" w:hAnsi="宋体" w:cs="宋体"/>
                <w:kern w:val="0"/>
                <w:sz w:val="21"/>
                <w:szCs w:val="21"/>
              </w:rPr>
            </w:pPr>
          </w:p>
        </w:tc>
      </w:tr>
      <w:tr w14:paraId="068544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3EE2929E">
            <w:pPr>
              <w:widowControl/>
              <w:jc w:val="center"/>
              <w:rPr>
                <w:kern w:val="0"/>
                <w:sz w:val="21"/>
                <w:szCs w:val="21"/>
              </w:rPr>
            </w:pPr>
          </w:p>
        </w:tc>
        <w:tc>
          <w:tcPr>
            <w:tcW w:w="280" w:type="pct"/>
            <w:vMerge w:val="continue"/>
            <w:vAlign w:val="center"/>
          </w:tcPr>
          <w:p w14:paraId="451AD5DF">
            <w:pPr>
              <w:widowControl/>
              <w:jc w:val="center"/>
              <w:rPr>
                <w:kern w:val="0"/>
                <w:sz w:val="21"/>
                <w:szCs w:val="21"/>
              </w:rPr>
            </w:pPr>
          </w:p>
        </w:tc>
        <w:tc>
          <w:tcPr>
            <w:tcW w:w="219" w:type="pct"/>
            <w:vMerge w:val="restart"/>
            <w:shd w:val="clear" w:color="auto" w:fill="auto"/>
            <w:vAlign w:val="center"/>
          </w:tcPr>
          <w:p w14:paraId="1812DBD6">
            <w:pPr>
              <w:widowControl/>
              <w:jc w:val="center"/>
              <w:rPr>
                <w:rFonts w:ascii="宋体" w:hAnsi="宋体" w:cs="宋体"/>
                <w:kern w:val="0"/>
                <w:sz w:val="21"/>
                <w:szCs w:val="21"/>
              </w:rPr>
            </w:pPr>
            <w:r>
              <w:rPr>
                <w:rFonts w:hint="eastAsia" w:ascii="宋体" w:hAnsi="宋体" w:cs="宋体"/>
                <w:kern w:val="0"/>
                <w:sz w:val="21"/>
                <w:szCs w:val="21"/>
              </w:rPr>
              <w:t>二次硫化</w:t>
            </w:r>
          </w:p>
        </w:tc>
        <w:tc>
          <w:tcPr>
            <w:tcW w:w="251" w:type="pct"/>
            <w:shd w:val="clear" w:color="auto" w:fill="auto"/>
            <w:vAlign w:val="center"/>
          </w:tcPr>
          <w:p w14:paraId="23BFFBA3">
            <w:pPr>
              <w:widowControl/>
              <w:jc w:val="center"/>
              <w:rPr>
                <w:rFonts w:ascii="宋体" w:hAnsi="宋体" w:cs="宋体"/>
                <w:kern w:val="0"/>
                <w:sz w:val="21"/>
                <w:szCs w:val="21"/>
              </w:rPr>
            </w:pPr>
            <w:r>
              <w:rPr>
                <w:rFonts w:hint="eastAsia" w:ascii="宋体" w:hAnsi="宋体" w:cs="宋体"/>
                <w:kern w:val="0"/>
                <w:sz w:val="21"/>
                <w:szCs w:val="21"/>
              </w:rPr>
              <w:t>氟化物</w:t>
            </w:r>
          </w:p>
        </w:tc>
        <w:tc>
          <w:tcPr>
            <w:tcW w:w="305" w:type="pct"/>
            <w:shd w:val="clear" w:color="auto" w:fill="auto"/>
            <w:vAlign w:val="center"/>
          </w:tcPr>
          <w:p w14:paraId="7739865E">
            <w:pPr>
              <w:widowControl/>
              <w:jc w:val="center"/>
              <w:rPr>
                <w:kern w:val="0"/>
                <w:sz w:val="21"/>
                <w:szCs w:val="21"/>
              </w:rPr>
            </w:pPr>
            <w:r>
              <w:rPr>
                <w:kern w:val="0"/>
                <w:sz w:val="21"/>
                <w:szCs w:val="21"/>
              </w:rPr>
              <w:t>0.0079</w:t>
            </w:r>
          </w:p>
        </w:tc>
        <w:tc>
          <w:tcPr>
            <w:tcW w:w="358" w:type="pct"/>
            <w:shd w:val="clear" w:color="auto" w:fill="auto"/>
            <w:vAlign w:val="center"/>
          </w:tcPr>
          <w:p w14:paraId="7167581E">
            <w:pPr>
              <w:widowControl/>
              <w:jc w:val="center"/>
              <w:rPr>
                <w:kern w:val="0"/>
                <w:sz w:val="21"/>
                <w:szCs w:val="21"/>
              </w:rPr>
            </w:pPr>
            <w:r>
              <w:rPr>
                <w:kern w:val="0"/>
                <w:sz w:val="21"/>
                <w:szCs w:val="21"/>
              </w:rPr>
              <w:t>0.0005</w:t>
            </w:r>
          </w:p>
        </w:tc>
        <w:tc>
          <w:tcPr>
            <w:tcW w:w="356" w:type="pct"/>
            <w:shd w:val="clear" w:color="auto" w:fill="auto"/>
            <w:noWrap/>
            <w:vAlign w:val="center"/>
          </w:tcPr>
          <w:p w14:paraId="2528BD43">
            <w:pPr>
              <w:widowControl/>
              <w:jc w:val="center"/>
              <w:rPr>
                <w:kern w:val="0"/>
                <w:sz w:val="21"/>
                <w:szCs w:val="21"/>
              </w:rPr>
            </w:pPr>
            <w:r>
              <w:rPr>
                <w:kern w:val="0"/>
                <w:sz w:val="21"/>
                <w:szCs w:val="21"/>
              </w:rPr>
              <w:t>0.0036</w:t>
            </w:r>
          </w:p>
        </w:tc>
        <w:tc>
          <w:tcPr>
            <w:tcW w:w="263" w:type="pct"/>
            <w:vMerge w:val="continue"/>
            <w:vAlign w:val="center"/>
          </w:tcPr>
          <w:p w14:paraId="5499FD19">
            <w:pPr>
              <w:widowControl/>
              <w:jc w:val="center"/>
              <w:rPr>
                <w:rFonts w:ascii="宋体" w:hAnsi="宋体" w:cs="宋体"/>
                <w:kern w:val="0"/>
                <w:sz w:val="21"/>
                <w:szCs w:val="21"/>
              </w:rPr>
            </w:pPr>
          </w:p>
        </w:tc>
        <w:tc>
          <w:tcPr>
            <w:tcW w:w="177" w:type="pct"/>
            <w:vMerge w:val="continue"/>
            <w:vAlign w:val="center"/>
          </w:tcPr>
          <w:p w14:paraId="231338F0">
            <w:pPr>
              <w:widowControl/>
              <w:jc w:val="center"/>
              <w:rPr>
                <w:kern w:val="0"/>
                <w:sz w:val="21"/>
                <w:szCs w:val="21"/>
              </w:rPr>
            </w:pPr>
          </w:p>
        </w:tc>
        <w:tc>
          <w:tcPr>
            <w:tcW w:w="269" w:type="pct"/>
            <w:vMerge w:val="continue"/>
            <w:vAlign w:val="center"/>
          </w:tcPr>
          <w:p w14:paraId="427D3BF1">
            <w:pPr>
              <w:widowControl/>
              <w:jc w:val="center"/>
              <w:rPr>
                <w:kern w:val="0"/>
                <w:sz w:val="21"/>
                <w:szCs w:val="21"/>
              </w:rPr>
            </w:pPr>
          </w:p>
        </w:tc>
        <w:tc>
          <w:tcPr>
            <w:tcW w:w="302" w:type="pct"/>
            <w:vMerge w:val="continue"/>
            <w:vAlign w:val="center"/>
          </w:tcPr>
          <w:p w14:paraId="01D47FF1">
            <w:pPr>
              <w:widowControl/>
              <w:jc w:val="center"/>
              <w:rPr>
                <w:kern w:val="0"/>
                <w:sz w:val="21"/>
                <w:szCs w:val="21"/>
              </w:rPr>
            </w:pPr>
          </w:p>
        </w:tc>
        <w:tc>
          <w:tcPr>
            <w:tcW w:w="389" w:type="pct"/>
            <w:vMerge w:val="continue"/>
            <w:vAlign w:val="center"/>
          </w:tcPr>
          <w:p w14:paraId="48B20D93">
            <w:pPr>
              <w:widowControl/>
              <w:jc w:val="center"/>
              <w:rPr>
                <w:kern w:val="0"/>
                <w:sz w:val="21"/>
                <w:szCs w:val="21"/>
              </w:rPr>
            </w:pPr>
          </w:p>
        </w:tc>
        <w:tc>
          <w:tcPr>
            <w:tcW w:w="351" w:type="pct"/>
            <w:vMerge w:val="continue"/>
            <w:vAlign w:val="center"/>
          </w:tcPr>
          <w:p w14:paraId="1CE1E470">
            <w:pPr>
              <w:widowControl/>
              <w:jc w:val="center"/>
              <w:rPr>
                <w:kern w:val="0"/>
                <w:sz w:val="21"/>
                <w:szCs w:val="21"/>
              </w:rPr>
            </w:pPr>
          </w:p>
        </w:tc>
        <w:tc>
          <w:tcPr>
            <w:tcW w:w="204" w:type="pct"/>
            <w:vMerge w:val="continue"/>
            <w:vAlign w:val="center"/>
          </w:tcPr>
          <w:p w14:paraId="16AE4F5F">
            <w:pPr>
              <w:widowControl/>
              <w:jc w:val="center"/>
              <w:rPr>
                <w:kern w:val="0"/>
                <w:sz w:val="21"/>
                <w:szCs w:val="21"/>
              </w:rPr>
            </w:pPr>
          </w:p>
        </w:tc>
        <w:tc>
          <w:tcPr>
            <w:tcW w:w="255" w:type="pct"/>
            <w:vMerge w:val="continue"/>
            <w:vAlign w:val="center"/>
          </w:tcPr>
          <w:p w14:paraId="74FD5BF7">
            <w:pPr>
              <w:widowControl/>
              <w:jc w:val="center"/>
              <w:rPr>
                <w:kern w:val="0"/>
                <w:sz w:val="21"/>
                <w:szCs w:val="21"/>
              </w:rPr>
            </w:pPr>
          </w:p>
        </w:tc>
        <w:tc>
          <w:tcPr>
            <w:tcW w:w="203" w:type="pct"/>
            <w:vMerge w:val="continue"/>
            <w:vAlign w:val="center"/>
          </w:tcPr>
          <w:p w14:paraId="75EE1597">
            <w:pPr>
              <w:widowControl/>
              <w:jc w:val="center"/>
              <w:rPr>
                <w:kern w:val="0"/>
                <w:sz w:val="21"/>
                <w:szCs w:val="21"/>
              </w:rPr>
            </w:pPr>
          </w:p>
        </w:tc>
        <w:tc>
          <w:tcPr>
            <w:tcW w:w="204" w:type="pct"/>
            <w:vMerge w:val="continue"/>
            <w:vAlign w:val="center"/>
          </w:tcPr>
          <w:p w14:paraId="7B00C8BE">
            <w:pPr>
              <w:widowControl/>
              <w:jc w:val="center"/>
              <w:rPr>
                <w:kern w:val="0"/>
                <w:sz w:val="21"/>
                <w:szCs w:val="21"/>
              </w:rPr>
            </w:pPr>
          </w:p>
        </w:tc>
        <w:tc>
          <w:tcPr>
            <w:tcW w:w="205" w:type="pct"/>
            <w:vMerge w:val="continue"/>
            <w:vAlign w:val="center"/>
          </w:tcPr>
          <w:p w14:paraId="580E27F2">
            <w:pPr>
              <w:widowControl/>
              <w:jc w:val="center"/>
              <w:rPr>
                <w:kern w:val="0"/>
                <w:sz w:val="21"/>
                <w:szCs w:val="21"/>
              </w:rPr>
            </w:pPr>
          </w:p>
        </w:tc>
        <w:tc>
          <w:tcPr>
            <w:tcW w:w="251" w:type="pct"/>
            <w:vMerge w:val="continue"/>
            <w:vAlign w:val="center"/>
          </w:tcPr>
          <w:p w14:paraId="66734A96">
            <w:pPr>
              <w:widowControl/>
              <w:jc w:val="center"/>
              <w:rPr>
                <w:rFonts w:ascii="宋体" w:hAnsi="宋体" w:cs="宋体"/>
                <w:kern w:val="0"/>
                <w:sz w:val="21"/>
                <w:szCs w:val="21"/>
              </w:rPr>
            </w:pPr>
          </w:p>
        </w:tc>
      </w:tr>
      <w:tr w14:paraId="52A56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71861208">
            <w:pPr>
              <w:widowControl/>
              <w:jc w:val="center"/>
              <w:rPr>
                <w:kern w:val="0"/>
                <w:sz w:val="21"/>
                <w:szCs w:val="21"/>
              </w:rPr>
            </w:pPr>
          </w:p>
        </w:tc>
        <w:tc>
          <w:tcPr>
            <w:tcW w:w="280" w:type="pct"/>
            <w:vMerge w:val="continue"/>
            <w:vAlign w:val="center"/>
          </w:tcPr>
          <w:p w14:paraId="2DE09017">
            <w:pPr>
              <w:widowControl/>
              <w:jc w:val="center"/>
              <w:rPr>
                <w:kern w:val="0"/>
                <w:sz w:val="21"/>
                <w:szCs w:val="21"/>
              </w:rPr>
            </w:pPr>
          </w:p>
        </w:tc>
        <w:tc>
          <w:tcPr>
            <w:tcW w:w="219" w:type="pct"/>
            <w:vMerge w:val="continue"/>
            <w:shd w:val="clear" w:color="auto" w:fill="auto"/>
            <w:vAlign w:val="center"/>
          </w:tcPr>
          <w:p w14:paraId="5D0A3BF7">
            <w:pPr>
              <w:widowControl/>
              <w:jc w:val="center"/>
              <w:rPr>
                <w:rFonts w:ascii="宋体" w:hAnsi="宋体" w:cs="宋体"/>
                <w:kern w:val="0"/>
                <w:sz w:val="21"/>
                <w:szCs w:val="21"/>
              </w:rPr>
            </w:pPr>
          </w:p>
        </w:tc>
        <w:tc>
          <w:tcPr>
            <w:tcW w:w="251" w:type="pct"/>
            <w:shd w:val="clear" w:color="auto" w:fill="auto"/>
            <w:vAlign w:val="center"/>
          </w:tcPr>
          <w:p w14:paraId="0F9C8F92">
            <w:pPr>
              <w:widowControl/>
              <w:jc w:val="center"/>
              <w:rPr>
                <w:kern w:val="0"/>
                <w:sz w:val="21"/>
                <w:szCs w:val="21"/>
              </w:rPr>
            </w:pPr>
            <w:r>
              <w:rPr>
                <w:kern w:val="0"/>
                <w:sz w:val="21"/>
                <w:szCs w:val="21"/>
              </w:rPr>
              <w:t>H</w:t>
            </w:r>
            <w:r>
              <w:rPr>
                <w:kern w:val="0"/>
                <w:sz w:val="21"/>
                <w:szCs w:val="21"/>
                <w:vertAlign w:val="subscript"/>
              </w:rPr>
              <w:t>2</w:t>
            </w:r>
            <w:r>
              <w:rPr>
                <w:kern w:val="0"/>
                <w:sz w:val="21"/>
                <w:szCs w:val="21"/>
              </w:rPr>
              <w:t>S</w:t>
            </w:r>
          </w:p>
        </w:tc>
        <w:tc>
          <w:tcPr>
            <w:tcW w:w="305" w:type="pct"/>
            <w:shd w:val="clear" w:color="auto" w:fill="auto"/>
            <w:vAlign w:val="center"/>
          </w:tcPr>
          <w:p w14:paraId="56D10D25">
            <w:pPr>
              <w:widowControl/>
              <w:jc w:val="center"/>
              <w:rPr>
                <w:kern w:val="0"/>
                <w:sz w:val="21"/>
                <w:szCs w:val="21"/>
              </w:rPr>
            </w:pPr>
            <w:r>
              <w:rPr>
                <w:kern w:val="0"/>
                <w:sz w:val="21"/>
                <w:szCs w:val="21"/>
              </w:rPr>
              <w:t>0.35</w:t>
            </w:r>
          </w:p>
        </w:tc>
        <w:tc>
          <w:tcPr>
            <w:tcW w:w="358" w:type="pct"/>
            <w:shd w:val="clear" w:color="auto" w:fill="auto"/>
            <w:vAlign w:val="center"/>
          </w:tcPr>
          <w:p w14:paraId="62D21FE6">
            <w:pPr>
              <w:widowControl/>
              <w:jc w:val="center"/>
              <w:rPr>
                <w:kern w:val="0"/>
                <w:sz w:val="21"/>
                <w:szCs w:val="21"/>
              </w:rPr>
            </w:pPr>
            <w:r>
              <w:rPr>
                <w:kern w:val="0"/>
                <w:sz w:val="21"/>
                <w:szCs w:val="21"/>
              </w:rPr>
              <w:t>0.022</w:t>
            </w:r>
          </w:p>
        </w:tc>
        <w:tc>
          <w:tcPr>
            <w:tcW w:w="356" w:type="pct"/>
            <w:shd w:val="clear" w:color="auto" w:fill="auto"/>
            <w:noWrap/>
            <w:vAlign w:val="center"/>
          </w:tcPr>
          <w:p w14:paraId="1A569C6E">
            <w:pPr>
              <w:widowControl/>
              <w:jc w:val="center"/>
              <w:rPr>
                <w:kern w:val="0"/>
                <w:sz w:val="21"/>
                <w:szCs w:val="21"/>
              </w:rPr>
            </w:pPr>
            <w:r>
              <w:rPr>
                <w:kern w:val="0"/>
                <w:sz w:val="21"/>
                <w:szCs w:val="21"/>
              </w:rPr>
              <w:t>0.159</w:t>
            </w:r>
          </w:p>
        </w:tc>
        <w:tc>
          <w:tcPr>
            <w:tcW w:w="263" w:type="pct"/>
            <w:vMerge w:val="continue"/>
            <w:vAlign w:val="center"/>
          </w:tcPr>
          <w:p w14:paraId="1D475227">
            <w:pPr>
              <w:widowControl/>
              <w:jc w:val="center"/>
              <w:rPr>
                <w:rFonts w:ascii="宋体" w:hAnsi="宋体" w:cs="宋体"/>
                <w:kern w:val="0"/>
                <w:sz w:val="21"/>
                <w:szCs w:val="21"/>
              </w:rPr>
            </w:pPr>
          </w:p>
        </w:tc>
        <w:tc>
          <w:tcPr>
            <w:tcW w:w="177" w:type="pct"/>
            <w:vMerge w:val="continue"/>
            <w:vAlign w:val="center"/>
          </w:tcPr>
          <w:p w14:paraId="59CC5DAE">
            <w:pPr>
              <w:widowControl/>
              <w:jc w:val="center"/>
              <w:rPr>
                <w:kern w:val="0"/>
                <w:sz w:val="21"/>
                <w:szCs w:val="21"/>
              </w:rPr>
            </w:pPr>
          </w:p>
        </w:tc>
        <w:tc>
          <w:tcPr>
            <w:tcW w:w="269" w:type="pct"/>
            <w:vMerge w:val="continue"/>
            <w:vAlign w:val="center"/>
          </w:tcPr>
          <w:p w14:paraId="020F26C9">
            <w:pPr>
              <w:widowControl/>
              <w:jc w:val="center"/>
              <w:rPr>
                <w:kern w:val="0"/>
                <w:sz w:val="21"/>
                <w:szCs w:val="21"/>
              </w:rPr>
            </w:pPr>
          </w:p>
        </w:tc>
        <w:tc>
          <w:tcPr>
            <w:tcW w:w="302" w:type="pct"/>
            <w:vMerge w:val="continue"/>
            <w:vAlign w:val="center"/>
          </w:tcPr>
          <w:p w14:paraId="31ABBB6C">
            <w:pPr>
              <w:widowControl/>
              <w:jc w:val="center"/>
              <w:rPr>
                <w:kern w:val="0"/>
                <w:sz w:val="21"/>
                <w:szCs w:val="21"/>
              </w:rPr>
            </w:pPr>
          </w:p>
        </w:tc>
        <w:tc>
          <w:tcPr>
            <w:tcW w:w="389" w:type="pct"/>
            <w:vMerge w:val="continue"/>
            <w:vAlign w:val="center"/>
          </w:tcPr>
          <w:p w14:paraId="7314282D">
            <w:pPr>
              <w:widowControl/>
              <w:jc w:val="center"/>
              <w:rPr>
                <w:kern w:val="0"/>
                <w:sz w:val="21"/>
                <w:szCs w:val="21"/>
              </w:rPr>
            </w:pPr>
          </w:p>
        </w:tc>
        <w:tc>
          <w:tcPr>
            <w:tcW w:w="351" w:type="pct"/>
            <w:vMerge w:val="continue"/>
            <w:vAlign w:val="center"/>
          </w:tcPr>
          <w:p w14:paraId="4F014FD8">
            <w:pPr>
              <w:widowControl/>
              <w:jc w:val="center"/>
              <w:rPr>
                <w:kern w:val="0"/>
                <w:sz w:val="21"/>
                <w:szCs w:val="21"/>
              </w:rPr>
            </w:pPr>
          </w:p>
        </w:tc>
        <w:tc>
          <w:tcPr>
            <w:tcW w:w="204" w:type="pct"/>
            <w:vMerge w:val="continue"/>
            <w:vAlign w:val="center"/>
          </w:tcPr>
          <w:p w14:paraId="1FAE3195">
            <w:pPr>
              <w:widowControl/>
              <w:jc w:val="center"/>
              <w:rPr>
                <w:kern w:val="0"/>
                <w:sz w:val="21"/>
                <w:szCs w:val="21"/>
              </w:rPr>
            </w:pPr>
          </w:p>
        </w:tc>
        <w:tc>
          <w:tcPr>
            <w:tcW w:w="255" w:type="pct"/>
            <w:vMerge w:val="continue"/>
            <w:vAlign w:val="center"/>
          </w:tcPr>
          <w:p w14:paraId="4BBBC591">
            <w:pPr>
              <w:widowControl/>
              <w:jc w:val="center"/>
              <w:rPr>
                <w:kern w:val="0"/>
                <w:sz w:val="21"/>
                <w:szCs w:val="21"/>
              </w:rPr>
            </w:pPr>
          </w:p>
        </w:tc>
        <w:tc>
          <w:tcPr>
            <w:tcW w:w="203" w:type="pct"/>
            <w:vMerge w:val="continue"/>
            <w:vAlign w:val="center"/>
          </w:tcPr>
          <w:p w14:paraId="59096468">
            <w:pPr>
              <w:widowControl/>
              <w:jc w:val="center"/>
              <w:rPr>
                <w:kern w:val="0"/>
                <w:sz w:val="21"/>
                <w:szCs w:val="21"/>
              </w:rPr>
            </w:pPr>
          </w:p>
        </w:tc>
        <w:tc>
          <w:tcPr>
            <w:tcW w:w="204" w:type="pct"/>
            <w:vMerge w:val="continue"/>
            <w:vAlign w:val="center"/>
          </w:tcPr>
          <w:p w14:paraId="4C6047E3">
            <w:pPr>
              <w:widowControl/>
              <w:jc w:val="center"/>
              <w:rPr>
                <w:kern w:val="0"/>
                <w:sz w:val="21"/>
                <w:szCs w:val="21"/>
              </w:rPr>
            </w:pPr>
          </w:p>
        </w:tc>
        <w:tc>
          <w:tcPr>
            <w:tcW w:w="205" w:type="pct"/>
            <w:vMerge w:val="continue"/>
            <w:vAlign w:val="center"/>
          </w:tcPr>
          <w:p w14:paraId="7D8F435C">
            <w:pPr>
              <w:widowControl/>
              <w:jc w:val="center"/>
              <w:rPr>
                <w:kern w:val="0"/>
                <w:sz w:val="21"/>
                <w:szCs w:val="21"/>
              </w:rPr>
            </w:pPr>
          </w:p>
        </w:tc>
        <w:tc>
          <w:tcPr>
            <w:tcW w:w="251" w:type="pct"/>
            <w:vMerge w:val="continue"/>
            <w:vAlign w:val="center"/>
          </w:tcPr>
          <w:p w14:paraId="6E482F6C">
            <w:pPr>
              <w:widowControl/>
              <w:jc w:val="center"/>
              <w:rPr>
                <w:rFonts w:ascii="宋体" w:hAnsi="宋体" w:cs="宋体"/>
                <w:kern w:val="0"/>
                <w:sz w:val="21"/>
                <w:szCs w:val="21"/>
              </w:rPr>
            </w:pPr>
          </w:p>
        </w:tc>
      </w:tr>
      <w:tr w14:paraId="22BD7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4B5DA022">
            <w:pPr>
              <w:widowControl/>
              <w:jc w:val="center"/>
              <w:rPr>
                <w:kern w:val="0"/>
                <w:sz w:val="21"/>
                <w:szCs w:val="21"/>
              </w:rPr>
            </w:pPr>
          </w:p>
        </w:tc>
        <w:tc>
          <w:tcPr>
            <w:tcW w:w="280" w:type="pct"/>
            <w:vMerge w:val="continue"/>
            <w:vAlign w:val="center"/>
          </w:tcPr>
          <w:p w14:paraId="7F1C73C1">
            <w:pPr>
              <w:widowControl/>
              <w:jc w:val="center"/>
              <w:rPr>
                <w:kern w:val="0"/>
                <w:sz w:val="21"/>
                <w:szCs w:val="21"/>
              </w:rPr>
            </w:pPr>
          </w:p>
        </w:tc>
        <w:tc>
          <w:tcPr>
            <w:tcW w:w="219" w:type="pct"/>
            <w:vMerge w:val="continue"/>
            <w:shd w:val="clear" w:color="auto" w:fill="auto"/>
            <w:vAlign w:val="center"/>
          </w:tcPr>
          <w:p w14:paraId="140508BA">
            <w:pPr>
              <w:widowControl/>
              <w:jc w:val="center"/>
              <w:rPr>
                <w:rFonts w:ascii="宋体" w:hAnsi="宋体" w:cs="宋体"/>
                <w:kern w:val="0"/>
                <w:sz w:val="21"/>
                <w:szCs w:val="21"/>
              </w:rPr>
            </w:pPr>
          </w:p>
        </w:tc>
        <w:tc>
          <w:tcPr>
            <w:tcW w:w="251" w:type="pct"/>
            <w:shd w:val="clear" w:color="auto" w:fill="auto"/>
            <w:vAlign w:val="center"/>
          </w:tcPr>
          <w:p w14:paraId="655077F0">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186C42F2">
            <w:pPr>
              <w:widowControl/>
              <w:jc w:val="center"/>
              <w:rPr>
                <w:kern w:val="0"/>
                <w:sz w:val="21"/>
                <w:szCs w:val="21"/>
              </w:rPr>
            </w:pPr>
            <w:r>
              <w:rPr>
                <w:kern w:val="0"/>
                <w:sz w:val="21"/>
                <w:szCs w:val="21"/>
              </w:rPr>
              <w:t>1.41</w:t>
            </w:r>
          </w:p>
        </w:tc>
        <w:tc>
          <w:tcPr>
            <w:tcW w:w="358" w:type="pct"/>
            <w:shd w:val="clear" w:color="auto" w:fill="auto"/>
            <w:vAlign w:val="center"/>
          </w:tcPr>
          <w:p w14:paraId="52ACC608">
            <w:pPr>
              <w:widowControl/>
              <w:jc w:val="center"/>
              <w:rPr>
                <w:kern w:val="0"/>
                <w:sz w:val="21"/>
                <w:szCs w:val="21"/>
              </w:rPr>
            </w:pPr>
            <w:r>
              <w:rPr>
                <w:kern w:val="0"/>
                <w:sz w:val="21"/>
                <w:szCs w:val="21"/>
              </w:rPr>
              <w:t>0.089</w:t>
            </w:r>
          </w:p>
        </w:tc>
        <w:tc>
          <w:tcPr>
            <w:tcW w:w="356" w:type="pct"/>
            <w:shd w:val="clear" w:color="auto" w:fill="auto"/>
            <w:noWrap/>
            <w:vAlign w:val="center"/>
          </w:tcPr>
          <w:p w14:paraId="457A7422">
            <w:pPr>
              <w:widowControl/>
              <w:jc w:val="center"/>
              <w:rPr>
                <w:kern w:val="0"/>
                <w:sz w:val="21"/>
                <w:szCs w:val="21"/>
              </w:rPr>
            </w:pPr>
            <w:r>
              <w:rPr>
                <w:kern w:val="0"/>
                <w:sz w:val="21"/>
                <w:szCs w:val="21"/>
              </w:rPr>
              <w:t>0.6415</w:t>
            </w:r>
          </w:p>
        </w:tc>
        <w:tc>
          <w:tcPr>
            <w:tcW w:w="263" w:type="pct"/>
            <w:vMerge w:val="continue"/>
            <w:vAlign w:val="center"/>
          </w:tcPr>
          <w:p w14:paraId="7E1AF340">
            <w:pPr>
              <w:widowControl/>
              <w:jc w:val="center"/>
              <w:rPr>
                <w:rFonts w:ascii="宋体" w:hAnsi="宋体" w:cs="宋体"/>
                <w:kern w:val="0"/>
                <w:sz w:val="21"/>
                <w:szCs w:val="21"/>
              </w:rPr>
            </w:pPr>
          </w:p>
        </w:tc>
        <w:tc>
          <w:tcPr>
            <w:tcW w:w="177" w:type="pct"/>
            <w:shd w:val="clear" w:color="auto" w:fill="auto"/>
            <w:vAlign w:val="center"/>
          </w:tcPr>
          <w:p w14:paraId="6B7C810E">
            <w:pPr>
              <w:widowControl/>
              <w:jc w:val="center"/>
              <w:rPr>
                <w:kern w:val="0"/>
                <w:sz w:val="21"/>
                <w:szCs w:val="21"/>
              </w:rPr>
            </w:pPr>
            <w:r>
              <w:rPr>
                <w:kern w:val="0"/>
                <w:sz w:val="21"/>
                <w:szCs w:val="21"/>
              </w:rPr>
              <w:t>90</w:t>
            </w:r>
          </w:p>
        </w:tc>
        <w:tc>
          <w:tcPr>
            <w:tcW w:w="269" w:type="pct"/>
            <w:shd w:val="clear" w:color="auto" w:fill="auto"/>
            <w:vAlign w:val="center"/>
          </w:tcPr>
          <w:p w14:paraId="62C2D25A">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2" w:type="pct"/>
            <w:shd w:val="clear" w:color="auto" w:fill="auto"/>
            <w:vAlign w:val="center"/>
          </w:tcPr>
          <w:p w14:paraId="128758A8">
            <w:pPr>
              <w:widowControl/>
              <w:jc w:val="center"/>
              <w:rPr>
                <w:kern w:val="0"/>
                <w:sz w:val="21"/>
                <w:szCs w:val="21"/>
              </w:rPr>
            </w:pPr>
            <w:r>
              <w:rPr>
                <w:kern w:val="0"/>
                <w:sz w:val="21"/>
                <w:szCs w:val="21"/>
              </w:rPr>
              <w:t>0.41</w:t>
            </w:r>
          </w:p>
        </w:tc>
        <w:tc>
          <w:tcPr>
            <w:tcW w:w="389" w:type="pct"/>
            <w:shd w:val="clear" w:color="auto" w:fill="auto"/>
            <w:vAlign w:val="center"/>
          </w:tcPr>
          <w:p w14:paraId="27848F87">
            <w:pPr>
              <w:widowControl/>
              <w:jc w:val="center"/>
              <w:rPr>
                <w:kern w:val="0"/>
                <w:sz w:val="21"/>
                <w:szCs w:val="21"/>
              </w:rPr>
            </w:pPr>
            <w:r>
              <w:rPr>
                <w:kern w:val="0"/>
                <w:sz w:val="21"/>
                <w:szCs w:val="21"/>
              </w:rPr>
              <w:t>0.026</w:t>
            </w:r>
          </w:p>
        </w:tc>
        <w:tc>
          <w:tcPr>
            <w:tcW w:w="351" w:type="pct"/>
            <w:shd w:val="clear" w:color="auto" w:fill="auto"/>
            <w:vAlign w:val="center"/>
          </w:tcPr>
          <w:p w14:paraId="7EF9609C">
            <w:pPr>
              <w:widowControl/>
              <w:jc w:val="center"/>
              <w:rPr>
                <w:kern w:val="0"/>
                <w:sz w:val="21"/>
                <w:szCs w:val="21"/>
              </w:rPr>
            </w:pPr>
            <w:r>
              <w:rPr>
                <w:kern w:val="0"/>
                <w:sz w:val="21"/>
                <w:szCs w:val="21"/>
              </w:rPr>
              <w:t>0.185</w:t>
            </w:r>
          </w:p>
        </w:tc>
        <w:tc>
          <w:tcPr>
            <w:tcW w:w="204" w:type="pct"/>
            <w:shd w:val="clear" w:color="auto" w:fill="auto"/>
            <w:vAlign w:val="center"/>
          </w:tcPr>
          <w:p w14:paraId="733147C0">
            <w:pPr>
              <w:widowControl/>
              <w:jc w:val="center"/>
              <w:rPr>
                <w:kern w:val="0"/>
                <w:sz w:val="21"/>
                <w:szCs w:val="21"/>
              </w:rPr>
            </w:pPr>
            <w:r>
              <w:rPr>
                <w:kern w:val="0"/>
                <w:sz w:val="21"/>
                <w:szCs w:val="21"/>
              </w:rPr>
              <w:t>10</w:t>
            </w:r>
          </w:p>
        </w:tc>
        <w:tc>
          <w:tcPr>
            <w:tcW w:w="255" w:type="pct"/>
            <w:shd w:val="clear" w:color="auto" w:fill="auto"/>
            <w:vAlign w:val="center"/>
          </w:tcPr>
          <w:p w14:paraId="5F85F4B1">
            <w:pPr>
              <w:widowControl/>
              <w:jc w:val="center"/>
              <w:rPr>
                <w:kern w:val="0"/>
                <w:sz w:val="21"/>
                <w:szCs w:val="21"/>
              </w:rPr>
            </w:pPr>
            <w:r>
              <w:rPr>
                <w:rFonts w:hint="eastAsia"/>
                <w:kern w:val="0"/>
                <w:sz w:val="21"/>
                <w:szCs w:val="21"/>
              </w:rPr>
              <w:t>/</w:t>
            </w:r>
          </w:p>
        </w:tc>
        <w:tc>
          <w:tcPr>
            <w:tcW w:w="203" w:type="pct"/>
            <w:vMerge w:val="continue"/>
            <w:vAlign w:val="center"/>
          </w:tcPr>
          <w:p w14:paraId="364620B8">
            <w:pPr>
              <w:widowControl/>
              <w:jc w:val="center"/>
              <w:rPr>
                <w:kern w:val="0"/>
                <w:sz w:val="21"/>
                <w:szCs w:val="21"/>
              </w:rPr>
            </w:pPr>
          </w:p>
        </w:tc>
        <w:tc>
          <w:tcPr>
            <w:tcW w:w="204" w:type="pct"/>
            <w:vMerge w:val="continue"/>
            <w:vAlign w:val="center"/>
          </w:tcPr>
          <w:p w14:paraId="7CEDEA5A">
            <w:pPr>
              <w:widowControl/>
              <w:jc w:val="center"/>
              <w:rPr>
                <w:kern w:val="0"/>
                <w:sz w:val="21"/>
                <w:szCs w:val="21"/>
              </w:rPr>
            </w:pPr>
          </w:p>
        </w:tc>
        <w:tc>
          <w:tcPr>
            <w:tcW w:w="205" w:type="pct"/>
            <w:vMerge w:val="continue"/>
            <w:vAlign w:val="center"/>
          </w:tcPr>
          <w:p w14:paraId="11465CCC">
            <w:pPr>
              <w:widowControl/>
              <w:jc w:val="center"/>
              <w:rPr>
                <w:kern w:val="0"/>
                <w:sz w:val="21"/>
                <w:szCs w:val="21"/>
              </w:rPr>
            </w:pPr>
          </w:p>
        </w:tc>
        <w:tc>
          <w:tcPr>
            <w:tcW w:w="251" w:type="pct"/>
            <w:vMerge w:val="continue"/>
            <w:vAlign w:val="center"/>
          </w:tcPr>
          <w:p w14:paraId="006FB5BE">
            <w:pPr>
              <w:widowControl/>
              <w:jc w:val="center"/>
              <w:rPr>
                <w:rFonts w:ascii="宋体" w:hAnsi="宋体" w:cs="宋体"/>
                <w:kern w:val="0"/>
                <w:sz w:val="21"/>
                <w:szCs w:val="21"/>
              </w:rPr>
            </w:pPr>
          </w:p>
        </w:tc>
      </w:tr>
      <w:tr w14:paraId="604BD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57" w:type="pct"/>
            <w:shd w:val="clear" w:color="auto" w:fill="auto"/>
            <w:vAlign w:val="center"/>
          </w:tcPr>
          <w:p w14:paraId="2C1DE70A">
            <w:pPr>
              <w:widowControl/>
              <w:jc w:val="center"/>
              <w:rPr>
                <w:kern w:val="0"/>
                <w:sz w:val="21"/>
                <w:szCs w:val="21"/>
              </w:rPr>
            </w:pPr>
            <w:r>
              <w:rPr>
                <w:kern w:val="0"/>
                <w:sz w:val="21"/>
                <w:szCs w:val="21"/>
              </w:rPr>
              <w:t>4#</w:t>
            </w:r>
          </w:p>
        </w:tc>
        <w:tc>
          <w:tcPr>
            <w:tcW w:w="280" w:type="pct"/>
            <w:shd w:val="clear" w:color="auto" w:fill="auto"/>
            <w:vAlign w:val="center"/>
          </w:tcPr>
          <w:p w14:paraId="28B836C8">
            <w:pPr>
              <w:widowControl/>
              <w:jc w:val="center"/>
              <w:rPr>
                <w:kern w:val="0"/>
                <w:sz w:val="21"/>
                <w:szCs w:val="21"/>
              </w:rPr>
            </w:pPr>
            <w:r>
              <w:rPr>
                <w:kern w:val="0"/>
                <w:sz w:val="21"/>
                <w:szCs w:val="21"/>
              </w:rPr>
              <w:t>4000</w:t>
            </w:r>
          </w:p>
        </w:tc>
        <w:tc>
          <w:tcPr>
            <w:tcW w:w="219" w:type="pct"/>
            <w:shd w:val="clear" w:color="auto" w:fill="auto"/>
            <w:vAlign w:val="center"/>
          </w:tcPr>
          <w:p w14:paraId="7896606D">
            <w:pPr>
              <w:widowControl/>
              <w:jc w:val="center"/>
              <w:rPr>
                <w:rFonts w:ascii="宋体" w:hAnsi="宋体" w:cs="宋体"/>
                <w:kern w:val="0"/>
                <w:sz w:val="21"/>
                <w:szCs w:val="21"/>
              </w:rPr>
            </w:pPr>
            <w:r>
              <w:rPr>
                <w:rFonts w:hint="eastAsia" w:ascii="宋体" w:hAnsi="宋体" w:cs="宋体"/>
                <w:kern w:val="0"/>
                <w:sz w:val="21"/>
                <w:szCs w:val="21"/>
              </w:rPr>
              <w:t>食堂油烟</w:t>
            </w:r>
          </w:p>
        </w:tc>
        <w:tc>
          <w:tcPr>
            <w:tcW w:w="251" w:type="pct"/>
            <w:shd w:val="clear" w:color="auto" w:fill="auto"/>
            <w:vAlign w:val="center"/>
          </w:tcPr>
          <w:p w14:paraId="03F085A5">
            <w:pPr>
              <w:widowControl/>
              <w:jc w:val="center"/>
              <w:rPr>
                <w:rFonts w:ascii="宋体" w:hAnsi="宋体" w:cs="宋体"/>
                <w:kern w:val="0"/>
                <w:sz w:val="21"/>
                <w:szCs w:val="21"/>
              </w:rPr>
            </w:pPr>
            <w:r>
              <w:rPr>
                <w:rFonts w:hint="eastAsia" w:ascii="宋体" w:hAnsi="宋体" w:cs="宋体"/>
                <w:kern w:val="0"/>
                <w:sz w:val="21"/>
                <w:szCs w:val="21"/>
              </w:rPr>
              <w:t>油烟</w:t>
            </w:r>
          </w:p>
        </w:tc>
        <w:tc>
          <w:tcPr>
            <w:tcW w:w="305" w:type="pct"/>
            <w:shd w:val="clear" w:color="auto" w:fill="auto"/>
            <w:vAlign w:val="center"/>
          </w:tcPr>
          <w:p w14:paraId="0806E903">
            <w:pPr>
              <w:widowControl/>
              <w:jc w:val="center"/>
              <w:rPr>
                <w:kern w:val="0"/>
                <w:sz w:val="21"/>
                <w:szCs w:val="21"/>
              </w:rPr>
            </w:pPr>
            <w:r>
              <w:rPr>
                <w:kern w:val="0"/>
                <w:sz w:val="21"/>
                <w:szCs w:val="21"/>
              </w:rPr>
              <w:t>6.88</w:t>
            </w:r>
          </w:p>
        </w:tc>
        <w:tc>
          <w:tcPr>
            <w:tcW w:w="358" w:type="pct"/>
            <w:shd w:val="clear" w:color="auto" w:fill="auto"/>
            <w:vAlign w:val="center"/>
          </w:tcPr>
          <w:p w14:paraId="68B053B6">
            <w:pPr>
              <w:widowControl/>
              <w:jc w:val="center"/>
              <w:rPr>
                <w:kern w:val="0"/>
                <w:sz w:val="21"/>
                <w:szCs w:val="21"/>
              </w:rPr>
            </w:pPr>
            <w:r>
              <w:rPr>
                <w:kern w:val="0"/>
                <w:sz w:val="21"/>
                <w:szCs w:val="21"/>
              </w:rPr>
              <w:t>0.028</w:t>
            </w:r>
          </w:p>
        </w:tc>
        <w:tc>
          <w:tcPr>
            <w:tcW w:w="356" w:type="pct"/>
            <w:shd w:val="clear" w:color="auto" w:fill="auto"/>
            <w:vAlign w:val="center"/>
          </w:tcPr>
          <w:p w14:paraId="3621C5A4">
            <w:pPr>
              <w:widowControl/>
              <w:jc w:val="center"/>
              <w:rPr>
                <w:kern w:val="0"/>
                <w:sz w:val="21"/>
                <w:szCs w:val="21"/>
              </w:rPr>
            </w:pPr>
            <w:r>
              <w:rPr>
                <w:kern w:val="0"/>
                <w:sz w:val="21"/>
                <w:szCs w:val="21"/>
              </w:rPr>
              <w:t>0.033</w:t>
            </w:r>
          </w:p>
        </w:tc>
        <w:tc>
          <w:tcPr>
            <w:tcW w:w="263" w:type="pct"/>
            <w:shd w:val="clear" w:color="auto" w:fill="auto"/>
            <w:vAlign w:val="center"/>
          </w:tcPr>
          <w:p w14:paraId="575F56E4">
            <w:pPr>
              <w:widowControl/>
              <w:jc w:val="center"/>
              <w:rPr>
                <w:kern w:val="0"/>
                <w:sz w:val="21"/>
                <w:szCs w:val="21"/>
              </w:rPr>
            </w:pPr>
            <w:r>
              <w:rPr>
                <w:rFonts w:hAnsi="宋体"/>
                <w:kern w:val="0"/>
                <w:sz w:val="21"/>
                <w:szCs w:val="21"/>
              </w:rPr>
              <w:t>脱油烟机</w:t>
            </w:r>
          </w:p>
        </w:tc>
        <w:tc>
          <w:tcPr>
            <w:tcW w:w="177" w:type="pct"/>
            <w:shd w:val="clear" w:color="auto" w:fill="auto"/>
            <w:vAlign w:val="center"/>
          </w:tcPr>
          <w:p w14:paraId="4D62616F">
            <w:pPr>
              <w:widowControl/>
              <w:jc w:val="center"/>
              <w:rPr>
                <w:kern w:val="0"/>
                <w:sz w:val="21"/>
                <w:szCs w:val="21"/>
              </w:rPr>
            </w:pPr>
            <w:r>
              <w:rPr>
                <w:kern w:val="0"/>
                <w:sz w:val="21"/>
                <w:szCs w:val="21"/>
              </w:rPr>
              <w:t>85</w:t>
            </w:r>
          </w:p>
        </w:tc>
        <w:tc>
          <w:tcPr>
            <w:tcW w:w="269" w:type="pct"/>
            <w:shd w:val="clear" w:color="auto" w:fill="auto"/>
            <w:vAlign w:val="center"/>
          </w:tcPr>
          <w:p w14:paraId="7A5B409E">
            <w:pPr>
              <w:widowControl/>
              <w:jc w:val="center"/>
              <w:rPr>
                <w:kern w:val="0"/>
                <w:sz w:val="21"/>
                <w:szCs w:val="21"/>
              </w:rPr>
            </w:pPr>
            <w:r>
              <w:rPr>
                <w:rFonts w:hAnsi="宋体"/>
                <w:kern w:val="0"/>
                <w:sz w:val="21"/>
                <w:szCs w:val="21"/>
              </w:rPr>
              <w:t>油烟</w:t>
            </w:r>
          </w:p>
        </w:tc>
        <w:tc>
          <w:tcPr>
            <w:tcW w:w="302" w:type="pct"/>
            <w:shd w:val="clear" w:color="auto" w:fill="auto"/>
            <w:vAlign w:val="center"/>
          </w:tcPr>
          <w:p w14:paraId="0FA83B2C">
            <w:pPr>
              <w:widowControl/>
              <w:jc w:val="center"/>
              <w:rPr>
                <w:kern w:val="0"/>
                <w:sz w:val="21"/>
                <w:szCs w:val="21"/>
              </w:rPr>
            </w:pPr>
            <w:r>
              <w:rPr>
                <w:kern w:val="0"/>
                <w:sz w:val="21"/>
                <w:szCs w:val="21"/>
              </w:rPr>
              <w:t>1.03</w:t>
            </w:r>
          </w:p>
        </w:tc>
        <w:tc>
          <w:tcPr>
            <w:tcW w:w="389" w:type="pct"/>
            <w:shd w:val="clear" w:color="auto" w:fill="auto"/>
            <w:vAlign w:val="center"/>
          </w:tcPr>
          <w:p w14:paraId="7FACF261">
            <w:pPr>
              <w:widowControl/>
              <w:jc w:val="center"/>
              <w:rPr>
                <w:kern w:val="0"/>
                <w:sz w:val="21"/>
                <w:szCs w:val="21"/>
              </w:rPr>
            </w:pPr>
            <w:r>
              <w:rPr>
                <w:kern w:val="0"/>
                <w:sz w:val="21"/>
                <w:szCs w:val="21"/>
              </w:rPr>
              <w:t>0.004</w:t>
            </w:r>
          </w:p>
        </w:tc>
        <w:tc>
          <w:tcPr>
            <w:tcW w:w="351" w:type="pct"/>
            <w:shd w:val="clear" w:color="auto" w:fill="auto"/>
            <w:vAlign w:val="center"/>
          </w:tcPr>
          <w:p w14:paraId="6605BD7B">
            <w:pPr>
              <w:widowControl/>
              <w:jc w:val="center"/>
              <w:rPr>
                <w:kern w:val="0"/>
                <w:sz w:val="21"/>
                <w:szCs w:val="21"/>
              </w:rPr>
            </w:pPr>
            <w:r>
              <w:rPr>
                <w:kern w:val="0"/>
                <w:sz w:val="21"/>
                <w:szCs w:val="21"/>
              </w:rPr>
              <w:t>0.005</w:t>
            </w:r>
          </w:p>
        </w:tc>
        <w:tc>
          <w:tcPr>
            <w:tcW w:w="204" w:type="pct"/>
            <w:shd w:val="clear" w:color="auto" w:fill="auto"/>
            <w:vAlign w:val="center"/>
          </w:tcPr>
          <w:p w14:paraId="747EF5FA">
            <w:pPr>
              <w:widowControl/>
              <w:jc w:val="center"/>
              <w:rPr>
                <w:kern w:val="0"/>
                <w:sz w:val="21"/>
                <w:szCs w:val="21"/>
              </w:rPr>
            </w:pPr>
            <w:r>
              <w:rPr>
                <w:kern w:val="0"/>
                <w:sz w:val="21"/>
                <w:szCs w:val="21"/>
              </w:rPr>
              <w:t>2</w:t>
            </w:r>
          </w:p>
        </w:tc>
        <w:tc>
          <w:tcPr>
            <w:tcW w:w="255" w:type="pct"/>
            <w:shd w:val="clear" w:color="auto" w:fill="auto"/>
            <w:vAlign w:val="center"/>
          </w:tcPr>
          <w:p w14:paraId="3FFCB59E">
            <w:pPr>
              <w:widowControl/>
              <w:jc w:val="center"/>
              <w:rPr>
                <w:kern w:val="0"/>
                <w:sz w:val="21"/>
                <w:szCs w:val="21"/>
              </w:rPr>
            </w:pPr>
            <w:r>
              <w:rPr>
                <w:kern w:val="0"/>
                <w:sz w:val="21"/>
                <w:szCs w:val="21"/>
              </w:rPr>
              <w:t>/</w:t>
            </w:r>
          </w:p>
        </w:tc>
        <w:tc>
          <w:tcPr>
            <w:tcW w:w="203" w:type="pct"/>
            <w:shd w:val="clear" w:color="auto" w:fill="auto"/>
            <w:vAlign w:val="center"/>
          </w:tcPr>
          <w:p w14:paraId="3D45E899">
            <w:pPr>
              <w:widowControl/>
              <w:jc w:val="center"/>
              <w:rPr>
                <w:kern w:val="0"/>
                <w:sz w:val="21"/>
                <w:szCs w:val="21"/>
              </w:rPr>
            </w:pPr>
            <w:r>
              <w:rPr>
                <w:kern w:val="0"/>
                <w:sz w:val="21"/>
                <w:szCs w:val="21"/>
              </w:rPr>
              <w:t>8</w:t>
            </w:r>
          </w:p>
        </w:tc>
        <w:tc>
          <w:tcPr>
            <w:tcW w:w="204" w:type="pct"/>
            <w:shd w:val="clear" w:color="auto" w:fill="auto"/>
            <w:vAlign w:val="center"/>
          </w:tcPr>
          <w:p w14:paraId="775073CA">
            <w:pPr>
              <w:widowControl/>
              <w:jc w:val="center"/>
              <w:rPr>
                <w:kern w:val="0"/>
                <w:sz w:val="21"/>
                <w:szCs w:val="21"/>
              </w:rPr>
            </w:pPr>
            <w:r>
              <w:rPr>
                <w:kern w:val="0"/>
                <w:sz w:val="21"/>
                <w:szCs w:val="21"/>
              </w:rPr>
              <w:t>0.3</w:t>
            </w:r>
          </w:p>
        </w:tc>
        <w:tc>
          <w:tcPr>
            <w:tcW w:w="205" w:type="pct"/>
            <w:shd w:val="clear" w:color="auto" w:fill="auto"/>
            <w:vAlign w:val="center"/>
          </w:tcPr>
          <w:p w14:paraId="020C7A07">
            <w:pPr>
              <w:widowControl/>
              <w:jc w:val="center"/>
              <w:rPr>
                <w:kern w:val="0"/>
                <w:sz w:val="21"/>
                <w:szCs w:val="21"/>
              </w:rPr>
            </w:pPr>
            <w:r>
              <w:rPr>
                <w:kern w:val="0"/>
                <w:sz w:val="21"/>
                <w:szCs w:val="21"/>
              </w:rPr>
              <w:t>40</w:t>
            </w:r>
          </w:p>
        </w:tc>
        <w:tc>
          <w:tcPr>
            <w:tcW w:w="251" w:type="pct"/>
            <w:shd w:val="clear" w:color="auto" w:fill="auto"/>
            <w:vAlign w:val="center"/>
          </w:tcPr>
          <w:p w14:paraId="090FC9F9">
            <w:pPr>
              <w:widowControl/>
              <w:jc w:val="center"/>
              <w:rPr>
                <w:rFonts w:ascii="宋体" w:hAnsi="宋体" w:cs="宋体"/>
                <w:kern w:val="0"/>
                <w:sz w:val="21"/>
                <w:szCs w:val="21"/>
              </w:rPr>
            </w:pPr>
            <w:r>
              <w:rPr>
                <w:rFonts w:hint="eastAsia" w:ascii="宋体" w:hAnsi="宋体" w:cs="宋体"/>
                <w:kern w:val="0"/>
                <w:sz w:val="21"/>
                <w:szCs w:val="21"/>
              </w:rPr>
              <w:t>间歇</w:t>
            </w:r>
          </w:p>
          <w:p w14:paraId="02346058">
            <w:pPr>
              <w:widowControl/>
              <w:jc w:val="center"/>
              <w:rPr>
                <w:kern w:val="0"/>
                <w:sz w:val="21"/>
                <w:szCs w:val="21"/>
              </w:rPr>
            </w:pPr>
            <w:r>
              <w:rPr>
                <w:kern w:val="0"/>
                <w:sz w:val="21"/>
                <w:szCs w:val="21"/>
              </w:rPr>
              <w:t>1200h</w:t>
            </w:r>
          </w:p>
        </w:tc>
      </w:tr>
      <w:tr w14:paraId="7ABE1E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shd w:val="clear" w:color="auto" w:fill="auto"/>
            <w:vAlign w:val="center"/>
          </w:tcPr>
          <w:p w14:paraId="1880FABA">
            <w:pPr>
              <w:widowControl/>
              <w:jc w:val="center"/>
              <w:rPr>
                <w:kern w:val="0"/>
                <w:sz w:val="21"/>
                <w:szCs w:val="21"/>
              </w:rPr>
            </w:pPr>
            <w:r>
              <w:rPr>
                <w:kern w:val="0"/>
                <w:sz w:val="21"/>
                <w:szCs w:val="21"/>
              </w:rPr>
              <w:t>5#</w:t>
            </w:r>
          </w:p>
        </w:tc>
        <w:tc>
          <w:tcPr>
            <w:tcW w:w="280" w:type="pct"/>
            <w:shd w:val="clear" w:color="auto" w:fill="auto"/>
            <w:vAlign w:val="center"/>
          </w:tcPr>
          <w:p w14:paraId="69B22D50">
            <w:pPr>
              <w:widowControl/>
              <w:jc w:val="center"/>
              <w:rPr>
                <w:kern w:val="0"/>
                <w:sz w:val="21"/>
                <w:szCs w:val="21"/>
              </w:rPr>
            </w:pPr>
            <w:r>
              <w:rPr>
                <w:kern w:val="0"/>
                <w:sz w:val="21"/>
                <w:szCs w:val="21"/>
              </w:rPr>
              <w:t>13500</w:t>
            </w:r>
          </w:p>
        </w:tc>
        <w:tc>
          <w:tcPr>
            <w:tcW w:w="219" w:type="pct"/>
            <w:shd w:val="clear" w:color="auto" w:fill="auto"/>
            <w:vAlign w:val="center"/>
          </w:tcPr>
          <w:p w14:paraId="609E4A2E">
            <w:pPr>
              <w:widowControl/>
              <w:jc w:val="center"/>
              <w:rPr>
                <w:rFonts w:ascii="宋体" w:hAnsi="宋体" w:cs="宋体"/>
                <w:kern w:val="0"/>
                <w:sz w:val="21"/>
                <w:szCs w:val="21"/>
              </w:rPr>
            </w:pPr>
            <w:r>
              <w:rPr>
                <w:rFonts w:hint="eastAsia" w:ascii="宋体" w:hAnsi="宋体" w:cs="宋体"/>
                <w:kern w:val="0"/>
                <w:sz w:val="21"/>
                <w:szCs w:val="21"/>
              </w:rPr>
              <w:t>抛丸、喷砂</w:t>
            </w:r>
          </w:p>
        </w:tc>
        <w:tc>
          <w:tcPr>
            <w:tcW w:w="251" w:type="pct"/>
            <w:shd w:val="clear" w:color="auto" w:fill="auto"/>
            <w:vAlign w:val="center"/>
          </w:tcPr>
          <w:p w14:paraId="21E4561D">
            <w:pPr>
              <w:widowControl/>
              <w:jc w:val="center"/>
              <w:rPr>
                <w:rFonts w:ascii="宋体" w:hAnsi="宋体" w:cs="宋体"/>
                <w:kern w:val="0"/>
                <w:sz w:val="21"/>
                <w:szCs w:val="21"/>
              </w:rPr>
            </w:pPr>
            <w:r>
              <w:rPr>
                <w:rFonts w:hint="eastAsia" w:ascii="宋体" w:hAnsi="宋体" w:cs="宋体"/>
                <w:kern w:val="0"/>
                <w:sz w:val="21"/>
                <w:szCs w:val="21"/>
              </w:rPr>
              <w:t>粉尘</w:t>
            </w:r>
          </w:p>
        </w:tc>
        <w:tc>
          <w:tcPr>
            <w:tcW w:w="305" w:type="pct"/>
            <w:shd w:val="clear" w:color="auto" w:fill="auto"/>
            <w:vAlign w:val="center"/>
          </w:tcPr>
          <w:p w14:paraId="6574D307">
            <w:pPr>
              <w:widowControl/>
              <w:jc w:val="center"/>
              <w:rPr>
                <w:kern w:val="0"/>
                <w:sz w:val="21"/>
                <w:szCs w:val="21"/>
              </w:rPr>
            </w:pPr>
            <w:r>
              <w:rPr>
                <w:kern w:val="0"/>
                <w:sz w:val="21"/>
                <w:szCs w:val="21"/>
              </w:rPr>
              <w:t>597.28</w:t>
            </w:r>
          </w:p>
        </w:tc>
        <w:tc>
          <w:tcPr>
            <w:tcW w:w="358" w:type="pct"/>
            <w:shd w:val="clear" w:color="auto" w:fill="auto"/>
            <w:vAlign w:val="center"/>
          </w:tcPr>
          <w:p w14:paraId="780F2427">
            <w:pPr>
              <w:widowControl/>
              <w:jc w:val="center"/>
              <w:rPr>
                <w:kern w:val="0"/>
                <w:sz w:val="21"/>
                <w:szCs w:val="21"/>
              </w:rPr>
            </w:pPr>
            <w:r>
              <w:rPr>
                <w:kern w:val="0"/>
                <w:sz w:val="21"/>
                <w:szCs w:val="21"/>
              </w:rPr>
              <w:t>8.063</w:t>
            </w:r>
          </w:p>
        </w:tc>
        <w:tc>
          <w:tcPr>
            <w:tcW w:w="356" w:type="pct"/>
            <w:shd w:val="clear" w:color="auto" w:fill="auto"/>
            <w:vAlign w:val="center"/>
          </w:tcPr>
          <w:p w14:paraId="757EDAF6">
            <w:pPr>
              <w:widowControl/>
              <w:jc w:val="center"/>
              <w:rPr>
                <w:kern w:val="0"/>
                <w:sz w:val="21"/>
                <w:szCs w:val="21"/>
              </w:rPr>
            </w:pPr>
            <w:r>
              <w:rPr>
                <w:kern w:val="0"/>
                <w:sz w:val="21"/>
                <w:szCs w:val="21"/>
              </w:rPr>
              <w:t>2.419</w:t>
            </w:r>
          </w:p>
        </w:tc>
        <w:tc>
          <w:tcPr>
            <w:tcW w:w="263" w:type="pct"/>
            <w:shd w:val="clear" w:color="auto" w:fill="auto"/>
            <w:vAlign w:val="center"/>
          </w:tcPr>
          <w:p w14:paraId="2F836AA3">
            <w:pPr>
              <w:widowControl/>
              <w:jc w:val="center"/>
              <w:rPr>
                <w:kern w:val="0"/>
                <w:sz w:val="21"/>
                <w:szCs w:val="21"/>
              </w:rPr>
            </w:pPr>
            <w:r>
              <w:rPr>
                <w:rFonts w:hAnsi="宋体"/>
                <w:kern w:val="0"/>
                <w:sz w:val="21"/>
                <w:szCs w:val="21"/>
              </w:rPr>
              <w:t>滤芯脉冲反吹除尘装置</w:t>
            </w:r>
          </w:p>
        </w:tc>
        <w:tc>
          <w:tcPr>
            <w:tcW w:w="177" w:type="pct"/>
            <w:shd w:val="clear" w:color="auto" w:fill="auto"/>
            <w:vAlign w:val="center"/>
          </w:tcPr>
          <w:p w14:paraId="66E2A131">
            <w:pPr>
              <w:widowControl/>
              <w:jc w:val="center"/>
              <w:rPr>
                <w:kern w:val="0"/>
                <w:sz w:val="21"/>
                <w:szCs w:val="21"/>
              </w:rPr>
            </w:pPr>
            <w:r>
              <w:rPr>
                <w:kern w:val="0"/>
                <w:sz w:val="21"/>
                <w:szCs w:val="21"/>
              </w:rPr>
              <w:t>99</w:t>
            </w:r>
          </w:p>
        </w:tc>
        <w:tc>
          <w:tcPr>
            <w:tcW w:w="269" w:type="pct"/>
            <w:shd w:val="clear" w:color="auto" w:fill="auto"/>
            <w:vAlign w:val="center"/>
          </w:tcPr>
          <w:p w14:paraId="4D13E229">
            <w:pPr>
              <w:widowControl/>
              <w:jc w:val="center"/>
              <w:rPr>
                <w:kern w:val="0"/>
                <w:sz w:val="21"/>
                <w:szCs w:val="21"/>
              </w:rPr>
            </w:pPr>
            <w:r>
              <w:rPr>
                <w:rFonts w:hAnsi="宋体"/>
                <w:kern w:val="0"/>
                <w:sz w:val="21"/>
                <w:szCs w:val="21"/>
              </w:rPr>
              <w:t>粉尘</w:t>
            </w:r>
          </w:p>
        </w:tc>
        <w:tc>
          <w:tcPr>
            <w:tcW w:w="302" w:type="pct"/>
            <w:shd w:val="clear" w:color="auto" w:fill="auto"/>
            <w:vAlign w:val="center"/>
          </w:tcPr>
          <w:p w14:paraId="7ED26D34">
            <w:pPr>
              <w:widowControl/>
              <w:jc w:val="center"/>
              <w:rPr>
                <w:kern w:val="0"/>
                <w:sz w:val="21"/>
                <w:szCs w:val="21"/>
              </w:rPr>
            </w:pPr>
            <w:r>
              <w:rPr>
                <w:kern w:val="0"/>
                <w:sz w:val="21"/>
                <w:szCs w:val="21"/>
              </w:rPr>
              <w:t>5.97</w:t>
            </w:r>
          </w:p>
        </w:tc>
        <w:tc>
          <w:tcPr>
            <w:tcW w:w="389" w:type="pct"/>
            <w:shd w:val="clear" w:color="auto" w:fill="auto"/>
            <w:vAlign w:val="center"/>
          </w:tcPr>
          <w:p w14:paraId="5E0D30CE">
            <w:pPr>
              <w:widowControl/>
              <w:jc w:val="center"/>
              <w:rPr>
                <w:kern w:val="0"/>
                <w:sz w:val="21"/>
                <w:szCs w:val="21"/>
              </w:rPr>
            </w:pPr>
            <w:r>
              <w:rPr>
                <w:kern w:val="0"/>
                <w:sz w:val="21"/>
                <w:szCs w:val="21"/>
              </w:rPr>
              <w:t>0.081</w:t>
            </w:r>
          </w:p>
        </w:tc>
        <w:tc>
          <w:tcPr>
            <w:tcW w:w="351" w:type="pct"/>
            <w:shd w:val="clear" w:color="auto" w:fill="auto"/>
            <w:vAlign w:val="center"/>
          </w:tcPr>
          <w:p w14:paraId="4A3B0BF2">
            <w:pPr>
              <w:widowControl/>
              <w:jc w:val="center"/>
              <w:rPr>
                <w:kern w:val="0"/>
                <w:sz w:val="21"/>
                <w:szCs w:val="21"/>
              </w:rPr>
            </w:pPr>
            <w:r>
              <w:rPr>
                <w:kern w:val="0"/>
                <w:sz w:val="21"/>
                <w:szCs w:val="21"/>
              </w:rPr>
              <w:t>0.024</w:t>
            </w:r>
          </w:p>
        </w:tc>
        <w:tc>
          <w:tcPr>
            <w:tcW w:w="204" w:type="pct"/>
            <w:shd w:val="clear" w:color="auto" w:fill="auto"/>
            <w:vAlign w:val="center"/>
          </w:tcPr>
          <w:p w14:paraId="1120F3B6">
            <w:pPr>
              <w:widowControl/>
              <w:snapToGrid w:val="0"/>
              <w:jc w:val="center"/>
              <w:rPr>
                <w:kern w:val="0"/>
                <w:sz w:val="21"/>
                <w:szCs w:val="21"/>
              </w:rPr>
            </w:pPr>
            <w:r>
              <w:rPr>
                <w:rFonts w:hint="eastAsia"/>
                <w:kern w:val="0"/>
                <w:sz w:val="21"/>
                <w:szCs w:val="21"/>
              </w:rPr>
              <w:t>20</w:t>
            </w:r>
          </w:p>
        </w:tc>
        <w:tc>
          <w:tcPr>
            <w:tcW w:w="255" w:type="pct"/>
            <w:shd w:val="clear" w:color="auto" w:fill="auto"/>
            <w:vAlign w:val="center"/>
          </w:tcPr>
          <w:p w14:paraId="339BA658">
            <w:pPr>
              <w:pStyle w:val="55"/>
              <w:snapToGrid w:val="0"/>
              <w:ind w:right="0" w:rightChars="0"/>
              <w:rPr>
                <w:rFonts w:ascii="Times New Roman" w:hAnsi="Times New Roman"/>
                <w:sz w:val="21"/>
                <w:szCs w:val="21"/>
              </w:rPr>
            </w:pPr>
            <w:r>
              <w:rPr>
                <w:rFonts w:hint="eastAsia" w:ascii="Times New Roman" w:hAnsi="Times New Roman"/>
                <w:sz w:val="21"/>
                <w:szCs w:val="21"/>
              </w:rPr>
              <w:t>1</w:t>
            </w:r>
          </w:p>
        </w:tc>
        <w:tc>
          <w:tcPr>
            <w:tcW w:w="203" w:type="pct"/>
            <w:shd w:val="clear" w:color="auto" w:fill="auto"/>
            <w:vAlign w:val="center"/>
          </w:tcPr>
          <w:p w14:paraId="25592388">
            <w:pPr>
              <w:widowControl/>
              <w:jc w:val="center"/>
              <w:rPr>
                <w:kern w:val="0"/>
                <w:sz w:val="21"/>
                <w:szCs w:val="21"/>
              </w:rPr>
            </w:pPr>
            <w:r>
              <w:rPr>
                <w:kern w:val="0"/>
                <w:sz w:val="21"/>
                <w:szCs w:val="21"/>
              </w:rPr>
              <w:t>15</w:t>
            </w:r>
          </w:p>
        </w:tc>
        <w:tc>
          <w:tcPr>
            <w:tcW w:w="204" w:type="pct"/>
            <w:shd w:val="clear" w:color="auto" w:fill="auto"/>
            <w:vAlign w:val="center"/>
          </w:tcPr>
          <w:p w14:paraId="5C60595C">
            <w:pPr>
              <w:widowControl/>
              <w:jc w:val="center"/>
              <w:rPr>
                <w:kern w:val="0"/>
                <w:sz w:val="21"/>
                <w:szCs w:val="21"/>
              </w:rPr>
            </w:pPr>
            <w:r>
              <w:rPr>
                <w:kern w:val="0"/>
                <w:sz w:val="21"/>
                <w:szCs w:val="21"/>
              </w:rPr>
              <w:t>0.5</w:t>
            </w:r>
          </w:p>
        </w:tc>
        <w:tc>
          <w:tcPr>
            <w:tcW w:w="205" w:type="pct"/>
            <w:shd w:val="clear" w:color="auto" w:fill="auto"/>
            <w:vAlign w:val="center"/>
          </w:tcPr>
          <w:p w14:paraId="141E14EE">
            <w:pPr>
              <w:widowControl/>
              <w:jc w:val="center"/>
              <w:rPr>
                <w:kern w:val="0"/>
                <w:sz w:val="21"/>
                <w:szCs w:val="21"/>
              </w:rPr>
            </w:pPr>
            <w:r>
              <w:rPr>
                <w:kern w:val="0"/>
                <w:sz w:val="21"/>
                <w:szCs w:val="21"/>
              </w:rPr>
              <w:t>2</w:t>
            </w:r>
            <w:r>
              <w:rPr>
                <w:rFonts w:hint="eastAsia"/>
                <w:kern w:val="0"/>
                <w:sz w:val="21"/>
                <w:szCs w:val="21"/>
              </w:rPr>
              <w:t>5</w:t>
            </w:r>
          </w:p>
        </w:tc>
        <w:tc>
          <w:tcPr>
            <w:tcW w:w="251" w:type="pct"/>
            <w:shd w:val="clear" w:color="auto" w:fill="auto"/>
            <w:vAlign w:val="center"/>
          </w:tcPr>
          <w:p w14:paraId="4FB73582">
            <w:pPr>
              <w:widowControl/>
              <w:jc w:val="center"/>
              <w:rPr>
                <w:rFonts w:ascii="宋体" w:hAnsi="宋体" w:cs="宋体"/>
                <w:kern w:val="0"/>
                <w:sz w:val="21"/>
                <w:szCs w:val="21"/>
              </w:rPr>
            </w:pPr>
            <w:r>
              <w:rPr>
                <w:rFonts w:hint="eastAsia" w:ascii="宋体" w:hAnsi="宋体" w:cs="宋体"/>
                <w:kern w:val="0"/>
                <w:sz w:val="21"/>
                <w:szCs w:val="21"/>
              </w:rPr>
              <w:t>间歇</w:t>
            </w:r>
            <w:r>
              <w:rPr>
                <w:kern w:val="0"/>
                <w:sz w:val="21"/>
                <w:szCs w:val="21"/>
              </w:rPr>
              <w:t>300h</w:t>
            </w:r>
          </w:p>
        </w:tc>
      </w:tr>
      <w:tr w14:paraId="23DD7E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restart"/>
            <w:shd w:val="clear" w:color="auto" w:fill="auto"/>
            <w:vAlign w:val="center"/>
          </w:tcPr>
          <w:p w14:paraId="57AB8F78">
            <w:pPr>
              <w:widowControl/>
              <w:jc w:val="center"/>
              <w:rPr>
                <w:kern w:val="0"/>
                <w:sz w:val="21"/>
                <w:szCs w:val="21"/>
              </w:rPr>
            </w:pPr>
            <w:r>
              <w:rPr>
                <w:kern w:val="0"/>
                <w:sz w:val="21"/>
                <w:szCs w:val="21"/>
              </w:rPr>
              <w:t>6#</w:t>
            </w:r>
          </w:p>
        </w:tc>
        <w:tc>
          <w:tcPr>
            <w:tcW w:w="280" w:type="pct"/>
            <w:vMerge w:val="restart"/>
            <w:shd w:val="clear" w:color="auto" w:fill="auto"/>
            <w:vAlign w:val="center"/>
          </w:tcPr>
          <w:p w14:paraId="2263852F">
            <w:pPr>
              <w:widowControl/>
              <w:jc w:val="center"/>
              <w:rPr>
                <w:kern w:val="0"/>
                <w:sz w:val="21"/>
                <w:szCs w:val="21"/>
              </w:rPr>
            </w:pPr>
            <w:r>
              <w:rPr>
                <w:kern w:val="0"/>
                <w:sz w:val="21"/>
                <w:szCs w:val="21"/>
              </w:rPr>
              <w:t>50000</w:t>
            </w:r>
          </w:p>
        </w:tc>
        <w:tc>
          <w:tcPr>
            <w:tcW w:w="219" w:type="pct"/>
            <w:vMerge w:val="restart"/>
            <w:shd w:val="clear" w:color="auto" w:fill="auto"/>
            <w:noWrap/>
            <w:vAlign w:val="center"/>
          </w:tcPr>
          <w:p w14:paraId="5992947E">
            <w:pPr>
              <w:jc w:val="center"/>
              <w:rPr>
                <w:kern w:val="0"/>
                <w:sz w:val="21"/>
                <w:szCs w:val="21"/>
              </w:rPr>
            </w:pPr>
            <w:r>
              <w:rPr>
                <w:rFonts w:hint="eastAsia" w:ascii="宋体" w:hAnsi="宋体" w:cs="宋体"/>
                <w:kern w:val="0"/>
                <w:sz w:val="21"/>
                <w:szCs w:val="21"/>
              </w:rPr>
              <w:t>喷、浸、涂胶及干燥</w:t>
            </w:r>
          </w:p>
        </w:tc>
        <w:tc>
          <w:tcPr>
            <w:tcW w:w="251" w:type="pct"/>
            <w:shd w:val="clear" w:color="auto" w:fill="auto"/>
            <w:noWrap/>
            <w:vAlign w:val="center"/>
          </w:tcPr>
          <w:p w14:paraId="0D056776">
            <w:pPr>
              <w:widowControl/>
              <w:jc w:val="center"/>
              <w:rPr>
                <w:rFonts w:ascii="宋体" w:hAnsi="宋体" w:cs="宋体"/>
                <w:kern w:val="0"/>
                <w:sz w:val="21"/>
                <w:szCs w:val="21"/>
              </w:rPr>
            </w:pPr>
            <w:r>
              <w:rPr>
                <w:rFonts w:hint="eastAsia" w:ascii="宋体" w:hAnsi="宋体" w:cs="宋体"/>
                <w:kern w:val="0"/>
                <w:sz w:val="21"/>
                <w:szCs w:val="21"/>
              </w:rPr>
              <w:t>二甲苯</w:t>
            </w:r>
          </w:p>
        </w:tc>
        <w:tc>
          <w:tcPr>
            <w:tcW w:w="305" w:type="pct"/>
            <w:shd w:val="clear" w:color="auto" w:fill="auto"/>
            <w:noWrap/>
            <w:vAlign w:val="center"/>
          </w:tcPr>
          <w:p w14:paraId="1A7217B5">
            <w:pPr>
              <w:widowControl/>
              <w:snapToGrid w:val="0"/>
              <w:jc w:val="center"/>
              <w:rPr>
                <w:kern w:val="0"/>
                <w:sz w:val="21"/>
                <w:szCs w:val="21"/>
              </w:rPr>
            </w:pPr>
            <w:r>
              <w:rPr>
                <w:kern w:val="0"/>
                <w:sz w:val="21"/>
                <w:szCs w:val="21"/>
              </w:rPr>
              <w:t>3.16</w:t>
            </w:r>
          </w:p>
        </w:tc>
        <w:tc>
          <w:tcPr>
            <w:tcW w:w="358" w:type="pct"/>
            <w:shd w:val="clear" w:color="auto" w:fill="auto"/>
            <w:noWrap/>
            <w:vAlign w:val="center"/>
          </w:tcPr>
          <w:p w14:paraId="71E1CFBA">
            <w:pPr>
              <w:widowControl/>
              <w:snapToGrid w:val="0"/>
              <w:jc w:val="center"/>
              <w:rPr>
                <w:kern w:val="0"/>
                <w:sz w:val="21"/>
                <w:szCs w:val="21"/>
              </w:rPr>
            </w:pPr>
            <w:r>
              <w:rPr>
                <w:kern w:val="0"/>
                <w:sz w:val="21"/>
                <w:szCs w:val="21"/>
              </w:rPr>
              <w:t>0.158</w:t>
            </w:r>
          </w:p>
        </w:tc>
        <w:tc>
          <w:tcPr>
            <w:tcW w:w="356" w:type="pct"/>
            <w:shd w:val="clear" w:color="auto" w:fill="auto"/>
            <w:noWrap/>
            <w:vAlign w:val="center"/>
          </w:tcPr>
          <w:p w14:paraId="4D1402C2">
            <w:pPr>
              <w:widowControl/>
              <w:snapToGrid w:val="0"/>
              <w:jc w:val="center"/>
              <w:rPr>
                <w:kern w:val="0"/>
                <w:sz w:val="21"/>
                <w:szCs w:val="21"/>
              </w:rPr>
            </w:pPr>
            <w:r>
              <w:rPr>
                <w:kern w:val="0"/>
                <w:sz w:val="21"/>
                <w:szCs w:val="21"/>
              </w:rPr>
              <w:t>0.76</w:t>
            </w:r>
          </w:p>
        </w:tc>
        <w:tc>
          <w:tcPr>
            <w:tcW w:w="263" w:type="pct"/>
            <w:vMerge w:val="restart"/>
            <w:shd w:val="clear" w:color="auto" w:fill="auto"/>
            <w:vAlign w:val="center"/>
          </w:tcPr>
          <w:p w14:paraId="4382E1BD">
            <w:pPr>
              <w:widowControl/>
              <w:jc w:val="center"/>
              <w:rPr>
                <w:rFonts w:ascii="宋体" w:hAnsi="宋体" w:cs="宋体"/>
                <w:kern w:val="0"/>
                <w:sz w:val="21"/>
                <w:szCs w:val="21"/>
              </w:rPr>
            </w:pPr>
            <w:r>
              <w:rPr>
                <w:rFonts w:hint="eastAsia" w:ascii="宋体" w:hAnsi="宋体" w:cs="宋体"/>
                <w:kern w:val="0"/>
                <w:sz w:val="21"/>
                <w:szCs w:val="21"/>
              </w:rPr>
              <w:t>二级活性炭吸附装置</w:t>
            </w:r>
          </w:p>
        </w:tc>
        <w:tc>
          <w:tcPr>
            <w:tcW w:w="177" w:type="pct"/>
            <w:shd w:val="clear" w:color="auto" w:fill="auto"/>
            <w:vAlign w:val="center"/>
          </w:tcPr>
          <w:p w14:paraId="52F628CC">
            <w:pPr>
              <w:widowControl/>
              <w:jc w:val="center"/>
              <w:rPr>
                <w:kern w:val="0"/>
                <w:sz w:val="21"/>
                <w:szCs w:val="21"/>
              </w:rPr>
            </w:pPr>
            <w:r>
              <w:rPr>
                <w:kern w:val="0"/>
                <w:sz w:val="21"/>
                <w:szCs w:val="21"/>
              </w:rPr>
              <w:t>90</w:t>
            </w:r>
          </w:p>
        </w:tc>
        <w:tc>
          <w:tcPr>
            <w:tcW w:w="269" w:type="pct"/>
            <w:shd w:val="clear" w:color="auto" w:fill="auto"/>
            <w:vAlign w:val="center"/>
          </w:tcPr>
          <w:p w14:paraId="35A79DC1">
            <w:pPr>
              <w:widowControl/>
              <w:jc w:val="center"/>
              <w:rPr>
                <w:rFonts w:ascii="宋体" w:hAnsi="宋体" w:cs="宋体"/>
                <w:kern w:val="0"/>
                <w:sz w:val="21"/>
                <w:szCs w:val="21"/>
              </w:rPr>
            </w:pPr>
            <w:r>
              <w:rPr>
                <w:rFonts w:hint="eastAsia" w:ascii="宋体" w:hAnsi="宋体" w:cs="宋体"/>
                <w:kern w:val="0"/>
                <w:sz w:val="21"/>
                <w:szCs w:val="21"/>
              </w:rPr>
              <w:t>二甲苯</w:t>
            </w:r>
          </w:p>
        </w:tc>
        <w:tc>
          <w:tcPr>
            <w:tcW w:w="302" w:type="pct"/>
            <w:shd w:val="clear" w:color="auto" w:fill="auto"/>
            <w:vAlign w:val="center"/>
          </w:tcPr>
          <w:p w14:paraId="23989B50">
            <w:pPr>
              <w:widowControl/>
              <w:snapToGrid w:val="0"/>
              <w:jc w:val="center"/>
              <w:rPr>
                <w:kern w:val="0"/>
                <w:sz w:val="21"/>
                <w:szCs w:val="21"/>
              </w:rPr>
            </w:pPr>
            <w:r>
              <w:rPr>
                <w:kern w:val="0"/>
                <w:sz w:val="21"/>
                <w:szCs w:val="21"/>
              </w:rPr>
              <w:t>0.3</w:t>
            </w:r>
          </w:p>
        </w:tc>
        <w:tc>
          <w:tcPr>
            <w:tcW w:w="389" w:type="pct"/>
            <w:shd w:val="clear" w:color="auto" w:fill="auto"/>
            <w:vAlign w:val="center"/>
          </w:tcPr>
          <w:p w14:paraId="33F4CEF1">
            <w:pPr>
              <w:widowControl/>
              <w:snapToGrid w:val="0"/>
              <w:jc w:val="center"/>
              <w:rPr>
                <w:kern w:val="0"/>
                <w:sz w:val="21"/>
                <w:szCs w:val="21"/>
              </w:rPr>
            </w:pPr>
            <w:r>
              <w:rPr>
                <w:kern w:val="0"/>
                <w:sz w:val="21"/>
                <w:szCs w:val="21"/>
              </w:rPr>
              <w:t>0.0158</w:t>
            </w:r>
          </w:p>
        </w:tc>
        <w:tc>
          <w:tcPr>
            <w:tcW w:w="351" w:type="pct"/>
            <w:shd w:val="clear" w:color="auto" w:fill="auto"/>
            <w:vAlign w:val="center"/>
          </w:tcPr>
          <w:p w14:paraId="312E02F1">
            <w:pPr>
              <w:widowControl/>
              <w:snapToGrid w:val="0"/>
              <w:jc w:val="center"/>
              <w:rPr>
                <w:kern w:val="0"/>
                <w:sz w:val="21"/>
                <w:szCs w:val="21"/>
              </w:rPr>
            </w:pPr>
            <w:r>
              <w:rPr>
                <w:kern w:val="0"/>
                <w:sz w:val="21"/>
                <w:szCs w:val="21"/>
              </w:rPr>
              <w:t>0.076</w:t>
            </w:r>
          </w:p>
        </w:tc>
        <w:tc>
          <w:tcPr>
            <w:tcW w:w="204" w:type="pct"/>
            <w:shd w:val="clear" w:color="auto" w:fill="auto"/>
            <w:vAlign w:val="center"/>
          </w:tcPr>
          <w:p w14:paraId="0D43BAAC">
            <w:pPr>
              <w:widowControl/>
              <w:snapToGrid w:val="0"/>
              <w:jc w:val="center"/>
              <w:rPr>
                <w:kern w:val="0"/>
                <w:sz w:val="21"/>
                <w:szCs w:val="21"/>
              </w:rPr>
            </w:pPr>
            <w:r>
              <w:rPr>
                <w:rFonts w:hint="eastAsia"/>
                <w:kern w:val="0"/>
                <w:sz w:val="21"/>
                <w:szCs w:val="21"/>
              </w:rPr>
              <w:t>15</w:t>
            </w:r>
          </w:p>
        </w:tc>
        <w:tc>
          <w:tcPr>
            <w:tcW w:w="255" w:type="pct"/>
            <w:shd w:val="clear" w:color="auto" w:fill="auto"/>
            <w:vAlign w:val="center"/>
          </w:tcPr>
          <w:p w14:paraId="36C7D31A">
            <w:pPr>
              <w:pStyle w:val="55"/>
              <w:snapToGrid w:val="0"/>
              <w:ind w:right="0" w:rightChars="0"/>
              <w:rPr>
                <w:rFonts w:ascii="Times New Roman" w:hAnsi="Times New Roman"/>
                <w:sz w:val="21"/>
                <w:szCs w:val="21"/>
              </w:rPr>
            </w:pPr>
            <w:r>
              <w:rPr>
                <w:rFonts w:ascii="Times New Roman" w:hAnsi="Times New Roman"/>
                <w:sz w:val="21"/>
                <w:szCs w:val="21"/>
              </w:rPr>
              <w:t>/</w:t>
            </w:r>
          </w:p>
        </w:tc>
        <w:tc>
          <w:tcPr>
            <w:tcW w:w="203" w:type="pct"/>
            <w:vMerge w:val="restart"/>
            <w:shd w:val="clear" w:color="auto" w:fill="auto"/>
            <w:vAlign w:val="center"/>
          </w:tcPr>
          <w:p w14:paraId="7401636E">
            <w:pPr>
              <w:widowControl/>
              <w:jc w:val="center"/>
              <w:rPr>
                <w:kern w:val="0"/>
                <w:sz w:val="21"/>
                <w:szCs w:val="21"/>
              </w:rPr>
            </w:pPr>
            <w:r>
              <w:rPr>
                <w:kern w:val="0"/>
                <w:sz w:val="21"/>
                <w:szCs w:val="21"/>
              </w:rPr>
              <w:t>15</w:t>
            </w:r>
          </w:p>
        </w:tc>
        <w:tc>
          <w:tcPr>
            <w:tcW w:w="204" w:type="pct"/>
            <w:vMerge w:val="restart"/>
            <w:shd w:val="clear" w:color="auto" w:fill="auto"/>
            <w:vAlign w:val="center"/>
          </w:tcPr>
          <w:p w14:paraId="2CD5209B">
            <w:pPr>
              <w:widowControl/>
              <w:jc w:val="center"/>
              <w:rPr>
                <w:kern w:val="0"/>
                <w:sz w:val="21"/>
                <w:szCs w:val="21"/>
              </w:rPr>
            </w:pPr>
            <w:r>
              <w:rPr>
                <w:rFonts w:hint="eastAsia"/>
                <w:kern w:val="0"/>
                <w:sz w:val="21"/>
                <w:szCs w:val="21"/>
              </w:rPr>
              <w:t>1.0</w:t>
            </w:r>
          </w:p>
        </w:tc>
        <w:tc>
          <w:tcPr>
            <w:tcW w:w="205" w:type="pct"/>
            <w:vMerge w:val="restart"/>
            <w:shd w:val="clear" w:color="auto" w:fill="auto"/>
            <w:vAlign w:val="center"/>
          </w:tcPr>
          <w:p w14:paraId="46F9A62A">
            <w:pPr>
              <w:widowControl/>
              <w:jc w:val="center"/>
              <w:rPr>
                <w:kern w:val="0"/>
                <w:sz w:val="21"/>
                <w:szCs w:val="21"/>
              </w:rPr>
            </w:pPr>
            <w:r>
              <w:rPr>
                <w:kern w:val="0"/>
                <w:sz w:val="21"/>
                <w:szCs w:val="21"/>
              </w:rPr>
              <w:t>40</w:t>
            </w:r>
          </w:p>
        </w:tc>
        <w:tc>
          <w:tcPr>
            <w:tcW w:w="251" w:type="pct"/>
            <w:vMerge w:val="restart"/>
            <w:shd w:val="clear" w:color="auto" w:fill="auto"/>
            <w:vAlign w:val="center"/>
          </w:tcPr>
          <w:p w14:paraId="67B3A836">
            <w:pPr>
              <w:widowControl/>
              <w:jc w:val="center"/>
              <w:rPr>
                <w:rFonts w:ascii="宋体" w:hAnsi="宋体" w:cs="宋体"/>
                <w:kern w:val="0"/>
                <w:sz w:val="21"/>
                <w:szCs w:val="21"/>
              </w:rPr>
            </w:pPr>
            <w:r>
              <w:rPr>
                <w:rFonts w:hint="eastAsia" w:ascii="宋体" w:hAnsi="宋体" w:cs="宋体"/>
                <w:kern w:val="0"/>
                <w:sz w:val="21"/>
                <w:szCs w:val="21"/>
              </w:rPr>
              <w:t>间歇</w:t>
            </w:r>
            <w:r>
              <w:rPr>
                <w:kern w:val="0"/>
                <w:sz w:val="21"/>
                <w:szCs w:val="21"/>
              </w:rPr>
              <w:t>4800h</w:t>
            </w:r>
          </w:p>
        </w:tc>
      </w:tr>
      <w:tr w14:paraId="307928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 w:type="pct"/>
            <w:vMerge w:val="continue"/>
            <w:vAlign w:val="center"/>
          </w:tcPr>
          <w:p w14:paraId="587DF14F">
            <w:pPr>
              <w:widowControl/>
              <w:jc w:val="center"/>
              <w:rPr>
                <w:kern w:val="0"/>
                <w:sz w:val="21"/>
                <w:szCs w:val="21"/>
              </w:rPr>
            </w:pPr>
          </w:p>
        </w:tc>
        <w:tc>
          <w:tcPr>
            <w:tcW w:w="280" w:type="pct"/>
            <w:vMerge w:val="continue"/>
            <w:vAlign w:val="center"/>
          </w:tcPr>
          <w:p w14:paraId="2D14E41B">
            <w:pPr>
              <w:widowControl/>
              <w:jc w:val="center"/>
              <w:rPr>
                <w:kern w:val="0"/>
                <w:sz w:val="21"/>
                <w:szCs w:val="21"/>
              </w:rPr>
            </w:pPr>
          </w:p>
        </w:tc>
        <w:tc>
          <w:tcPr>
            <w:tcW w:w="219" w:type="pct"/>
            <w:vMerge w:val="continue"/>
            <w:shd w:val="clear" w:color="auto" w:fill="auto"/>
            <w:vAlign w:val="center"/>
          </w:tcPr>
          <w:p w14:paraId="7D1366E0">
            <w:pPr>
              <w:widowControl/>
              <w:jc w:val="center"/>
              <w:rPr>
                <w:rFonts w:ascii="宋体" w:hAnsi="宋体" w:cs="宋体"/>
                <w:kern w:val="0"/>
                <w:sz w:val="21"/>
                <w:szCs w:val="21"/>
              </w:rPr>
            </w:pPr>
          </w:p>
        </w:tc>
        <w:tc>
          <w:tcPr>
            <w:tcW w:w="251" w:type="pct"/>
            <w:shd w:val="clear" w:color="auto" w:fill="auto"/>
            <w:vAlign w:val="center"/>
          </w:tcPr>
          <w:p w14:paraId="1D5FC946">
            <w:pPr>
              <w:widowControl/>
              <w:jc w:val="center"/>
              <w:rPr>
                <w:rFonts w:ascii="宋体" w:hAnsi="宋体" w:cs="宋体"/>
                <w:kern w:val="0"/>
                <w:sz w:val="21"/>
                <w:szCs w:val="21"/>
              </w:rPr>
            </w:pPr>
            <w:r>
              <w:rPr>
                <w:rFonts w:hint="eastAsia" w:ascii="宋体" w:hAnsi="宋体" w:cs="宋体"/>
                <w:kern w:val="0"/>
                <w:sz w:val="21"/>
                <w:szCs w:val="21"/>
              </w:rPr>
              <w:t>乙苯</w:t>
            </w:r>
          </w:p>
        </w:tc>
        <w:tc>
          <w:tcPr>
            <w:tcW w:w="305" w:type="pct"/>
            <w:shd w:val="clear" w:color="auto" w:fill="auto"/>
            <w:vAlign w:val="center"/>
          </w:tcPr>
          <w:p w14:paraId="32A80D3A">
            <w:pPr>
              <w:widowControl/>
              <w:snapToGrid w:val="0"/>
              <w:jc w:val="center"/>
              <w:rPr>
                <w:kern w:val="0"/>
                <w:sz w:val="21"/>
                <w:szCs w:val="21"/>
              </w:rPr>
            </w:pPr>
            <w:r>
              <w:rPr>
                <w:kern w:val="0"/>
                <w:sz w:val="21"/>
                <w:szCs w:val="21"/>
              </w:rPr>
              <w:t>1.18</w:t>
            </w:r>
          </w:p>
        </w:tc>
        <w:tc>
          <w:tcPr>
            <w:tcW w:w="358" w:type="pct"/>
            <w:shd w:val="clear" w:color="auto" w:fill="auto"/>
            <w:vAlign w:val="center"/>
          </w:tcPr>
          <w:p w14:paraId="5E87F3DF">
            <w:pPr>
              <w:widowControl/>
              <w:snapToGrid w:val="0"/>
              <w:jc w:val="center"/>
              <w:rPr>
                <w:kern w:val="0"/>
                <w:sz w:val="21"/>
                <w:szCs w:val="21"/>
              </w:rPr>
            </w:pPr>
            <w:r>
              <w:rPr>
                <w:kern w:val="0"/>
                <w:sz w:val="21"/>
                <w:szCs w:val="21"/>
              </w:rPr>
              <w:t>0.059</w:t>
            </w:r>
          </w:p>
        </w:tc>
        <w:tc>
          <w:tcPr>
            <w:tcW w:w="356" w:type="pct"/>
            <w:shd w:val="clear" w:color="auto" w:fill="auto"/>
            <w:noWrap/>
            <w:vAlign w:val="center"/>
          </w:tcPr>
          <w:p w14:paraId="3E9493B3">
            <w:pPr>
              <w:widowControl/>
              <w:snapToGrid w:val="0"/>
              <w:jc w:val="center"/>
              <w:rPr>
                <w:kern w:val="0"/>
                <w:sz w:val="21"/>
                <w:szCs w:val="21"/>
              </w:rPr>
            </w:pPr>
            <w:r>
              <w:rPr>
                <w:kern w:val="0"/>
                <w:sz w:val="21"/>
                <w:szCs w:val="21"/>
              </w:rPr>
              <w:t>0.285</w:t>
            </w:r>
          </w:p>
        </w:tc>
        <w:tc>
          <w:tcPr>
            <w:tcW w:w="263" w:type="pct"/>
            <w:vMerge w:val="continue"/>
            <w:vAlign w:val="center"/>
          </w:tcPr>
          <w:p w14:paraId="75A6A8F7">
            <w:pPr>
              <w:widowControl/>
              <w:jc w:val="center"/>
              <w:rPr>
                <w:rFonts w:ascii="宋体" w:hAnsi="宋体" w:cs="宋体"/>
                <w:kern w:val="0"/>
                <w:sz w:val="21"/>
                <w:szCs w:val="21"/>
              </w:rPr>
            </w:pPr>
          </w:p>
        </w:tc>
        <w:tc>
          <w:tcPr>
            <w:tcW w:w="177" w:type="pct"/>
            <w:shd w:val="clear" w:color="auto" w:fill="auto"/>
            <w:vAlign w:val="center"/>
          </w:tcPr>
          <w:p w14:paraId="385553F9">
            <w:pPr>
              <w:widowControl/>
              <w:jc w:val="center"/>
              <w:rPr>
                <w:kern w:val="0"/>
                <w:sz w:val="21"/>
                <w:szCs w:val="21"/>
              </w:rPr>
            </w:pPr>
            <w:r>
              <w:rPr>
                <w:kern w:val="0"/>
                <w:sz w:val="21"/>
                <w:szCs w:val="21"/>
              </w:rPr>
              <w:t>90</w:t>
            </w:r>
          </w:p>
        </w:tc>
        <w:tc>
          <w:tcPr>
            <w:tcW w:w="269" w:type="pct"/>
            <w:shd w:val="clear" w:color="auto" w:fill="auto"/>
            <w:vAlign w:val="center"/>
          </w:tcPr>
          <w:p w14:paraId="28F17A52">
            <w:pPr>
              <w:widowControl/>
              <w:jc w:val="center"/>
              <w:rPr>
                <w:rFonts w:ascii="宋体" w:hAnsi="宋体" w:cs="宋体"/>
                <w:kern w:val="0"/>
                <w:sz w:val="21"/>
                <w:szCs w:val="21"/>
              </w:rPr>
            </w:pPr>
            <w:r>
              <w:rPr>
                <w:rFonts w:hint="eastAsia" w:ascii="宋体" w:hAnsi="宋体" w:cs="宋体"/>
                <w:kern w:val="0"/>
                <w:sz w:val="21"/>
                <w:szCs w:val="21"/>
              </w:rPr>
              <w:t>乙苯</w:t>
            </w:r>
          </w:p>
        </w:tc>
        <w:tc>
          <w:tcPr>
            <w:tcW w:w="302" w:type="pct"/>
            <w:shd w:val="clear" w:color="auto" w:fill="auto"/>
            <w:vAlign w:val="center"/>
          </w:tcPr>
          <w:p w14:paraId="48DDE67E">
            <w:pPr>
              <w:widowControl/>
              <w:snapToGrid w:val="0"/>
              <w:jc w:val="center"/>
              <w:rPr>
                <w:kern w:val="0"/>
                <w:sz w:val="21"/>
                <w:szCs w:val="21"/>
              </w:rPr>
            </w:pPr>
            <w:r>
              <w:rPr>
                <w:kern w:val="0"/>
                <w:sz w:val="21"/>
                <w:szCs w:val="21"/>
              </w:rPr>
              <w:t>0.1</w:t>
            </w:r>
          </w:p>
        </w:tc>
        <w:tc>
          <w:tcPr>
            <w:tcW w:w="389" w:type="pct"/>
            <w:shd w:val="clear" w:color="auto" w:fill="auto"/>
            <w:vAlign w:val="center"/>
          </w:tcPr>
          <w:p w14:paraId="796A6B7C">
            <w:pPr>
              <w:widowControl/>
              <w:snapToGrid w:val="0"/>
              <w:jc w:val="center"/>
              <w:rPr>
                <w:kern w:val="0"/>
                <w:sz w:val="21"/>
                <w:szCs w:val="21"/>
              </w:rPr>
            </w:pPr>
            <w:r>
              <w:rPr>
                <w:kern w:val="0"/>
                <w:sz w:val="21"/>
                <w:szCs w:val="21"/>
              </w:rPr>
              <w:t>0.0059</w:t>
            </w:r>
          </w:p>
        </w:tc>
        <w:tc>
          <w:tcPr>
            <w:tcW w:w="351" w:type="pct"/>
            <w:shd w:val="clear" w:color="auto" w:fill="auto"/>
            <w:vAlign w:val="center"/>
          </w:tcPr>
          <w:p w14:paraId="1AE8C222">
            <w:pPr>
              <w:widowControl/>
              <w:snapToGrid w:val="0"/>
              <w:jc w:val="center"/>
              <w:rPr>
                <w:kern w:val="0"/>
                <w:sz w:val="21"/>
                <w:szCs w:val="21"/>
              </w:rPr>
            </w:pPr>
            <w:r>
              <w:rPr>
                <w:kern w:val="0"/>
                <w:sz w:val="21"/>
                <w:szCs w:val="21"/>
              </w:rPr>
              <w:t>0.0285</w:t>
            </w:r>
          </w:p>
        </w:tc>
        <w:tc>
          <w:tcPr>
            <w:tcW w:w="204" w:type="pct"/>
            <w:shd w:val="clear" w:color="auto" w:fill="auto"/>
            <w:vAlign w:val="center"/>
          </w:tcPr>
          <w:p w14:paraId="41A3266C">
            <w:pPr>
              <w:widowControl/>
              <w:snapToGrid w:val="0"/>
              <w:jc w:val="center"/>
              <w:rPr>
                <w:kern w:val="0"/>
                <w:sz w:val="21"/>
                <w:szCs w:val="21"/>
              </w:rPr>
            </w:pPr>
            <w:r>
              <w:rPr>
                <w:rFonts w:hint="eastAsia"/>
                <w:kern w:val="0"/>
                <w:sz w:val="21"/>
                <w:szCs w:val="21"/>
              </w:rPr>
              <w:t>100</w:t>
            </w:r>
          </w:p>
        </w:tc>
        <w:tc>
          <w:tcPr>
            <w:tcW w:w="255" w:type="pct"/>
            <w:shd w:val="clear" w:color="auto" w:fill="auto"/>
            <w:vAlign w:val="center"/>
          </w:tcPr>
          <w:p w14:paraId="01892EF1">
            <w:pPr>
              <w:widowControl/>
              <w:snapToGrid w:val="0"/>
              <w:jc w:val="center"/>
              <w:rPr>
                <w:kern w:val="0"/>
                <w:sz w:val="21"/>
                <w:szCs w:val="21"/>
              </w:rPr>
            </w:pPr>
            <w:r>
              <w:rPr>
                <w:rFonts w:hint="eastAsia"/>
                <w:kern w:val="0"/>
                <w:sz w:val="21"/>
                <w:szCs w:val="21"/>
              </w:rPr>
              <w:t>0.12</w:t>
            </w:r>
          </w:p>
        </w:tc>
        <w:tc>
          <w:tcPr>
            <w:tcW w:w="203" w:type="pct"/>
            <w:vMerge w:val="continue"/>
            <w:vAlign w:val="center"/>
          </w:tcPr>
          <w:p w14:paraId="40ACB4CC">
            <w:pPr>
              <w:widowControl/>
              <w:jc w:val="center"/>
              <w:rPr>
                <w:kern w:val="0"/>
                <w:sz w:val="21"/>
                <w:szCs w:val="21"/>
              </w:rPr>
            </w:pPr>
          </w:p>
        </w:tc>
        <w:tc>
          <w:tcPr>
            <w:tcW w:w="204" w:type="pct"/>
            <w:vMerge w:val="continue"/>
            <w:vAlign w:val="center"/>
          </w:tcPr>
          <w:p w14:paraId="109F469C">
            <w:pPr>
              <w:widowControl/>
              <w:jc w:val="center"/>
              <w:rPr>
                <w:kern w:val="0"/>
                <w:sz w:val="21"/>
                <w:szCs w:val="21"/>
              </w:rPr>
            </w:pPr>
          </w:p>
        </w:tc>
        <w:tc>
          <w:tcPr>
            <w:tcW w:w="205" w:type="pct"/>
            <w:vMerge w:val="continue"/>
            <w:vAlign w:val="center"/>
          </w:tcPr>
          <w:p w14:paraId="5FA50EA3">
            <w:pPr>
              <w:widowControl/>
              <w:jc w:val="center"/>
              <w:rPr>
                <w:kern w:val="0"/>
                <w:sz w:val="21"/>
                <w:szCs w:val="21"/>
              </w:rPr>
            </w:pPr>
          </w:p>
        </w:tc>
        <w:tc>
          <w:tcPr>
            <w:tcW w:w="251" w:type="pct"/>
            <w:vMerge w:val="continue"/>
            <w:vAlign w:val="center"/>
          </w:tcPr>
          <w:p w14:paraId="423B2E7F">
            <w:pPr>
              <w:widowControl/>
              <w:jc w:val="center"/>
              <w:rPr>
                <w:rFonts w:ascii="宋体" w:hAnsi="宋体" w:cs="宋体"/>
                <w:kern w:val="0"/>
                <w:sz w:val="21"/>
                <w:szCs w:val="21"/>
              </w:rPr>
            </w:pPr>
          </w:p>
        </w:tc>
      </w:tr>
      <w:tr w14:paraId="24538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5AF5E3AF">
            <w:pPr>
              <w:widowControl/>
              <w:jc w:val="center"/>
              <w:rPr>
                <w:kern w:val="0"/>
                <w:sz w:val="21"/>
                <w:szCs w:val="21"/>
              </w:rPr>
            </w:pPr>
          </w:p>
        </w:tc>
        <w:tc>
          <w:tcPr>
            <w:tcW w:w="280" w:type="pct"/>
            <w:vMerge w:val="continue"/>
            <w:vAlign w:val="center"/>
          </w:tcPr>
          <w:p w14:paraId="4AA3868E">
            <w:pPr>
              <w:widowControl/>
              <w:jc w:val="center"/>
              <w:rPr>
                <w:kern w:val="0"/>
                <w:sz w:val="21"/>
                <w:szCs w:val="21"/>
              </w:rPr>
            </w:pPr>
          </w:p>
        </w:tc>
        <w:tc>
          <w:tcPr>
            <w:tcW w:w="219" w:type="pct"/>
            <w:vMerge w:val="continue"/>
            <w:vAlign w:val="center"/>
          </w:tcPr>
          <w:p w14:paraId="79F6F372">
            <w:pPr>
              <w:widowControl/>
              <w:jc w:val="center"/>
              <w:rPr>
                <w:rFonts w:ascii="宋体" w:hAnsi="宋体" w:cs="宋体"/>
                <w:kern w:val="0"/>
                <w:sz w:val="21"/>
                <w:szCs w:val="21"/>
              </w:rPr>
            </w:pPr>
          </w:p>
        </w:tc>
        <w:tc>
          <w:tcPr>
            <w:tcW w:w="251" w:type="pct"/>
            <w:shd w:val="clear" w:color="auto" w:fill="auto"/>
            <w:vAlign w:val="center"/>
          </w:tcPr>
          <w:p w14:paraId="1826D436">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5" w:type="pct"/>
            <w:shd w:val="clear" w:color="auto" w:fill="auto"/>
            <w:vAlign w:val="center"/>
          </w:tcPr>
          <w:p w14:paraId="4B9B2D5C">
            <w:pPr>
              <w:jc w:val="center"/>
              <w:rPr>
                <w:sz w:val="21"/>
                <w:szCs w:val="21"/>
              </w:rPr>
            </w:pPr>
            <w:r>
              <w:rPr>
                <w:sz w:val="21"/>
                <w:szCs w:val="21"/>
              </w:rPr>
              <w:t>4.60</w:t>
            </w:r>
          </w:p>
        </w:tc>
        <w:tc>
          <w:tcPr>
            <w:tcW w:w="358" w:type="pct"/>
            <w:shd w:val="clear" w:color="auto" w:fill="auto"/>
            <w:vAlign w:val="center"/>
          </w:tcPr>
          <w:p w14:paraId="71D96888">
            <w:pPr>
              <w:jc w:val="center"/>
              <w:rPr>
                <w:sz w:val="21"/>
                <w:szCs w:val="21"/>
              </w:rPr>
            </w:pPr>
            <w:r>
              <w:rPr>
                <w:sz w:val="21"/>
                <w:szCs w:val="21"/>
              </w:rPr>
              <w:t>0.230</w:t>
            </w:r>
          </w:p>
        </w:tc>
        <w:tc>
          <w:tcPr>
            <w:tcW w:w="356" w:type="pct"/>
            <w:shd w:val="clear" w:color="auto" w:fill="auto"/>
            <w:noWrap/>
            <w:vAlign w:val="center"/>
          </w:tcPr>
          <w:p w14:paraId="54D7A264">
            <w:pPr>
              <w:jc w:val="center"/>
              <w:rPr>
                <w:sz w:val="21"/>
                <w:szCs w:val="21"/>
              </w:rPr>
            </w:pPr>
            <w:r>
              <w:rPr>
                <w:sz w:val="21"/>
                <w:szCs w:val="21"/>
              </w:rPr>
              <w:t>1.104</w:t>
            </w:r>
          </w:p>
        </w:tc>
        <w:tc>
          <w:tcPr>
            <w:tcW w:w="263" w:type="pct"/>
            <w:vMerge w:val="continue"/>
            <w:vAlign w:val="center"/>
          </w:tcPr>
          <w:p w14:paraId="4BF167FE">
            <w:pPr>
              <w:widowControl/>
              <w:jc w:val="center"/>
              <w:rPr>
                <w:rFonts w:ascii="宋体" w:hAnsi="宋体" w:cs="宋体"/>
                <w:kern w:val="0"/>
                <w:sz w:val="21"/>
                <w:szCs w:val="21"/>
              </w:rPr>
            </w:pPr>
          </w:p>
        </w:tc>
        <w:tc>
          <w:tcPr>
            <w:tcW w:w="177" w:type="pct"/>
            <w:shd w:val="clear" w:color="auto" w:fill="auto"/>
            <w:vAlign w:val="center"/>
          </w:tcPr>
          <w:p w14:paraId="0EF83614">
            <w:pPr>
              <w:widowControl/>
              <w:jc w:val="center"/>
              <w:rPr>
                <w:kern w:val="0"/>
                <w:sz w:val="21"/>
                <w:szCs w:val="21"/>
              </w:rPr>
            </w:pPr>
            <w:r>
              <w:rPr>
                <w:kern w:val="0"/>
                <w:sz w:val="21"/>
                <w:szCs w:val="21"/>
              </w:rPr>
              <w:t>90</w:t>
            </w:r>
          </w:p>
        </w:tc>
        <w:tc>
          <w:tcPr>
            <w:tcW w:w="269" w:type="pct"/>
            <w:shd w:val="clear" w:color="auto" w:fill="auto"/>
            <w:vAlign w:val="center"/>
          </w:tcPr>
          <w:p w14:paraId="10279383">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2" w:type="pct"/>
            <w:shd w:val="clear" w:color="auto" w:fill="auto"/>
            <w:vAlign w:val="center"/>
          </w:tcPr>
          <w:p w14:paraId="3DC6CD86">
            <w:pPr>
              <w:jc w:val="center"/>
              <w:rPr>
                <w:sz w:val="21"/>
                <w:szCs w:val="21"/>
              </w:rPr>
            </w:pPr>
            <w:r>
              <w:rPr>
                <w:sz w:val="21"/>
                <w:szCs w:val="21"/>
              </w:rPr>
              <w:t>0.46</w:t>
            </w:r>
          </w:p>
        </w:tc>
        <w:tc>
          <w:tcPr>
            <w:tcW w:w="389" w:type="pct"/>
            <w:shd w:val="clear" w:color="auto" w:fill="auto"/>
            <w:vAlign w:val="center"/>
          </w:tcPr>
          <w:p w14:paraId="7D9BE6CF">
            <w:pPr>
              <w:jc w:val="center"/>
              <w:rPr>
                <w:sz w:val="21"/>
                <w:szCs w:val="21"/>
              </w:rPr>
            </w:pPr>
            <w:r>
              <w:rPr>
                <w:sz w:val="21"/>
                <w:szCs w:val="21"/>
              </w:rPr>
              <w:t>0.023</w:t>
            </w:r>
          </w:p>
        </w:tc>
        <w:tc>
          <w:tcPr>
            <w:tcW w:w="351" w:type="pct"/>
            <w:shd w:val="clear" w:color="auto" w:fill="auto"/>
            <w:vAlign w:val="center"/>
          </w:tcPr>
          <w:p w14:paraId="73445876">
            <w:pPr>
              <w:jc w:val="center"/>
              <w:rPr>
                <w:sz w:val="21"/>
                <w:szCs w:val="21"/>
              </w:rPr>
            </w:pPr>
            <w:r>
              <w:rPr>
                <w:sz w:val="21"/>
                <w:szCs w:val="21"/>
              </w:rPr>
              <w:t>0.110</w:t>
            </w:r>
          </w:p>
        </w:tc>
        <w:tc>
          <w:tcPr>
            <w:tcW w:w="204" w:type="pct"/>
            <w:shd w:val="clear" w:color="auto" w:fill="auto"/>
            <w:vAlign w:val="center"/>
          </w:tcPr>
          <w:p w14:paraId="1334DAD9">
            <w:pPr>
              <w:widowControl/>
              <w:snapToGrid w:val="0"/>
              <w:jc w:val="center"/>
              <w:rPr>
                <w:kern w:val="0"/>
                <w:sz w:val="21"/>
                <w:szCs w:val="21"/>
              </w:rPr>
            </w:pPr>
            <w:r>
              <w:rPr>
                <w:rFonts w:hint="eastAsia"/>
                <w:kern w:val="0"/>
                <w:sz w:val="21"/>
                <w:szCs w:val="21"/>
              </w:rPr>
              <w:t>10</w:t>
            </w:r>
          </w:p>
        </w:tc>
        <w:tc>
          <w:tcPr>
            <w:tcW w:w="255" w:type="pct"/>
            <w:shd w:val="clear" w:color="auto" w:fill="auto"/>
            <w:vAlign w:val="center"/>
          </w:tcPr>
          <w:p w14:paraId="070B3201">
            <w:pPr>
              <w:widowControl/>
              <w:snapToGrid w:val="0"/>
              <w:jc w:val="center"/>
              <w:rPr>
                <w:kern w:val="0"/>
                <w:sz w:val="21"/>
                <w:szCs w:val="21"/>
              </w:rPr>
            </w:pPr>
            <w:r>
              <w:rPr>
                <w:rFonts w:hint="eastAsia"/>
                <w:kern w:val="0"/>
                <w:sz w:val="21"/>
                <w:szCs w:val="21"/>
              </w:rPr>
              <w:t>/</w:t>
            </w:r>
          </w:p>
        </w:tc>
        <w:tc>
          <w:tcPr>
            <w:tcW w:w="203" w:type="pct"/>
            <w:vMerge w:val="continue"/>
            <w:vAlign w:val="center"/>
          </w:tcPr>
          <w:p w14:paraId="547F6C1C">
            <w:pPr>
              <w:widowControl/>
              <w:jc w:val="center"/>
              <w:rPr>
                <w:kern w:val="0"/>
                <w:sz w:val="21"/>
                <w:szCs w:val="21"/>
              </w:rPr>
            </w:pPr>
          </w:p>
        </w:tc>
        <w:tc>
          <w:tcPr>
            <w:tcW w:w="204" w:type="pct"/>
            <w:vMerge w:val="continue"/>
            <w:vAlign w:val="center"/>
          </w:tcPr>
          <w:p w14:paraId="49EBBFFD">
            <w:pPr>
              <w:widowControl/>
              <w:jc w:val="center"/>
              <w:rPr>
                <w:kern w:val="0"/>
                <w:sz w:val="21"/>
                <w:szCs w:val="21"/>
              </w:rPr>
            </w:pPr>
          </w:p>
        </w:tc>
        <w:tc>
          <w:tcPr>
            <w:tcW w:w="205" w:type="pct"/>
            <w:vMerge w:val="continue"/>
            <w:vAlign w:val="center"/>
          </w:tcPr>
          <w:p w14:paraId="0ED832BC">
            <w:pPr>
              <w:widowControl/>
              <w:jc w:val="center"/>
              <w:rPr>
                <w:kern w:val="0"/>
                <w:sz w:val="21"/>
                <w:szCs w:val="21"/>
              </w:rPr>
            </w:pPr>
          </w:p>
        </w:tc>
        <w:tc>
          <w:tcPr>
            <w:tcW w:w="251" w:type="pct"/>
            <w:vMerge w:val="continue"/>
            <w:vAlign w:val="center"/>
          </w:tcPr>
          <w:p w14:paraId="73525675">
            <w:pPr>
              <w:widowControl/>
              <w:jc w:val="center"/>
              <w:rPr>
                <w:rFonts w:ascii="宋体" w:hAnsi="宋体" w:cs="宋体"/>
                <w:kern w:val="0"/>
                <w:sz w:val="21"/>
                <w:szCs w:val="21"/>
              </w:rPr>
            </w:pPr>
          </w:p>
        </w:tc>
      </w:tr>
      <w:tr w14:paraId="19248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vMerge w:val="continue"/>
            <w:vAlign w:val="center"/>
          </w:tcPr>
          <w:p w14:paraId="28AA80C2">
            <w:pPr>
              <w:widowControl/>
              <w:jc w:val="center"/>
              <w:rPr>
                <w:kern w:val="0"/>
                <w:sz w:val="21"/>
                <w:szCs w:val="21"/>
              </w:rPr>
            </w:pPr>
          </w:p>
        </w:tc>
        <w:tc>
          <w:tcPr>
            <w:tcW w:w="280" w:type="pct"/>
            <w:vMerge w:val="continue"/>
            <w:vAlign w:val="center"/>
          </w:tcPr>
          <w:p w14:paraId="638D206C">
            <w:pPr>
              <w:widowControl/>
              <w:jc w:val="center"/>
              <w:rPr>
                <w:kern w:val="0"/>
                <w:sz w:val="21"/>
                <w:szCs w:val="21"/>
              </w:rPr>
            </w:pPr>
          </w:p>
        </w:tc>
        <w:tc>
          <w:tcPr>
            <w:tcW w:w="219" w:type="pct"/>
            <w:vMerge w:val="continue"/>
            <w:vAlign w:val="center"/>
          </w:tcPr>
          <w:p w14:paraId="6851DC10">
            <w:pPr>
              <w:widowControl/>
              <w:jc w:val="center"/>
              <w:rPr>
                <w:rFonts w:ascii="宋体" w:hAnsi="宋体" w:cs="宋体"/>
                <w:kern w:val="0"/>
                <w:sz w:val="21"/>
                <w:szCs w:val="21"/>
              </w:rPr>
            </w:pPr>
          </w:p>
        </w:tc>
        <w:tc>
          <w:tcPr>
            <w:tcW w:w="251" w:type="pct"/>
            <w:shd w:val="clear" w:color="auto" w:fill="auto"/>
            <w:vAlign w:val="center"/>
          </w:tcPr>
          <w:p w14:paraId="72C2CE68">
            <w:pPr>
              <w:widowControl/>
              <w:jc w:val="center"/>
              <w:rPr>
                <w:rFonts w:ascii="宋体" w:hAnsi="宋体" w:cs="宋体"/>
                <w:kern w:val="0"/>
                <w:sz w:val="21"/>
                <w:szCs w:val="21"/>
              </w:rPr>
            </w:pPr>
            <w:r>
              <w:rPr>
                <w:rFonts w:hint="eastAsia" w:ascii="宋体" w:hAnsi="宋体" w:cs="宋体"/>
                <w:kern w:val="0"/>
                <w:sz w:val="21"/>
                <w:szCs w:val="21"/>
              </w:rPr>
              <w:t>炭黑尘</w:t>
            </w:r>
          </w:p>
        </w:tc>
        <w:tc>
          <w:tcPr>
            <w:tcW w:w="305" w:type="pct"/>
            <w:shd w:val="clear" w:color="auto" w:fill="auto"/>
            <w:vAlign w:val="center"/>
          </w:tcPr>
          <w:p w14:paraId="3CCB5518">
            <w:pPr>
              <w:widowControl/>
              <w:jc w:val="center"/>
              <w:rPr>
                <w:kern w:val="0"/>
                <w:sz w:val="21"/>
                <w:szCs w:val="21"/>
              </w:rPr>
            </w:pPr>
            <w:r>
              <w:rPr>
                <w:kern w:val="0"/>
                <w:sz w:val="21"/>
                <w:szCs w:val="21"/>
              </w:rPr>
              <w:t>0.40</w:t>
            </w:r>
          </w:p>
        </w:tc>
        <w:tc>
          <w:tcPr>
            <w:tcW w:w="358" w:type="pct"/>
            <w:shd w:val="clear" w:color="auto" w:fill="auto"/>
            <w:vAlign w:val="center"/>
          </w:tcPr>
          <w:p w14:paraId="7370368A">
            <w:pPr>
              <w:widowControl/>
              <w:jc w:val="center"/>
              <w:rPr>
                <w:kern w:val="0"/>
                <w:sz w:val="21"/>
                <w:szCs w:val="21"/>
              </w:rPr>
            </w:pPr>
            <w:r>
              <w:rPr>
                <w:kern w:val="0"/>
                <w:sz w:val="21"/>
                <w:szCs w:val="21"/>
              </w:rPr>
              <w:t>0.020</w:t>
            </w:r>
          </w:p>
        </w:tc>
        <w:tc>
          <w:tcPr>
            <w:tcW w:w="356" w:type="pct"/>
            <w:shd w:val="clear" w:color="auto" w:fill="auto"/>
            <w:noWrap/>
            <w:vAlign w:val="center"/>
          </w:tcPr>
          <w:p w14:paraId="7B7D5EF3">
            <w:pPr>
              <w:widowControl/>
              <w:jc w:val="center"/>
              <w:rPr>
                <w:kern w:val="0"/>
                <w:sz w:val="21"/>
                <w:szCs w:val="21"/>
              </w:rPr>
            </w:pPr>
            <w:r>
              <w:rPr>
                <w:kern w:val="0"/>
                <w:sz w:val="21"/>
                <w:szCs w:val="21"/>
              </w:rPr>
              <w:t>0.095</w:t>
            </w:r>
          </w:p>
        </w:tc>
        <w:tc>
          <w:tcPr>
            <w:tcW w:w="263" w:type="pct"/>
            <w:vMerge w:val="continue"/>
            <w:vAlign w:val="center"/>
          </w:tcPr>
          <w:p w14:paraId="680A3D54">
            <w:pPr>
              <w:widowControl/>
              <w:jc w:val="center"/>
              <w:rPr>
                <w:rFonts w:ascii="宋体" w:hAnsi="宋体" w:cs="宋体"/>
                <w:kern w:val="0"/>
                <w:sz w:val="21"/>
                <w:szCs w:val="21"/>
              </w:rPr>
            </w:pPr>
          </w:p>
        </w:tc>
        <w:tc>
          <w:tcPr>
            <w:tcW w:w="177" w:type="pct"/>
            <w:shd w:val="clear" w:color="auto" w:fill="auto"/>
            <w:vAlign w:val="center"/>
          </w:tcPr>
          <w:p w14:paraId="400CEA42">
            <w:pPr>
              <w:widowControl/>
              <w:jc w:val="center"/>
              <w:rPr>
                <w:kern w:val="0"/>
                <w:sz w:val="21"/>
                <w:szCs w:val="21"/>
              </w:rPr>
            </w:pPr>
            <w:r>
              <w:rPr>
                <w:kern w:val="0"/>
                <w:sz w:val="21"/>
                <w:szCs w:val="21"/>
              </w:rPr>
              <w:t>0</w:t>
            </w:r>
          </w:p>
        </w:tc>
        <w:tc>
          <w:tcPr>
            <w:tcW w:w="269" w:type="pct"/>
            <w:shd w:val="clear" w:color="auto" w:fill="auto"/>
            <w:vAlign w:val="center"/>
          </w:tcPr>
          <w:p w14:paraId="26F1A582">
            <w:pPr>
              <w:widowControl/>
              <w:jc w:val="center"/>
              <w:rPr>
                <w:rFonts w:ascii="宋体" w:hAnsi="宋体" w:cs="宋体"/>
                <w:kern w:val="0"/>
                <w:sz w:val="21"/>
                <w:szCs w:val="21"/>
              </w:rPr>
            </w:pPr>
            <w:r>
              <w:rPr>
                <w:rFonts w:hint="eastAsia" w:ascii="宋体" w:hAnsi="宋体" w:cs="宋体"/>
                <w:kern w:val="0"/>
                <w:sz w:val="21"/>
                <w:szCs w:val="21"/>
              </w:rPr>
              <w:t>炭黑尘</w:t>
            </w:r>
          </w:p>
        </w:tc>
        <w:tc>
          <w:tcPr>
            <w:tcW w:w="302" w:type="pct"/>
            <w:shd w:val="clear" w:color="auto" w:fill="auto"/>
            <w:vAlign w:val="center"/>
          </w:tcPr>
          <w:p w14:paraId="3054FF16">
            <w:pPr>
              <w:widowControl/>
              <w:jc w:val="center"/>
              <w:rPr>
                <w:kern w:val="0"/>
                <w:sz w:val="21"/>
                <w:szCs w:val="21"/>
              </w:rPr>
            </w:pPr>
            <w:r>
              <w:rPr>
                <w:kern w:val="0"/>
                <w:sz w:val="21"/>
                <w:szCs w:val="21"/>
              </w:rPr>
              <w:t>0.40</w:t>
            </w:r>
          </w:p>
        </w:tc>
        <w:tc>
          <w:tcPr>
            <w:tcW w:w="389" w:type="pct"/>
            <w:shd w:val="clear" w:color="auto" w:fill="auto"/>
            <w:vAlign w:val="center"/>
          </w:tcPr>
          <w:p w14:paraId="76D0776A">
            <w:pPr>
              <w:widowControl/>
              <w:jc w:val="center"/>
              <w:rPr>
                <w:kern w:val="0"/>
                <w:sz w:val="21"/>
                <w:szCs w:val="21"/>
              </w:rPr>
            </w:pPr>
            <w:r>
              <w:rPr>
                <w:kern w:val="0"/>
                <w:sz w:val="21"/>
                <w:szCs w:val="21"/>
              </w:rPr>
              <w:t>0.020</w:t>
            </w:r>
          </w:p>
        </w:tc>
        <w:tc>
          <w:tcPr>
            <w:tcW w:w="351" w:type="pct"/>
            <w:shd w:val="clear" w:color="auto" w:fill="auto"/>
            <w:vAlign w:val="center"/>
          </w:tcPr>
          <w:p w14:paraId="46E9F029">
            <w:pPr>
              <w:widowControl/>
              <w:jc w:val="center"/>
              <w:rPr>
                <w:kern w:val="0"/>
                <w:sz w:val="21"/>
                <w:szCs w:val="21"/>
              </w:rPr>
            </w:pPr>
            <w:r>
              <w:rPr>
                <w:kern w:val="0"/>
                <w:sz w:val="21"/>
                <w:szCs w:val="21"/>
              </w:rPr>
              <w:t>0.095</w:t>
            </w:r>
          </w:p>
        </w:tc>
        <w:tc>
          <w:tcPr>
            <w:tcW w:w="204" w:type="pct"/>
            <w:shd w:val="clear" w:color="auto" w:fill="auto"/>
            <w:vAlign w:val="center"/>
          </w:tcPr>
          <w:p w14:paraId="728155CD">
            <w:pPr>
              <w:widowControl/>
              <w:jc w:val="center"/>
              <w:rPr>
                <w:kern w:val="0"/>
                <w:sz w:val="21"/>
                <w:szCs w:val="21"/>
              </w:rPr>
            </w:pPr>
            <w:r>
              <w:rPr>
                <w:rFonts w:hint="eastAsia"/>
                <w:kern w:val="0"/>
                <w:sz w:val="21"/>
                <w:szCs w:val="21"/>
              </w:rPr>
              <w:t>15</w:t>
            </w:r>
          </w:p>
        </w:tc>
        <w:tc>
          <w:tcPr>
            <w:tcW w:w="255" w:type="pct"/>
            <w:shd w:val="clear" w:color="auto" w:fill="auto"/>
            <w:vAlign w:val="center"/>
          </w:tcPr>
          <w:p w14:paraId="29D46E15">
            <w:pPr>
              <w:widowControl/>
              <w:jc w:val="center"/>
              <w:rPr>
                <w:kern w:val="0"/>
                <w:sz w:val="21"/>
                <w:szCs w:val="21"/>
              </w:rPr>
            </w:pPr>
            <w:r>
              <w:rPr>
                <w:kern w:val="0"/>
                <w:sz w:val="21"/>
                <w:szCs w:val="21"/>
              </w:rPr>
              <w:t>0.51</w:t>
            </w:r>
          </w:p>
        </w:tc>
        <w:tc>
          <w:tcPr>
            <w:tcW w:w="203" w:type="pct"/>
            <w:vMerge w:val="continue"/>
            <w:vAlign w:val="center"/>
          </w:tcPr>
          <w:p w14:paraId="423031F1">
            <w:pPr>
              <w:widowControl/>
              <w:jc w:val="center"/>
              <w:rPr>
                <w:kern w:val="0"/>
                <w:sz w:val="21"/>
                <w:szCs w:val="21"/>
              </w:rPr>
            </w:pPr>
          </w:p>
        </w:tc>
        <w:tc>
          <w:tcPr>
            <w:tcW w:w="204" w:type="pct"/>
            <w:vMerge w:val="continue"/>
            <w:vAlign w:val="center"/>
          </w:tcPr>
          <w:p w14:paraId="206E2DDB">
            <w:pPr>
              <w:widowControl/>
              <w:jc w:val="center"/>
              <w:rPr>
                <w:kern w:val="0"/>
                <w:sz w:val="21"/>
                <w:szCs w:val="21"/>
              </w:rPr>
            </w:pPr>
          </w:p>
        </w:tc>
        <w:tc>
          <w:tcPr>
            <w:tcW w:w="205" w:type="pct"/>
            <w:vMerge w:val="continue"/>
            <w:vAlign w:val="center"/>
          </w:tcPr>
          <w:p w14:paraId="1E78AE7A">
            <w:pPr>
              <w:widowControl/>
              <w:jc w:val="center"/>
              <w:rPr>
                <w:kern w:val="0"/>
                <w:sz w:val="21"/>
                <w:szCs w:val="21"/>
              </w:rPr>
            </w:pPr>
          </w:p>
        </w:tc>
        <w:tc>
          <w:tcPr>
            <w:tcW w:w="251" w:type="pct"/>
            <w:vMerge w:val="continue"/>
            <w:vAlign w:val="center"/>
          </w:tcPr>
          <w:p w14:paraId="163E47DD">
            <w:pPr>
              <w:widowControl/>
              <w:jc w:val="center"/>
              <w:rPr>
                <w:rFonts w:ascii="宋体" w:hAnsi="宋体" w:cs="宋体"/>
                <w:kern w:val="0"/>
                <w:sz w:val="21"/>
                <w:szCs w:val="21"/>
              </w:rPr>
            </w:pPr>
          </w:p>
        </w:tc>
      </w:tr>
      <w:tr w14:paraId="451C0C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7" w:type="pct"/>
            <w:shd w:val="clear" w:color="auto" w:fill="auto"/>
            <w:noWrap/>
            <w:vAlign w:val="center"/>
          </w:tcPr>
          <w:p w14:paraId="3117C0A4">
            <w:pPr>
              <w:widowControl/>
              <w:jc w:val="center"/>
              <w:rPr>
                <w:kern w:val="0"/>
                <w:sz w:val="21"/>
                <w:szCs w:val="21"/>
              </w:rPr>
            </w:pPr>
            <w:r>
              <w:rPr>
                <w:kern w:val="0"/>
                <w:sz w:val="21"/>
                <w:szCs w:val="21"/>
              </w:rPr>
              <w:t>9#</w:t>
            </w:r>
          </w:p>
        </w:tc>
        <w:tc>
          <w:tcPr>
            <w:tcW w:w="280" w:type="pct"/>
            <w:shd w:val="clear" w:color="auto" w:fill="auto"/>
            <w:noWrap/>
            <w:vAlign w:val="center"/>
          </w:tcPr>
          <w:p w14:paraId="4C98C129">
            <w:pPr>
              <w:widowControl/>
              <w:jc w:val="center"/>
              <w:rPr>
                <w:kern w:val="0"/>
                <w:sz w:val="21"/>
                <w:szCs w:val="21"/>
              </w:rPr>
            </w:pPr>
            <w:r>
              <w:rPr>
                <w:kern w:val="0"/>
                <w:sz w:val="21"/>
                <w:szCs w:val="21"/>
              </w:rPr>
              <w:t>22000</w:t>
            </w:r>
          </w:p>
        </w:tc>
        <w:tc>
          <w:tcPr>
            <w:tcW w:w="219" w:type="pct"/>
            <w:shd w:val="clear" w:color="auto" w:fill="auto"/>
            <w:vAlign w:val="center"/>
          </w:tcPr>
          <w:p w14:paraId="544E190A">
            <w:pPr>
              <w:widowControl/>
              <w:jc w:val="center"/>
              <w:rPr>
                <w:kern w:val="0"/>
                <w:sz w:val="21"/>
                <w:szCs w:val="21"/>
              </w:rPr>
            </w:pPr>
            <w:r>
              <w:rPr>
                <w:rFonts w:hint="eastAsia"/>
                <w:kern w:val="0"/>
                <w:sz w:val="21"/>
                <w:szCs w:val="21"/>
              </w:rPr>
              <w:t>电泳后干燥</w:t>
            </w:r>
          </w:p>
        </w:tc>
        <w:tc>
          <w:tcPr>
            <w:tcW w:w="251" w:type="pct"/>
            <w:shd w:val="clear" w:color="auto" w:fill="auto"/>
            <w:vAlign w:val="center"/>
          </w:tcPr>
          <w:p w14:paraId="22801535">
            <w:pPr>
              <w:widowControl/>
              <w:jc w:val="center"/>
              <w:rPr>
                <w:kern w:val="0"/>
                <w:sz w:val="21"/>
                <w:szCs w:val="21"/>
              </w:rPr>
            </w:pPr>
            <w:r>
              <w:rPr>
                <w:rFonts w:hint="eastAsia"/>
                <w:kern w:val="0"/>
                <w:sz w:val="21"/>
                <w:szCs w:val="21"/>
              </w:rPr>
              <w:t>非甲烷总烃</w:t>
            </w:r>
          </w:p>
        </w:tc>
        <w:tc>
          <w:tcPr>
            <w:tcW w:w="305" w:type="pct"/>
            <w:shd w:val="clear" w:color="auto" w:fill="auto"/>
            <w:vAlign w:val="center"/>
          </w:tcPr>
          <w:p w14:paraId="3684F203">
            <w:pPr>
              <w:widowControl/>
              <w:jc w:val="center"/>
              <w:rPr>
                <w:kern w:val="0"/>
                <w:sz w:val="21"/>
                <w:szCs w:val="21"/>
              </w:rPr>
            </w:pPr>
            <w:r>
              <w:rPr>
                <w:kern w:val="0"/>
                <w:sz w:val="21"/>
                <w:szCs w:val="21"/>
              </w:rPr>
              <w:t>26.99</w:t>
            </w:r>
          </w:p>
        </w:tc>
        <w:tc>
          <w:tcPr>
            <w:tcW w:w="358" w:type="pct"/>
            <w:shd w:val="clear" w:color="auto" w:fill="auto"/>
            <w:vAlign w:val="center"/>
          </w:tcPr>
          <w:p w14:paraId="4458F876">
            <w:pPr>
              <w:widowControl/>
              <w:jc w:val="center"/>
              <w:rPr>
                <w:kern w:val="0"/>
                <w:sz w:val="21"/>
                <w:szCs w:val="21"/>
              </w:rPr>
            </w:pPr>
            <w:r>
              <w:rPr>
                <w:kern w:val="0"/>
                <w:sz w:val="21"/>
                <w:szCs w:val="21"/>
              </w:rPr>
              <w:t>0.594</w:t>
            </w:r>
          </w:p>
        </w:tc>
        <w:tc>
          <w:tcPr>
            <w:tcW w:w="356" w:type="pct"/>
            <w:shd w:val="clear" w:color="auto" w:fill="auto"/>
            <w:vAlign w:val="center"/>
          </w:tcPr>
          <w:p w14:paraId="18C5807C">
            <w:pPr>
              <w:widowControl/>
              <w:jc w:val="center"/>
              <w:rPr>
                <w:kern w:val="0"/>
                <w:sz w:val="21"/>
                <w:szCs w:val="21"/>
              </w:rPr>
            </w:pPr>
            <w:r>
              <w:rPr>
                <w:kern w:val="0"/>
                <w:sz w:val="21"/>
                <w:szCs w:val="21"/>
              </w:rPr>
              <w:t>2.85</w:t>
            </w:r>
          </w:p>
        </w:tc>
        <w:tc>
          <w:tcPr>
            <w:tcW w:w="263" w:type="pct"/>
            <w:shd w:val="clear" w:color="auto" w:fill="auto"/>
            <w:noWrap/>
            <w:vAlign w:val="center"/>
          </w:tcPr>
          <w:p w14:paraId="7C6D11D5">
            <w:pPr>
              <w:widowControl/>
              <w:jc w:val="center"/>
              <w:rPr>
                <w:rFonts w:ascii="宋体" w:hAnsi="宋体" w:cs="宋体"/>
                <w:kern w:val="0"/>
                <w:sz w:val="21"/>
                <w:szCs w:val="21"/>
              </w:rPr>
            </w:pPr>
            <w:r>
              <w:rPr>
                <w:rFonts w:hint="eastAsia" w:ascii="宋体" w:hAnsi="宋体" w:cs="宋体"/>
                <w:kern w:val="0"/>
                <w:sz w:val="21"/>
                <w:szCs w:val="21"/>
              </w:rPr>
              <w:t>二级活性炭吸附装置</w:t>
            </w:r>
          </w:p>
        </w:tc>
        <w:tc>
          <w:tcPr>
            <w:tcW w:w="177" w:type="pct"/>
            <w:shd w:val="clear" w:color="auto" w:fill="auto"/>
            <w:noWrap/>
            <w:vAlign w:val="center"/>
          </w:tcPr>
          <w:p w14:paraId="40B0D044">
            <w:pPr>
              <w:widowControl/>
              <w:jc w:val="center"/>
              <w:rPr>
                <w:kern w:val="0"/>
                <w:sz w:val="21"/>
                <w:szCs w:val="21"/>
              </w:rPr>
            </w:pPr>
            <w:r>
              <w:rPr>
                <w:kern w:val="0"/>
                <w:sz w:val="21"/>
                <w:szCs w:val="21"/>
              </w:rPr>
              <w:t>90</w:t>
            </w:r>
          </w:p>
        </w:tc>
        <w:tc>
          <w:tcPr>
            <w:tcW w:w="269" w:type="pct"/>
            <w:shd w:val="clear" w:color="auto" w:fill="auto"/>
            <w:vAlign w:val="center"/>
          </w:tcPr>
          <w:p w14:paraId="673889D7">
            <w:pPr>
              <w:widowControl/>
              <w:jc w:val="center"/>
              <w:rPr>
                <w:rFonts w:ascii="宋体" w:hAnsi="宋体" w:cs="宋体"/>
                <w:kern w:val="0"/>
                <w:sz w:val="21"/>
                <w:szCs w:val="21"/>
              </w:rPr>
            </w:pPr>
            <w:r>
              <w:rPr>
                <w:rFonts w:hint="eastAsia" w:ascii="宋体" w:hAnsi="宋体" w:cs="宋体"/>
                <w:kern w:val="0"/>
                <w:sz w:val="21"/>
                <w:szCs w:val="21"/>
              </w:rPr>
              <w:t>非甲烷总烃</w:t>
            </w:r>
          </w:p>
        </w:tc>
        <w:tc>
          <w:tcPr>
            <w:tcW w:w="302" w:type="pct"/>
            <w:shd w:val="clear" w:color="auto" w:fill="auto"/>
            <w:noWrap/>
            <w:vAlign w:val="center"/>
          </w:tcPr>
          <w:p w14:paraId="3FB58EF3">
            <w:pPr>
              <w:widowControl/>
              <w:jc w:val="center"/>
              <w:rPr>
                <w:kern w:val="0"/>
                <w:sz w:val="21"/>
                <w:szCs w:val="21"/>
              </w:rPr>
            </w:pPr>
            <w:r>
              <w:rPr>
                <w:kern w:val="0"/>
                <w:sz w:val="21"/>
                <w:szCs w:val="21"/>
              </w:rPr>
              <w:t>2.70</w:t>
            </w:r>
          </w:p>
        </w:tc>
        <w:tc>
          <w:tcPr>
            <w:tcW w:w="389" w:type="pct"/>
            <w:shd w:val="clear" w:color="auto" w:fill="auto"/>
            <w:noWrap/>
            <w:vAlign w:val="center"/>
          </w:tcPr>
          <w:p w14:paraId="50127FDD">
            <w:pPr>
              <w:widowControl/>
              <w:jc w:val="center"/>
              <w:rPr>
                <w:kern w:val="0"/>
                <w:sz w:val="21"/>
                <w:szCs w:val="21"/>
              </w:rPr>
            </w:pPr>
            <w:r>
              <w:rPr>
                <w:kern w:val="0"/>
                <w:sz w:val="21"/>
                <w:szCs w:val="21"/>
              </w:rPr>
              <w:t>0.059</w:t>
            </w:r>
          </w:p>
        </w:tc>
        <w:tc>
          <w:tcPr>
            <w:tcW w:w="351" w:type="pct"/>
            <w:shd w:val="clear" w:color="auto" w:fill="auto"/>
            <w:noWrap/>
            <w:vAlign w:val="center"/>
          </w:tcPr>
          <w:p w14:paraId="2C881E46">
            <w:pPr>
              <w:widowControl/>
              <w:jc w:val="center"/>
              <w:rPr>
                <w:kern w:val="0"/>
                <w:sz w:val="21"/>
                <w:szCs w:val="21"/>
              </w:rPr>
            </w:pPr>
            <w:r>
              <w:rPr>
                <w:kern w:val="0"/>
                <w:sz w:val="21"/>
                <w:szCs w:val="21"/>
              </w:rPr>
              <w:t>0.285</w:t>
            </w:r>
          </w:p>
        </w:tc>
        <w:tc>
          <w:tcPr>
            <w:tcW w:w="204" w:type="pct"/>
            <w:shd w:val="clear" w:color="auto" w:fill="auto"/>
            <w:noWrap/>
            <w:vAlign w:val="center"/>
          </w:tcPr>
          <w:p w14:paraId="05FB392F">
            <w:pPr>
              <w:widowControl/>
              <w:snapToGrid w:val="0"/>
              <w:jc w:val="center"/>
              <w:rPr>
                <w:kern w:val="0"/>
                <w:sz w:val="21"/>
                <w:szCs w:val="21"/>
              </w:rPr>
            </w:pPr>
            <w:r>
              <w:rPr>
                <w:rFonts w:hint="eastAsia"/>
                <w:kern w:val="0"/>
                <w:sz w:val="21"/>
                <w:szCs w:val="21"/>
              </w:rPr>
              <w:t>10</w:t>
            </w:r>
          </w:p>
        </w:tc>
        <w:tc>
          <w:tcPr>
            <w:tcW w:w="255" w:type="pct"/>
            <w:shd w:val="clear" w:color="auto" w:fill="auto"/>
            <w:noWrap/>
            <w:vAlign w:val="center"/>
          </w:tcPr>
          <w:p w14:paraId="5F9361EA">
            <w:pPr>
              <w:widowControl/>
              <w:snapToGrid w:val="0"/>
              <w:jc w:val="center"/>
              <w:rPr>
                <w:kern w:val="0"/>
                <w:sz w:val="21"/>
                <w:szCs w:val="21"/>
              </w:rPr>
            </w:pPr>
            <w:r>
              <w:rPr>
                <w:rFonts w:hint="eastAsia"/>
                <w:kern w:val="0"/>
                <w:sz w:val="21"/>
                <w:szCs w:val="21"/>
              </w:rPr>
              <w:t>/</w:t>
            </w:r>
          </w:p>
        </w:tc>
        <w:tc>
          <w:tcPr>
            <w:tcW w:w="203" w:type="pct"/>
            <w:shd w:val="clear" w:color="auto" w:fill="auto"/>
            <w:noWrap/>
            <w:vAlign w:val="center"/>
          </w:tcPr>
          <w:p w14:paraId="0BDB22C0">
            <w:pPr>
              <w:widowControl/>
              <w:jc w:val="center"/>
              <w:rPr>
                <w:kern w:val="0"/>
                <w:sz w:val="21"/>
                <w:szCs w:val="21"/>
              </w:rPr>
            </w:pPr>
            <w:r>
              <w:rPr>
                <w:kern w:val="0"/>
                <w:sz w:val="21"/>
                <w:szCs w:val="21"/>
              </w:rPr>
              <w:t>15</w:t>
            </w:r>
          </w:p>
        </w:tc>
        <w:tc>
          <w:tcPr>
            <w:tcW w:w="204" w:type="pct"/>
            <w:shd w:val="clear" w:color="auto" w:fill="auto"/>
            <w:noWrap/>
            <w:vAlign w:val="center"/>
          </w:tcPr>
          <w:p w14:paraId="7F45C9F1">
            <w:pPr>
              <w:widowControl/>
              <w:jc w:val="center"/>
              <w:rPr>
                <w:kern w:val="0"/>
                <w:sz w:val="21"/>
                <w:szCs w:val="21"/>
              </w:rPr>
            </w:pPr>
            <w:r>
              <w:rPr>
                <w:kern w:val="0"/>
                <w:sz w:val="21"/>
                <w:szCs w:val="21"/>
              </w:rPr>
              <w:t>0.</w:t>
            </w:r>
            <w:r>
              <w:rPr>
                <w:rFonts w:hint="eastAsia"/>
                <w:kern w:val="0"/>
                <w:sz w:val="21"/>
                <w:szCs w:val="21"/>
              </w:rPr>
              <w:t>6</w:t>
            </w:r>
          </w:p>
        </w:tc>
        <w:tc>
          <w:tcPr>
            <w:tcW w:w="205" w:type="pct"/>
            <w:shd w:val="clear" w:color="auto" w:fill="auto"/>
            <w:noWrap/>
            <w:vAlign w:val="center"/>
          </w:tcPr>
          <w:p w14:paraId="4513BA35">
            <w:pPr>
              <w:widowControl/>
              <w:jc w:val="center"/>
              <w:rPr>
                <w:kern w:val="0"/>
                <w:sz w:val="21"/>
                <w:szCs w:val="21"/>
              </w:rPr>
            </w:pPr>
            <w:r>
              <w:rPr>
                <w:rFonts w:hint="eastAsia"/>
                <w:kern w:val="0"/>
                <w:sz w:val="21"/>
                <w:szCs w:val="21"/>
              </w:rPr>
              <w:t>40</w:t>
            </w:r>
          </w:p>
        </w:tc>
        <w:tc>
          <w:tcPr>
            <w:tcW w:w="251" w:type="pct"/>
            <w:shd w:val="clear" w:color="auto" w:fill="auto"/>
            <w:noWrap/>
            <w:vAlign w:val="center"/>
          </w:tcPr>
          <w:p w14:paraId="7765C97E">
            <w:pPr>
              <w:widowControl/>
              <w:jc w:val="center"/>
              <w:rPr>
                <w:kern w:val="0"/>
                <w:sz w:val="21"/>
                <w:szCs w:val="21"/>
              </w:rPr>
            </w:pPr>
            <w:r>
              <w:rPr>
                <w:rFonts w:hint="eastAsia" w:ascii="宋体" w:hAnsi="宋体" w:cs="宋体"/>
                <w:kern w:val="0"/>
                <w:sz w:val="21"/>
                <w:szCs w:val="21"/>
              </w:rPr>
              <w:t>间歇</w:t>
            </w:r>
            <w:r>
              <w:rPr>
                <w:kern w:val="0"/>
                <w:sz w:val="21"/>
                <w:szCs w:val="21"/>
              </w:rPr>
              <w:t>4800h</w:t>
            </w:r>
          </w:p>
        </w:tc>
      </w:tr>
    </w:tbl>
    <w:p w14:paraId="40964036">
      <w:pPr>
        <w:adjustRightInd w:val="0"/>
        <w:snapToGrid w:val="0"/>
        <w:spacing w:beforeLines="50"/>
        <w:jc w:val="center"/>
        <w:rPr>
          <w:b/>
          <w:bCs/>
          <w:szCs w:val="21"/>
        </w:rPr>
      </w:pPr>
    </w:p>
    <w:p w14:paraId="4AC3540C">
      <w:pPr>
        <w:adjustRightInd w:val="0"/>
        <w:snapToGrid w:val="0"/>
        <w:spacing w:beforeLines="50"/>
        <w:jc w:val="center"/>
        <w:rPr>
          <w:b/>
          <w:bCs/>
          <w:szCs w:val="21"/>
        </w:rPr>
      </w:pPr>
    </w:p>
    <w:p w14:paraId="6939A42B">
      <w:pPr>
        <w:adjustRightInd w:val="0"/>
        <w:snapToGrid w:val="0"/>
        <w:spacing w:beforeLines="50"/>
        <w:jc w:val="center"/>
        <w:rPr>
          <w:b/>
          <w:bCs/>
          <w:szCs w:val="21"/>
        </w:rPr>
      </w:pPr>
      <w:r>
        <w:rPr>
          <w:b/>
          <w:bCs/>
          <w:szCs w:val="21"/>
        </w:rPr>
        <w:t>表4-</w:t>
      </w:r>
      <w:r>
        <w:rPr>
          <w:rFonts w:hint="eastAsia"/>
          <w:b/>
          <w:bCs/>
          <w:szCs w:val="21"/>
        </w:rPr>
        <w:t>4</w:t>
      </w:r>
      <w:r>
        <w:rPr>
          <w:b/>
          <w:bCs/>
          <w:szCs w:val="21"/>
        </w:rPr>
        <w:t xml:space="preserve">  扩建</w:t>
      </w:r>
      <w:r>
        <w:rPr>
          <w:rFonts w:hint="eastAsia"/>
          <w:b/>
          <w:bCs/>
          <w:szCs w:val="21"/>
        </w:rPr>
        <w:t>后全厂（已批已验项目+本次扩建项目）</w:t>
      </w:r>
      <w:r>
        <w:rPr>
          <w:b/>
          <w:bCs/>
          <w:szCs w:val="21"/>
        </w:rPr>
        <w:t>无组织废气污染源强核算结果一览表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550"/>
        <w:gridCol w:w="2127"/>
        <w:gridCol w:w="2267"/>
        <w:gridCol w:w="1844"/>
        <w:gridCol w:w="1638"/>
      </w:tblGrid>
      <w:tr w14:paraId="4CBD61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tcBorders>
              <w:tl2br w:val="nil"/>
              <w:tr2bl w:val="nil"/>
            </w:tcBorders>
            <w:noWrap/>
            <w:vAlign w:val="center"/>
          </w:tcPr>
          <w:p w14:paraId="6D67A2CC">
            <w:pPr>
              <w:widowControl/>
              <w:spacing w:line="320" w:lineRule="exact"/>
              <w:jc w:val="center"/>
              <w:rPr>
                <w:rFonts w:ascii="宋体" w:hAnsi="宋体" w:cs="宋体"/>
                <w:b/>
                <w:bCs/>
                <w:kern w:val="0"/>
              </w:rPr>
            </w:pPr>
            <w:r>
              <w:rPr>
                <w:rFonts w:hint="eastAsia" w:ascii="宋体" w:hAnsi="宋体" w:cs="宋体"/>
                <w:b/>
                <w:bCs/>
                <w:kern w:val="0"/>
              </w:rPr>
              <w:t>废气</w:t>
            </w:r>
          </w:p>
        </w:tc>
        <w:tc>
          <w:tcPr>
            <w:tcW w:w="964" w:type="pct"/>
            <w:tcBorders>
              <w:tl2br w:val="nil"/>
              <w:tr2bl w:val="nil"/>
            </w:tcBorders>
            <w:noWrap/>
            <w:vAlign w:val="center"/>
          </w:tcPr>
          <w:p w14:paraId="5DD88C9F">
            <w:pPr>
              <w:widowControl/>
              <w:spacing w:line="320" w:lineRule="exact"/>
              <w:jc w:val="center"/>
              <w:rPr>
                <w:rFonts w:ascii="宋体" w:hAnsi="宋体" w:cs="宋体"/>
                <w:b/>
                <w:bCs/>
                <w:kern w:val="0"/>
              </w:rPr>
            </w:pPr>
            <w:r>
              <w:rPr>
                <w:rFonts w:hint="eastAsia" w:ascii="宋体" w:hAnsi="宋体" w:cs="宋体"/>
                <w:b/>
                <w:bCs/>
                <w:kern w:val="0"/>
              </w:rPr>
              <w:t>污染物名称</w:t>
            </w:r>
          </w:p>
        </w:tc>
        <w:tc>
          <w:tcPr>
            <w:tcW w:w="804" w:type="pct"/>
            <w:tcBorders>
              <w:tl2br w:val="nil"/>
              <w:tr2bl w:val="nil"/>
            </w:tcBorders>
            <w:noWrap/>
            <w:vAlign w:val="center"/>
          </w:tcPr>
          <w:p w14:paraId="3F64B70B">
            <w:pPr>
              <w:widowControl/>
              <w:spacing w:line="320" w:lineRule="exact"/>
              <w:jc w:val="center"/>
              <w:rPr>
                <w:rFonts w:ascii="宋体" w:hAnsi="宋体" w:cs="宋体"/>
                <w:b/>
                <w:bCs/>
                <w:kern w:val="0"/>
              </w:rPr>
            </w:pPr>
            <w:r>
              <w:rPr>
                <w:rFonts w:hint="eastAsia" w:ascii="宋体" w:hAnsi="宋体" w:cs="宋体"/>
                <w:b/>
                <w:bCs/>
                <w:kern w:val="0"/>
              </w:rPr>
              <w:t>污染源位置</w:t>
            </w:r>
          </w:p>
        </w:tc>
        <w:tc>
          <w:tcPr>
            <w:tcW w:w="857" w:type="pct"/>
            <w:tcBorders>
              <w:tl2br w:val="nil"/>
              <w:tr2bl w:val="nil"/>
            </w:tcBorders>
            <w:noWrap/>
            <w:vAlign w:val="center"/>
          </w:tcPr>
          <w:p w14:paraId="75A49383">
            <w:pPr>
              <w:widowControl/>
              <w:spacing w:line="320" w:lineRule="exact"/>
              <w:jc w:val="center"/>
              <w:rPr>
                <w:rFonts w:ascii="宋体" w:hAnsi="宋体" w:cs="宋体"/>
                <w:b/>
                <w:bCs/>
                <w:kern w:val="0"/>
              </w:rPr>
            </w:pPr>
            <w:r>
              <w:rPr>
                <w:rFonts w:hint="eastAsia" w:ascii="宋体" w:hAnsi="宋体" w:cs="宋体"/>
                <w:b/>
                <w:bCs/>
                <w:kern w:val="0"/>
              </w:rPr>
              <w:t>污染物产生量</w:t>
            </w:r>
          </w:p>
          <w:p w14:paraId="07F70B54">
            <w:pPr>
              <w:widowControl/>
              <w:spacing w:line="320" w:lineRule="exact"/>
              <w:jc w:val="center"/>
              <w:rPr>
                <w:rFonts w:ascii="宋体" w:hAnsi="宋体" w:cs="宋体"/>
                <w:b/>
                <w:bCs/>
                <w:kern w:val="0"/>
              </w:rPr>
            </w:pPr>
            <w:r>
              <w:rPr>
                <w:rFonts w:hint="eastAsia" w:ascii="宋体" w:hAnsi="宋体" w:cs="宋体"/>
                <w:b/>
                <w:bCs/>
                <w:kern w:val="0"/>
              </w:rPr>
              <w:t>（</w:t>
            </w:r>
            <w:r>
              <w:rPr>
                <w:b/>
                <w:bCs/>
                <w:kern w:val="0"/>
              </w:rPr>
              <w:t>t/a</w:t>
            </w:r>
            <w:r>
              <w:rPr>
                <w:rFonts w:hint="eastAsia" w:ascii="宋体" w:hAnsi="宋体" w:cs="宋体"/>
                <w:b/>
                <w:bCs/>
                <w:kern w:val="0"/>
              </w:rPr>
              <w:t>）</w:t>
            </w:r>
          </w:p>
        </w:tc>
        <w:tc>
          <w:tcPr>
            <w:tcW w:w="697" w:type="pct"/>
            <w:tcBorders>
              <w:tl2br w:val="nil"/>
              <w:tr2bl w:val="nil"/>
            </w:tcBorders>
            <w:noWrap/>
            <w:vAlign w:val="center"/>
          </w:tcPr>
          <w:p w14:paraId="7A9D6800">
            <w:pPr>
              <w:widowControl/>
              <w:spacing w:line="320" w:lineRule="exact"/>
              <w:jc w:val="center"/>
              <w:rPr>
                <w:rFonts w:ascii="宋体" w:hAnsi="宋体" w:cs="宋体"/>
                <w:b/>
                <w:bCs/>
                <w:kern w:val="0"/>
              </w:rPr>
            </w:pPr>
            <w:r>
              <w:rPr>
                <w:rFonts w:hint="eastAsia" w:ascii="宋体" w:hAnsi="宋体" w:cs="宋体"/>
                <w:b/>
                <w:bCs/>
                <w:kern w:val="0"/>
              </w:rPr>
              <w:t>面源面积</w:t>
            </w:r>
          </w:p>
          <w:p w14:paraId="178D53E4">
            <w:pPr>
              <w:widowControl/>
              <w:spacing w:line="320" w:lineRule="exact"/>
              <w:jc w:val="center"/>
              <w:rPr>
                <w:rFonts w:ascii="宋体" w:hAnsi="宋体" w:cs="宋体"/>
                <w:b/>
                <w:bCs/>
                <w:kern w:val="0"/>
              </w:rPr>
            </w:pPr>
            <w:r>
              <w:rPr>
                <w:rFonts w:hint="eastAsia" w:ascii="宋体" w:hAnsi="宋体" w:cs="宋体"/>
                <w:b/>
                <w:bCs/>
                <w:kern w:val="0"/>
              </w:rPr>
              <w:t>（</w:t>
            </w:r>
            <w:r>
              <w:rPr>
                <w:b/>
                <w:bCs/>
                <w:kern w:val="0"/>
              </w:rPr>
              <w:t>m</w:t>
            </w:r>
            <w:r>
              <w:rPr>
                <w:b/>
                <w:bCs/>
                <w:kern w:val="0"/>
                <w:vertAlign w:val="superscript"/>
              </w:rPr>
              <w:t>2</w:t>
            </w:r>
            <w:r>
              <w:rPr>
                <w:rFonts w:hint="eastAsia" w:ascii="宋体" w:hAnsi="宋体" w:cs="宋体"/>
                <w:b/>
                <w:bCs/>
                <w:kern w:val="0"/>
              </w:rPr>
              <w:t>）</w:t>
            </w:r>
          </w:p>
        </w:tc>
        <w:tc>
          <w:tcPr>
            <w:tcW w:w="619" w:type="pct"/>
            <w:tcBorders>
              <w:tl2br w:val="nil"/>
              <w:tr2bl w:val="nil"/>
            </w:tcBorders>
            <w:noWrap/>
            <w:vAlign w:val="center"/>
          </w:tcPr>
          <w:p w14:paraId="462578D6">
            <w:pPr>
              <w:widowControl/>
              <w:spacing w:line="320" w:lineRule="exact"/>
              <w:jc w:val="center"/>
              <w:rPr>
                <w:rFonts w:ascii="宋体" w:hAnsi="宋体" w:cs="宋体"/>
                <w:b/>
                <w:bCs/>
                <w:kern w:val="0"/>
              </w:rPr>
            </w:pPr>
            <w:r>
              <w:rPr>
                <w:rFonts w:hint="eastAsia" w:ascii="宋体" w:hAnsi="宋体" w:cs="宋体"/>
                <w:b/>
                <w:bCs/>
                <w:kern w:val="0"/>
              </w:rPr>
              <w:t>面源高度</w:t>
            </w:r>
          </w:p>
          <w:p w14:paraId="76824A34">
            <w:pPr>
              <w:widowControl/>
              <w:spacing w:line="320" w:lineRule="exact"/>
              <w:jc w:val="center"/>
              <w:rPr>
                <w:rFonts w:ascii="宋体" w:hAnsi="宋体" w:cs="宋体"/>
                <w:b/>
                <w:bCs/>
                <w:kern w:val="0"/>
              </w:rPr>
            </w:pPr>
            <w:r>
              <w:rPr>
                <w:rFonts w:hint="eastAsia" w:ascii="宋体" w:hAnsi="宋体" w:cs="宋体"/>
                <w:b/>
                <w:bCs/>
                <w:kern w:val="0"/>
              </w:rPr>
              <w:t>（</w:t>
            </w:r>
            <w:r>
              <w:rPr>
                <w:b/>
                <w:bCs/>
                <w:kern w:val="0"/>
              </w:rPr>
              <w:t>m</w:t>
            </w:r>
            <w:r>
              <w:rPr>
                <w:rFonts w:hint="eastAsia" w:ascii="宋体" w:hAnsi="宋体" w:cs="宋体"/>
                <w:b/>
                <w:bCs/>
                <w:kern w:val="0"/>
              </w:rPr>
              <w:t>）</w:t>
            </w:r>
          </w:p>
        </w:tc>
      </w:tr>
      <w:tr w14:paraId="2FC64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restart"/>
            <w:tcBorders>
              <w:tl2br w:val="nil"/>
              <w:tr2bl w:val="nil"/>
            </w:tcBorders>
            <w:noWrap/>
            <w:vAlign w:val="center"/>
          </w:tcPr>
          <w:p w14:paraId="0D162AD4">
            <w:pPr>
              <w:widowControl/>
              <w:spacing w:line="320" w:lineRule="exact"/>
              <w:jc w:val="center"/>
              <w:rPr>
                <w:rFonts w:ascii="宋体" w:hAnsi="宋体" w:cs="宋体"/>
                <w:kern w:val="0"/>
              </w:rPr>
            </w:pPr>
            <w:r>
              <w:rPr>
                <w:rFonts w:hint="eastAsia"/>
                <w:szCs w:val="21"/>
              </w:rPr>
              <w:t>未捕集到的挤出预成型、未捕集到的硫化复合</w:t>
            </w:r>
            <w:r>
              <w:rPr>
                <w:rFonts w:hint="eastAsia"/>
                <w:kern w:val="0"/>
              </w:rPr>
              <w:t>废气</w:t>
            </w:r>
            <w:r>
              <w:rPr>
                <w:rFonts w:hint="eastAsia"/>
                <w:szCs w:val="21"/>
              </w:rPr>
              <w:t>、未捕集到的二次硫化废气</w:t>
            </w:r>
          </w:p>
        </w:tc>
        <w:tc>
          <w:tcPr>
            <w:tcW w:w="964" w:type="pct"/>
            <w:tcBorders>
              <w:tl2br w:val="nil"/>
              <w:tr2bl w:val="nil"/>
            </w:tcBorders>
            <w:noWrap/>
            <w:vAlign w:val="center"/>
          </w:tcPr>
          <w:p w14:paraId="07C488E6">
            <w:pPr>
              <w:widowControl/>
              <w:spacing w:line="240" w:lineRule="exact"/>
              <w:jc w:val="center"/>
              <w:rPr>
                <w:kern w:val="0"/>
              </w:rPr>
            </w:pPr>
            <w:r>
              <w:rPr>
                <w:rFonts w:hint="eastAsia"/>
                <w:kern w:val="0"/>
              </w:rPr>
              <w:t>氟化物</w:t>
            </w:r>
          </w:p>
        </w:tc>
        <w:tc>
          <w:tcPr>
            <w:tcW w:w="804" w:type="pct"/>
            <w:vMerge w:val="restart"/>
            <w:tcBorders>
              <w:tl2br w:val="nil"/>
              <w:tr2bl w:val="nil"/>
            </w:tcBorders>
            <w:noWrap/>
            <w:vAlign w:val="center"/>
          </w:tcPr>
          <w:p w14:paraId="1997A632">
            <w:pPr>
              <w:widowControl/>
              <w:spacing w:line="320" w:lineRule="exact"/>
              <w:jc w:val="center"/>
              <w:rPr>
                <w:rFonts w:ascii="宋体" w:hAnsi="宋体" w:cs="宋体"/>
                <w:kern w:val="0"/>
              </w:rPr>
            </w:pPr>
            <w:r>
              <w:rPr>
                <w:rFonts w:hint="eastAsia"/>
                <w:szCs w:val="21"/>
              </w:rPr>
              <w:t>1#车间</w:t>
            </w:r>
          </w:p>
        </w:tc>
        <w:tc>
          <w:tcPr>
            <w:tcW w:w="857" w:type="pct"/>
            <w:tcBorders>
              <w:tl2br w:val="nil"/>
              <w:tr2bl w:val="nil"/>
            </w:tcBorders>
            <w:noWrap/>
            <w:vAlign w:val="center"/>
          </w:tcPr>
          <w:p w14:paraId="08787198">
            <w:pPr>
              <w:spacing w:line="320" w:lineRule="exact"/>
              <w:jc w:val="center"/>
              <w:rPr>
                <w:kern w:val="0"/>
              </w:rPr>
            </w:pPr>
            <w:r>
              <w:rPr>
                <w:kern w:val="0"/>
              </w:rPr>
              <w:t>0.000435</w:t>
            </w:r>
          </w:p>
        </w:tc>
        <w:tc>
          <w:tcPr>
            <w:tcW w:w="697" w:type="pct"/>
            <w:vMerge w:val="restart"/>
            <w:tcBorders>
              <w:tl2br w:val="nil"/>
              <w:tr2bl w:val="nil"/>
            </w:tcBorders>
            <w:noWrap/>
            <w:vAlign w:val="center"/>
          </w:tcPr>
          <w:p w14:paraId="294DF7E4">
            <w:pPr>
              <w:spacing w:line="320" w:lineRule="exact"/>
              <w:jc w:val="center"/>
              <w:rPr>
                <w:kern w:val="0"/>
              </w:rPr>
            </w:pPr>
            <w:r>
              <w:rPr>
                <w:rFonts w:hint="eastAsia"/>
                <w:kern w:val="0"/>
              </w:rPr>
              <w:t>6650</w:t>
            </w:r>
          </w:p>
        </w:tc>
        <w:tc>
          <w:tcPr>
            <w:tcW w:w="619" w:type="pct"/>
            <w:vMerge w:val="restart"/>
            <w:tcBorders>
              <w:tl2br w:val="nil"/>
              <w:tr2bl w:val="nil"/>
            </w:tcBorders>
            <w:noWrap/>
            <w:vAlign w:val="center"/>
          </w:tcPr>
          <w:p w14:paraId="245442A6">
            <w:pPr>
              <w:spacing w:line="320" w:lineRule="exact"/>
              <w:jc w:val="center"/>
              <w:rPr>
                <w:kern w:val="0"/>
              </w:rPr>
            </w:pPr>
            <w:r>
              <w:rPr>
                <w:kern w:val="0"/>
              </w:rPr>
              <w:t>11.95</w:t>
            </w:r>
          </w:p>
        </w:tc>
      </w:tr>
      <w:tr w14:paraId="5FF6D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52A320E0">
            <w:pPr>
              <w:widowControl/>
              <w:spacing w:line="320" w:lineRule="exact"/>
              <w:jc w:val="center"/>
              <w:rPr>
                <w:rFonts w:ascii="宋体" w:hAnsi="宋体" w:cs="宋体"/>
                <w:kern w:val="0"/>
              </w:rPr>
            </w:pPr>
          </w:p>
        </w:tc>
        <w:tc>
          <w:tcPr>
            <w:tcW w:w="964" w:type="pct"/>
            <w:tcBorders>
              <w:tl2br w:val="nil"/>
              <w:tr2bl w:val="nil"/>
            </w:tcBorders>
            <w:noWrap/>
            <w:vAlign w:val="center"/>
          </w:tcPr>
          <w:p w14:paraId="2DD5308F">
            <w:pPr>
              <w:widowControl/>
              <w:spacing w:line="240" w:lineRule="exact"/>
              <w:jc w:val="center"/>
              <w:rPr>
                <w:kern w:val="0"/>
              </w:rPr>
            </w:pPr>
            <w:r>
              <w:rPr>
                <w:kern w:val="0"/>
              </w:rPr>
              <w:t>H</w:t>
            </w:r>
            <w:r>
              <w:rPr>
                <w:kern w:val="0"/>
                <w:vertAlign w:val="subscript"/>
              </w:rPr>
              <w:t>2</w:t>
            </w:r>
            <w:r>
              <w:rPr>
                <w:kern w:val="0"/>
              </w:rPr>
              <w:t>S</w:t>
            </w:r>
          </w:p>
        </w:tc>
        <w:tc>
          <w:tcPr>
            <w:tcW w:w="804" w:type="pct"/>
            <w:vMerge w:val="continue"/>
            <w:tcBorders>
              <w:tl2br w:val="nil"/>
              <w:tr2bl w:val="nil"/>
            </w:tcBorders>
            <w:noWrap/>
            <w:vAlign w:val="center"/>
          </w:tcPr>
          <w:p w14:paraId="6F0C925C">
            <w:pPr>
              <w:widowControl/>
              <w:spacing w:line="320" w:lineRule="exact"/>
              <w:jc w:val="center"/>
              <w:rPr>
                <w:rFonts w:ascii="宋体" w:hAnsi="宋体" w:cs="宋体"/>
                <w:kern w:val="0"/>
              </w:rPr>
            </w:pPr>
          </w:p>
        </w:tc>
        <w:tc>
          <w:tcPr>
            <w:tcW w:w="857" w:type="pct"/>
            <w:tcBorders>
              <w:tl2br w:val="nil"/>
              <w:tr2bl w:val="nil"/>
            </w:tcBorders>
            <w:noWrap/>
            <w:vAlign w:val="center"/>
          </w:tcPr>
          <w:p w14:paraId="091A9323">
            <w:pPr>
              <w:spacing w:line="320" w:lineRule="exact"/>
              <w:jc w:val="center"/>
              <w:rPr>
                <w:kern w:val="0"/>
              </w:rPr>
            </w:pPr>
            <w:r>
              <w:rPr>
                <w:kern w:val="0"/>
              </w:rPr>
              <w:t>0.0605</w:t>
            </w:r>
          </w:p>
        </w:tc>
        <w:tc>
          <w:tcPr>
            <w:tcW w:w="697" w:type="pct"/>
            <w:vMerge w:val="continue"/>
            <w:tcBorders>
              <w:tl2br w:val="nil"/>
              <w:tr2bl w:val="nil"/>
            </w:tcBorders>
            <w:noWrap/>
            <w:vAlign w:val="center"/>
          </w:tcPr>
          <w:p w14:paraId="7FC14C12">
            <w:pPr>
              <w:widowControl/>
              <w:spacing w:line="320" w:lineRule="exact"/>
              <w:jc w:val="center"/>
              <w:rPr>
                <w:rFonts w:ascii="宋体" w:hAnsi="宋体" w:cs="宋体"/>
                <w:kern w:val="0"/>
              </w:rPr>
            </w:pPr>
          </w:p>
        </w:tc>
        <w:tc>
          <w:tcPr>
            <w:tcW w:w="619" w:type="pct"/>
            <w:vMerge w:val="continue"/>
            <w:tcBorders>
              <w:tl2br w:val="nil"/>
              <w:tr2bl w:val="nil"/>
            </w:tcBorders>
            <w:noWrap/>
            <w:vAlign w:val="center"/>
          </w:tcPr>
          <w:p w14:paraId="7A945EEA">
            <w:pPr>
              <w:widowControl/>
              <w:spacing w:line="320" w:lineRule="exact"/>
              <w:jc w:val="center"/>
              <w:rPr>
                <w:rFonts w:ascii="宋体" w:hAnsi="宋体" w:cs="宋体"/>
                <w:kern w:val="0"/>
              </w:rPr>
            </w:pPr>
          </w:p>
        </w:tc>
      </w:tr>
      <w:tr w14:paraId="4E984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0B6EBDD9">
            <w:pPr>
              <w:widowControl/>
              <w:spacing w:line="320" w:lineRule="exact"/>
              <w:jc w:val="center"/>
              <w:rPr>
                <w:rFonts w:ascii="宋体" w:hAnsi="宋体" w:cs="宋体"/>
                <w:kern w:val="0"/>
              </w:rPr>
            </w:pPr>
          </w:p>
        </w:tc>
        <w:tc>
          <w:tcPr>
            <w:tcW w:w="964" w:type="pct"/>
            <w:tcBorders>
              <w:tl2br w:val="nil"/>
              <w:tr2bl w:val="nil"/>
            </w:tcBorders>
            <w:noWrap/>
            <w:vAlign w:val="center"/>
          </w:tcPr>
          <w:p w14:paraId="2C58E613">
            <w:pPr>
              <w:widowControl/>
              <w:spacing w:line="240" w:lineRule="exact"/>
              <w:jc w:val="center"/>
              <w:rPr>
                <w:kern w:val="0"/>
              </w:rPr>
            </w:pPr>
            <w:r>
              <w:rPr>
                <w:rFonts w:hint="eastAsia" w:ascii="宋体" w:hAnsi="宋体" w:cs="宋体"/>
                <w:kern w:val="0"/>
              </w:rPr>
              <w:t>非甲烷总烃</w:t>
            </w:r>
          </w:p>
        </w:tc>
        <w:tc>
          <w:tcPr>
            <w:tcW w:w="804" w:type="pct"/>
            <w:vMerge w:val="continue"/>
            <w:tcBorders>
              <w:tl2br w:val="nil"/>
              <w:tr2bl w:val="nil"/>
            </w:tcBorders>
            <w:noWrap/>
            <w:vAlign w:val="center"/>
          </w:tcPr>
          <w:p w14:paraId="354A4EF6">
            <w:pPr>
              <w:widowControl/>
              <w:spacing w:line="320" w:lineRule="exact"/>
              <w:jc w:val="center"/>
              <w:rPr>
                <w:rFonts w:ascii="宋体" w:hAnsi="宋体" w:cs="宋体"/>
                <w:kern w:val="0"/>
              </w:rPr>
            </w:pPr>
          </w:p>
        </w:tc>
        <w:tc>
          <w:tcPr>
            <w:tcW w:w="857" w:type="pct"/>
            <w:tcBorders>
              <w:tl2br w:val="nil"/>
              <w:tr2bl w:val="nil"/>
            </w:tcBorders>
            <w:noWrap/>
            <w:vAlign w:val="center"/>
          </w:tcPr>
          <w:p w14:paraId="6F15CC0C">
            <w:pPr>
              <w:spacing w:line="320" w:lineRule="exact"/>
              <w:jc w:val="center"/>
              <w:rPr>
                <w:kern w:val="0"/>
              </w:rPr>
            </w:pPr>
            <w:r>
              <w:rPr>
                <w:kern w:val="0"/>
              </w:rPr>
              <w:t>0.2905</w:t>
            </w:r>
          </w:p>
        </w:tc>
        <w:tc>
          <w:tcPr>
            <w:tcW w:w="697" w:type="pct"/>
            <w:vMerge w:val="continue"/>
            <w:tcBorders>
              <w:tl2br w:val="nil"/>
              <w:tr2bl w:val="nil"/>
            </w:tcBorders>
            <w:noWrap/>
            <w:vAlign w:val="center"/>
          </w:tcPr>
          <w:p w14:paraId="06AE51A3">
            <w:pPr>
              <w:widowControl/>
              <w:spacing w:line="320" w:lineRule="exact"/>
              <w:jc w:val="center"/>
              <w:rPr>
                <w:rFonts w:ascii="宋体" w:hAnsi="宋体" w:cs="宋体"/>
                <w:kern w:val="0"/>
              </w:rPr>
            </w:pPr>
          </w:p>
        </w:tc>
        <w:tc>
          <w:tcPr>
            <w:tcW w:w="619" w:type="pct"/>
            <w:vMerge w:val="continue"/>
            <w:tcBorders>
              <w:tl2br w:val="nil"/>
              <w:tr2bl w:val="nil"/>
            </w:tcBorders>
            <w:noWrap/>
            <w:vAlign w:val="center"/>
          </w:tcPr>
          <w:p w14:paraId="3B476022">
            <w:pPr>
              <w:widowControl/>
              <w:spacing w:line="320" w:lineRule="exact"/>
              <w:jc w:val="center"/>
              <w:rPr>
                <w:rFonts w:ascii="宋体" w:hAnsi="宋体" w:cs="宋体"/>
                <w:kern w:val="0"/>
              </w:rPr>
            </w:pPr>
          </w:p>
        </w:tc>
      </w:tr>
      <w:tr w14:paraId="5E3820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tcBorders>
              <w:tl2br w:val="nil"/>
              <w:tr2bl w:val="nil"/>
            </w:tcBorders>
            <w:noWrap/>
            <w:vAlign w:val="center"/>
          </w:tcPr>
          <w:p w14:paraId="7ACFDC97">
            <w:pPr>
              <w:widowControl/>
              <w:spacing w:line="320" w:lineRule="exact"/>
              <w:jc w:val="center"/>
              <w:rPr>
                <w:rFonts w:ascii="宋体" w:hAnsi="宋体" w:cs="宋体"/>
                <w:kern w:val="0"/>
              </w:rPr>
            </w:pPr>
            <w:r>
              <w:rPr>
                <w:rFonts w:hint="eastAsia"/>
                <w:kern w:val="0"/>
              </w:rPr>
              <w:t>未捕集到的电泳干燥废气</w:t>
            </w:r>
          </w:p>
        </w:tc>
        <w:tc>
          <w:tcPr>
            <w:tcW w:w="964" w:type="pct"/>
            <w:tcBorders>
              <w:tl2br w:val="nil"/>
              <w:tr2bl w:val="nil"/>
            </w:tcBorders>
            <w:noWrap/>
            <w:vAlign w:val="center"/>
          </w:tcPr>
          <w:p w14:paraId="487A2FE9">
            <w:pPr>
              <w:widowControl/>
              <w:spacing w:line="320" w:lineRule="exact"/>
              <w:jc w:val="center"/>
              <w:rPr>
                <w:rFonts w:ascii="宋体" w:hAnsi="宋体" w:cs="宋体"/>
                <w:kern w:val="0"/>
              </w:rPr>
            </w:pPr>
            <w:r>
              <w:rPr>
                <w:rFonts w:hint="eastAsia" w:ascii="宋体" w:hAnsi="宋体" w:cs="宋体"/>
                <w:kern w:val="0"/>
              </w:rPr>
              <w:t>非甲烷总烃</w:t>
            </w:r>
          </w:p>
        </w:tc>
        <w:tc>
          <w:tcPr>
            <w:tcW w:w="804" w:type="pct"/>
            <w:tcBorders>
              <w:tl2br w:val="nil"/>
              <w:tr2bl w:val="nil"/>
            </w:tcBorders>
            <w:noWrap/>
            <w:vAlign w:val="center"/>
          </w:tcPr>
          <w:p w14:paraId="2BE55073">
            <w:pPr>
              <w:widowControl/>
              <w:spacing w:line="320" w:lineRule="exact"/>
              <w:jc w:val="center"/>
              <w:rPr>
                <w:szCs w:val="21"/>
              </w:rPr>
            </w:pPr>
            <w:r>
              <w:rPr>
                <w:rFonts w:hint="eastAsia"/>
                <w:szCs w:val="21"/>
              </w:rPr>
              <w:t>金属表面处理车间</w:t>
            </w:r>
          </w:p>
        </w:tc>
        <w:tc>
          <w:tcPr>
            <w:tcW w:w="857" w:type="pct"/>
            <w:tcBorders>
              <w:tl2br w:val="nil"/>
              <w:tr2bl w:val="nil"/>
            </w:tcBorders>
            <w:noWrap/>
            <w:vAlign w:val="center"/>
          </w:tcPr>
          <w:p w14:paraId="6BDB31D1">
            <w:pPr>
              <w:spacing w:line="320" w:lineRule="exact"/>
              <w:jc w:val="center"/>
              <w:rPr>
                <w:kern w:val="0"/>
              </w:rPr>
            </w:pPr>
            <w:r>
              <w:rPr>
                <w:rFonts w:hint="eastAsia"/>
                <w:kern w:val="0"/>
              </w:rPr>
              <w:t>0.15</w:t>
            </w:r>
          </w:p>
        </w:tc>
        <w:tc>
          <w:tcPr>
            <w:tcW w:w="697" w:type="pct"/>
            <w:tcBorders>
              <w:tl2br w:val="nil"/>
              <w:tr2bl w:val="nil"/>
            </w:tcBorders>
            <w:noWrap/>
            <w:vAlign w:val="center"/>
          </w:tcPr>
          <w:p w14:paraId="471DC62D">
            <w:pPr>
              <w:widowControl/>
              <w:spacing w:line="320" w:lineRule="exact"/>
              <w:jc w:val="center"/>
              <w:rPr>
                <w:kern w:val="0"/>
              </w:rPr>
            </w:pPr>
            <w:r>
              <w:rPr>
                <w:rFonts w:hint="eastAsia"/>
                <w:kern w:val="0"/>
              </w:rPr>
              <w:t>503.5</w:t>
            </w:r>
          </w:p>
        </w:tc>
        <w:tc>
          <w:tcPr>
            <w:tcW w:w="619" w:type="pct"/>
            <w:tcBorders>
              <w:tl2br w:val="nil"/>
              <w:tr2bl w:val="nil"/>
            </w:tcBorders>
            <w:noWrap/>
            <w:vAlign w:val="center"/>
          </w:tcPr>
          <w:p w14:paraId="4D643A22">
            <w:pPr>
              <w:widowControl/>
              <w:spacing w:line="320" w:lineRule="exact"/>
              <w:jc w:val="center"/>
              <w:rPr>
                <w:rFonts w:ascii="宋体" w:hAnsi="宋体" w:cs="宋体"/>
                <w:kern w:val="0"/>
              </w:rPr>
            </w:pPr>
            <w:r>
              <w:rPr>
                <w:kern w:val="0"/>
              </w:rPr>
              <w:t>11.95</w:t>
            </w:r>
          </w:p>
        </w:tc>
      </w:tr>
      <w:tr w14:paraId="1716D4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restart"/>
            <w:tcBorders>
              <w:tl2br w:val="nil"/>
              <w:tr2bl w:val="nil"/>
            </w:tcBorders>
            <w:noWrap/>
            <w:vAlign w:val="center"/>
          </w:tcPr>
          <w:p w14:paraId="0E155809">
            <w:pPr>
              <w:spacing w:line="320" w:lineRule="exact"/>
              <w:jc w:val="center"/>
              <w:rPr>
                <w:kern w:val="0"/>
              </w:rPr>
            </w:pPr>
            <w:r>
              <w:rPr>
                <w:rFonts w:hint="eastAsia"/>
                <w:kern w:val="0"/>
              </w:rPr>
              <w:t>未捕集到的配料粉尘、未捕集到的混炼废气、未捕集到的反炼废气、</w:t>
            </w:r>
            <w:r>
              <w:rPr>
                <w:rFonts w:hint="eastAsia"/>
                <w:szCs w:val="21"/>
              </w:rPr>
              <w:t>未捕集到的挤出预成型废气</w:t>
            </w:r>
          </w:p>
        </w:tc>
        <w:tc>
          <w:tcPr>
            <w:tcW w:w="964" w:type="pct"/>
            <w:tcBorders>
              <w:tl2br w:val="nil"/>
              <w:tr2bl w:val="nil"/>
            </w:tcBorders>
            <w:noWrap/>
            <w:vAlign w:val="center"/>
          </w:tcPr>
          <w:p w14:paraId="3F320F12">
            <w:pPr>
              <w:spacing w:line="280" w:lineRule="atLeast"/>
              <w:jc w:val="center"/>
              <w:rPr>
                <w:szCs w:val="21"/>
              </w:rPr>
            </w:pPr>
            <w:r>
              <w:rPr>
                <w:rFonts w:hint="eastAsia"/>
                <w:szCs w:val="21"/>
              </w:rPr>
              <w:t>粉尘（含炭黑尘）</w:t>
            </w:r>
          </w:p>
        </w:tc>
        <w:tc>
          <w:tcPr>
            <w:tcW w:w="804" w:type="pct"/>
            <w:vMerge w:val="restart"/>
            <w:tcBorders>
              <w:tl2br w:val="nil"/>
              <w:tr2bl w:val="nil"/>
            </w:tcBorders>
            <w:noWrap/>
            <w:vAlign w:val="center"/>
          </w:tcPr>
          <w:p w14:paraId="174836D6">
            <w:pPr>
              <w:widowControl/>
              <w:spacing w:line="320" w:lineRule="exact"/>
              <w:jc w:val="center"/>
              <w:rPr>
                <w:szCs w:val="21"/>
              </w:rPr>
            </w:pPr>
            <w:r>
              <w:rPr>
                <w:rFonts w:hint="eastAsia"/>
                <w:szCs w:val="21"/>
              </w:rPr>
              <w:t>3#车间</w:t>
            </w:r>
          </w:p>
        </w:tc>
        <w:tc>
          <w:tcPr>
            <w:tcW w:w="857" w:type="pct"/>
            <w:tcBorders>
              <w:tl2br w:val="nil"/>
              <w:tr2bl w:val="nil"/>
            </w:tcBorders>
            <w:noWrap/>
            <w:vAlign w:val="center"/>
          </w:tcPr>
          <w:p w14:paraId="155F7926">
            <w:pPr>
              <w:spacing w:line="320" w:lineRule="exact"/>
              <w:jc w:val="center"/>
              <w:rPr>
                <w:kern w:val="0"/>
              </w:rPr>
            </w:pPr>
            <w:r>
              <w:rPr>
                <w:kern w:val="0"/>
              </w:rPr>
              <w:t>1.434</w:t>
            </w:r>
          </w:p>
        </w:tc>
        <w:tc>
          <w:tcPr>
            <w:tcW w:w="697" w:type="pct"/>
            <w:vMerge w:val="restart"/>
            <w:tcBorders>
              <w:tl2br w:val="nil"/>
              <w:tr2bl w:val="nil"/>
            </w:tcBorders>
            <w:noWrap/>
            <w:vAlign w:val="center"/>
          </w:tcPr>
          <w:p w14:paraId="261F4B1A">
            <w:pPr>
              <w:spacing w:line="320" w:lineRule="exact"/>
              <w:jc w:val="center"/>
              <w:rPr>
                <w:kern w:val="0"/>
              </w:rPr>
            </w:pPr>
            <w:r>
              <w:rPr>
                <w:rFonts w:hint="eastAsia"/>
                <w:kern w:val="0"/>
              </w:rPr>
              <w:t>6650</w:t>
            </w:r>
          </w:p>
        </w:tc>
        <w:tc>
          <w:tcPr>
            <w:tcW w:w="619" w:type="pct"/>
            <w:vMerge w:val="restart"/>
            <w:tcBorders>
              <w:tl2br w:val="nil"/>
              <w:tr2bl w:val="nil"/>
            </w:tcBorders>
            <w:noWrap/>
            <w:vAlign w:val="center"/>
          </w:tcPr>
          <w:p w14:paraId="410F5A62">
            <w:pPr>
              <w:spacing w:line="320" w:lineRule="exact"/>
              <w:jc w:val="center"/>
              <w:rPr>
                <w:kern w:val="0"/>
              </w:rPr>
            </w:pPr>
            <w:r>
              <w:rPr>
                <w:kern w:val="0"/>
              </w:rPr>
              <w:t>11.95</w:t>
            </w:r>
          </w:p>
        </w:tc>
      </w:tr>
      <w:tr w14:paraId="05AAC8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36DD35F4">
            <w:pPr>
              <w:spacing w:line="320" w:lineRule="exact"/>
              <w:jc w:val="center"/>
              <w:rPr>
                <w:kern w:val="0"/>
              </w:rPr>
            </w:pPr>
          </w:p>
        </w:tc>
        <w:tc>
          <w:tcPr>
            <w:tcW w:w="964" w:type="pct"/>
            <w:tcBorders>
              <w:tl2br w:val="nil"/>
              <w:tr2bl w:val="nil"/>
            </w:tcBorders>
            <w:noWrap/>
            <w:vAlign w:val="center"/>
          </w:tcPr>
          <w:p w14:paraId="54DB960D">
            <w:pPr>
              <w:widowControl/>
              <w:spacing w:line="240" w:lineRule="exact"/>
              <w:jc w:val="center"/>
              <w:rPr>
                <w:kern w:val="0"/>
              </w:rPr>
            </w:pPr>
            <w:r>
              <w:rPr>
                <w:kern w:val="0"/>
              </w:rPr>
              <w:t>H</w:t>
            </w:r>
            <w:r>
              <w:rPr>
                <w:kern w:val="0"/>
                <w:vertAlign w:val="subscript"/>
              </w:rPr>
              <w:t>2</w:t>
            </w:r>
            <w:r>
              <w:rPr>
                <w:kern w:val="0"/>
              </w:rPr>
              <w:t>S</w:t>
            </w:r>
          </w:p>
        </w:tc>
        <w:tc>
          <w:tcPr>
            <w:tcW w:w="804" w:type="pct"/>
            <w:vMerge w:val="continue"/>
            <w:tcBorders>
              <w:tl2br w:val="nil"/>
              <w:tr2bl w:val="nil"/>
            </w:tcBorders>
            <w:noWrap/>
            <w:vAlign w:val="center"/>
          </w:tcPr>
          <w:p w14:paraId="241FAE1B">
            <w:pPr>
              <w:widowControl/>
              <w:spacing w:line="320" w:lineRule="exact"/>
              <w:jc w:val="center"/>
              <w:rPr>
                <w:kern w:val="0"/>
              </w:rPr>
            </w:pPr>
          </w:p>
        </w:tc>
        <w:tc>
          <w:tcPr>
            <w:tcW w:w="857" w:type="pct"/>
            <w:tcBorders>
              <w:tl2br w:val="nil"/>
              <w:tr2bl w:val="nil"/>
            </w:tcBorders>
            <w:noWrap/>
            <w:vAlign w:val="center"/>
          </w:tcPr>
          <w:p w14:paraId="02447378">
            <w:pPr>
              <w:spacing w:line="320" w:lineRule="exact"/>
              <w:jc w:val="center"/>
              <w:rPr>
                <w:kern w:val="0"/>
              </w:rPr>
            </w:pPr>
            <w:r>
              <w:rPr>
                <w:kern w:val="0"/>
              </w:rPr>
              <w:t>0.0264</w:t>
            </w:r>
          </w:p>
        </w:tc>
        <w:tc>
          <w:tcPr>
            <w:tcW w:w="697" w:type="pct"/>
            <w:vMerge w:val="continue"/>
            <w:tcBorders>
              <w:tl2br w:val="nil"/>
              <w:tr2bl w:val="nil"/>
            </w:tcBorders>
            <w:noWrap/>
            <w:vAlign w:val="center"/>
          </w:tcPr>
          <w:p w14:paraId="18D79B50">
            <w:pPr>
              <w:widowControl/>
              <w:spacing w:line="320" w:lineRule="exact"/>
              <w:jc w:val="center"/>
              <w:rPr>
                <w:kern w:val="0"/>
              </w:rPr>
            </w:pPr>
          </w:p>
        </w:tc>
        <w:tc>
          <w:tcPr>
            <w:tcW w:w="619" w:type="pct"/>
            <w:vMerge w:val="continue"/>
            <w:tcBorders>
              <w:tl2br w:val="nil"/>
              <w:tr2bl w:val="nil"/>
            </w:tcBorders>
            <w:noWrap/>
            <w:vAlign w:val="center"/>
          </w:tcPr>
          <w:p w14:paraId="1510952E">
            <w:pPr>
              <w:widowControl/>
              <w:spacing w:line="320" w:lineRule="exact"/>
              <w:jc w:val="center"/>
              <w:rPr>
                <w:kern w:val="0"/>
              </w:rPr>
            </w:pPr>
          </w:p>
        </w:tc>
      </w:tr>
      <w:tr w14:paraId="24A2E8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0308FBE8">
            <w:pPr>
              <w:spacing w:line="320" w:lineRule="exact"/>
              <w:jc w:val="center"/>
              <w:rPr>
                <w:kern w:val="0"/>
              </w:rPr>
            </w:pPr>
          </w:p>
        </w:tc>
        <w:tc>
          <w:tcPr>
            <w:tcW w:w="964" w:type="pct"/>
            <w:tcBorders>
              <w:tl2br w:val="nil"/>
              <w:tr2bl w:val="nil"/>
            </w:tcBorders>
            <w:noWrap/>
            <w:vAlign w:val="center"/>
          </w:tcPr>
          <w:p w14:paraId="75C7FA60">
            <w:pPr>
              <w:widowControl/>
              <w:spacing w:line="320" w:lineRule="exact"/>
              <w:jc w:val="center"/>
              <w:rPr>
                <w:rFonts w:ascii="宋体" w:hAnsi="宋体" w:cs="宋体"/>
                <w:kern w:val="0"/>
              </w:rPr>
            </w:pPr>
            <w:r>
              <w:rPr>
                <w:rFonts w:hint="eastAsia" w:ascii="宋体" w:hAnsi="宋体" w:cs="宋体"/>
                <w:kern w:val="0"/>
              </w:rPr>
              <w:t>非甲烷总烃</w:t>
            </w:r>
          </w:p>
        </w:tc>
        <w:tc>
          <w:tcPr>
            <w:tcW w:w="804" w:type="pct"/>
            <w:vMerge w:val="continue"/>
            <w:tcBorders>
              <w:tl2br w:val="nil"/>
              <w:tr2bl w:val="nil"/>
            </w:tcBorders>
            <w:noWrap/>
            <w:vAlign w:val="center"/>
          </w:tcPr>
          <w:p w14:paraId="18ED4026">
            <w:pPr>
              <w:widowControl/>
              <w:spacing w:line="320" w:lineRule="exact"/>
              <w:jc w:val="center"/>
              <w:rPr>
                <w:kern w:val="0"/>
              </w:rPr>
            </w:pPr>
          </w:p>
        </w:tc>
        <w:tc>
          <w:tcPr>
            <w:tcW w:w="857" w:type="pct"/>
            <w:tcBorders>
              <w:tl2br w:val="nil"/>
              <w:tr2bl w:val="nil"/>
            </w:tcBorders>
            <w:noWrap/>
            <w:vAlign w:val="center"/>
          </w:tcPr>
          <w:p w14:paraId="4CC91F4D">
            <w:pPr>
              <w:spacing w:line="320" w:lineRule="exact"/>
              <w:jc w:val="center"/>
              <w:rPr>
                <w:kern w:val="0"/>
              </w:rPr>
            </w:pPr>
            <w:r>
              <w:rPr>
                <w:kern w:val="0"/>
              </w:rPr>
              <w:t>0.479</w:t>
            </w:r>
          </w:p>
        </w:tc>
        <w:tc>
          <w:tcPr>
            <w:tcW w:w="697" w:type="pct"/>
            <w:vMerge w:val="continue"/>
            <w:tcBorders>
              <w:tl2br w:val="nil"/>
              <w:tr2bl w:val="nil"/>
            </w:tcBorders>
            <w:noWrap/>
            <w:vAlign w:val="center"/>
          </w:tcPr>
          <w:p w14:paraId="5A6DB33B">
            <w:pPr>
              <w:widowControl/>
              <w:spacing w:line="320" w:lineRule="exact"/>
              <w:jc w:val="center"/>
              <w:rPr>
                <w:kern w:val="0"/>
              </w:rPr>
            </w:pPr>
          </w:p>
        </w:tc>
        <w:tc>
          <w:tcPr>
            <w:tcW w:w="619" w:type="pct"/>
            <w:vMerge w:val="continue"/>
            <w:tcBorders>
              <w:tl2br w:val="nil"/>
              <w:tr2bl w:val="nil"/>
            </w:tcBorders>
            <w:noWrap/>
            <w:vAlign w:val="center"/>
          </w:tcPr>
          <w:p w14:paraId="20487D58">
            <w:pPr>
              <w:widowControl/>
              <w:spacing w:line="320" w:lineRule="exact"/>
              <w:jc w:val="center"/>
              <w:rPr>
                <w:kern w:val="0"/>
              </w:rPr>
            </w:pPr>
          </w:p>
        </w:tc>
      </w:tr>
      <w:tr w14:paraId="1C32E7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restart"/>
            <w:tcBorders>
              <w:tl2br w:val="nil"/>
              <w:tr2bl w:val="nil"/>
            </w:tcBorders>
            <w:noWrap/>
            <w:vAlign w:val="center"/>
          </w:tcPr>
          <w:p w14:paraId="3BE8A310">
            <w:pPr>
              <w:spacing w:line="320" w:lineRule="exact"/>
              <w:jc w:val="center"/>
              <w:rPr>
                <w:kern w:val="0"/>
              </w:rPr>
            </w:pPr>
            <w:r>
              <w:rPr>
                <w:rFonts w:hint="eastAsia"/>
                <w:kern w:val="0"/>
              </w:rPr>
              <w:t>未捕集到的</w:t>
            </w:r>
            <w:r>
              <w:rPr>
                <w:kern w:val="0"/>
              </w:rPr>
              <w:t>喷、浸、涂胶及干燥</w:t>
            </w:r>
            <w:r>
              <w:rPr>
                <w:rFonts w:hint="eastAsia"/>
                <w:kern w:val="0"/>
              </w:rPr>
              <w:t>废气</w:t>
            </w:r>
            <w:r>
              <w:rPr>
                <w:rFonts w:hint="eastAsia"/>
                <w:szCs w:val="21"/>
              </w:rPr>
              <w:t>、未捕集到的硫化复合</w:t>
            </w:r>
            <w:r>
              <w:rPr>
                <w:rFonts w:hint="eastAsia"/>
                <w:kern w:val="0"/>
              </w:rPr>
              <w:t>废气</w:t>
            </w:r>
            <w:r>
              <w:rPr>
                <w:rFonts w:hint="eastAsia"/>
                <w:szCs w:val="21"/>
              </w:rPr>
              <w:t>、未捕集到的二次硫化废气</w:t>
            </w:r>
          </w:p>
        </w:tc>
        <w:tc>
          <w:tcPr>
            <w:tcW w:w="964" w:type="pct"/>
            <w:tcBorders>
              <w:tl2br w:val="nil"/>
              <w:tr2bl w:val="nil"/>
            </w:tcBorders>
            <w:noWrap/>
            <w:vAlign w:val="center"/>
          </w:tcPr>
          <w:p w14:paraId="0F603887">
            <w:pPr>
              <w:widowControl/>
              <w:spacing w:line="320" w:lineRule="exact"/>
              <w:jc w:val="center"/>
              <w:rPr>
                <w:rFonts w:ascii="宋体" w:hAnsi="宋体" w:cs="宋体"/>
                <w:kern w:val="0"/>
              </w:rPr>
            </w:pPr>
            <w:r>
              <w:rPr>
                <w:rFonts w:hint="eastAsia" w:ascii="宋体" w:hAnsi="宋体" w:cs="宋体"/>
                <w:kern w:val="0"/>
              </w:rPr>
              <w:t>氟化物</w:t>
            </w:r>
          </w:p>
        </w:tc>
        <w:tc>
          <w:tcPr>
            <w:tcW w:w="804" w:type="pct"/>
            <w:vMerge w:val="restart"/>
            <w:tcBorders>
              <w:tl2br w:val="nil"/>
              <w:tr2bl w:val="nil"/>
            </w:tcBorders>
            <w:noWrap/>
            <w:vAlign w:val="center"/>
          </w:tcPr>
          <w:p w14:paraId="1B3F920B">
            <w:pPr>
              <w:spacing w:line="320" w:lineRule="exact"/>
              <w:jc w:val="center"/>
              <w:rPr>
                <w:kern w:val="0"/>
              </w:rPr>
            </w:pPr>
            <w:r>
              <w:rPr>
                <w:kern w:val="0"/>
              </w:rPr>
              <w:t>4#</w:t>
            </w:r>
            <w:r>
              <w:rPr>
                <w:rFonts w:hint="eastAsia" w:ascii="宋体" w:hAnsi="宋体"/>
                <w:kern w:val="0"/>
              </w:rPr>
              <w:t>车间</w:t>
            </w:r>
          </w:p>
        </w:tc>
        <w:tc>
          <w:tcPr>
            <w:tcW w:w="857" w:type="pct"/>
            <w:tcBorders>
              <w:tl2br w:val="nil"/>
              <w:tr2bl w:val="nil"/>
            </w:tcBorders>
            <w:noWrap/>
            <w:vAlign w:val="center"/>
          </w:tcPr>
          <w:p w14:paraId="75037443">
            <w:pPr>
              <w:spacing w:line="320" w:lineRule="exact"/>
              <w:jc w:val="center"/>
              <w:rPr>
                <w:kern w:val="0"/>
              </w:rPr>
            </w:pPr>
            <w:r>
              <w:rPr>
                <w:kern w:val="0"/>
              </w:rPr>
              <w:t>0.000435</w:t>
            </w:r>
          </w:p>
        </w:tc>
        <w:tc>
          <w:tcPr>
            <w:tcW w:w="697" w:type="pct"/>
            <w:vMerge w:val="restart"/>
            <w:tcBorders>
              <w:tl2br w:val="nil"/>
              <w:tr2bl w:val="nil"/>
            </w:tcBorders>
            <w:noWrap/>
            <w:vAlign w:val="center"/>
          </w:tcPr>
          <w:p w14:paraId="481D6DE0">
            <w:pPr>
              <w:spacing w:line="320" w:lineRule="exact"/>
              <w:jc w:val="center"/>
              <w:rPr>
                <w:kern w:val="0"/>
              </w:rPr>
            </w:pPr>
            <w:r>
              <w:rPr>
                <w:rFonts w:hint="eastAsia"/>
                <w:kern w:val="0"/>
              </w:rPr>
              <w:t>6650</w:t>
            </w:r>
          </w:p>
        </w:tc>
        <w:tc>
          <w:tcPr>
            <w:tcW w:w="619" w:type="pct"/>
            <w:vMerge w:val="restart"/>
            <w:tcBorders>
              <w:tl2br w:val="nil"/>
              <w:tr2bl w:val="nil"/>
            </w:tcBorders>
            <w:noWrap/>
            <w:vAlign w:val="center"/>
          </w:tcPr>
          <w:p w14:paraId="5C580872">
            <w:pPr>
              <w:spacing w:line="320" w:lineRule="exact"/>
              <w:jc w:val="center"/>
              <w:rPr>
                <w:kern w:val="0"/>
              </w:rPr>
            </w:pPr>
            <w:r>
              <w:rPr>
                <w:kern w:val="0"/>
              </w:rPr>
              <w:t>11.95</w:t>
            </w:r>
          </w:p>
        </w:tc>
      </w:tr>
      <w:tr w14:paraId="4AD410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6857AC0C">
            <w:pPr>
              <w:spacing w:line="320" w:lineRule="exact"/>
              <w:jc w:val="center"/>
              <w:rPr>
                <w:kern w:val="0"/>
              </w:rPr>
            </w:pPr>
          </w:p>
        </w:tc>
        <w:tc>
          <w:tcPr>
            <w:tcW w:w="964" w:type="pct"/>
            <w:tcBorders>
              <w:tl2br w:val="nil"/>
              <w:tr2bl w:val="nil"/>
            </w:tcBorders>
            <w:noWrap/>
            <w:vAlign w:val="center"/>
          </w:tcPr>
          <w:p w14:paraId="37E0F390">
            <w:pPr>
              <w:widowControl/>
              <w:spacing w:line="320" w:lineRule="exact"/>
              <w:jc w:val="center"/>
              <w:rPr>
                <w:rFonts w:ascii="宋体" w:hAnsi="宋体" w:cs="宋体"/>
                <w:kern w:val="0"/>
              </w:rPr>
            </w:pPr>
            <w:r>
              <w:rPr>
                <w:kern w:val="0"/>
              </w:rPr>
              <w:t>H</w:t>
            </w:r>
            <w:r>
              <w:rPr>
                <w:kern w:val="0"/>
                <w:vertAlign w:val="subscript"/>
              </w:rPr>
              <w:t>2</w:t>
            </w:r>
            <w:r>
              <w:rPr>
                <w:kern w:val="0"/>
              </w:rPr>
              <w:t>S</w:t>
            </w:r>
          </w:p>
        </w:tc>
        <w:tc>
          <w:tcPr>
            <w:tcW w:w="804" w:type="pct"/>
            <w:vMerge w:val="continue"/>
            <w:tcBorders>
              <w:tl2br w:val="nil"/>
              <w:tr2bl w:val="nil"/>
            </w:tcBorders>
            <w:noWrap/>
            <w:vAlign w:val="center"/>
          </w:tcPr>
          <w:p w14:paraId="1F673A52">
            <w:pPr>
              <w:spacing w:line="320" w:lineRule="exact"/>
              <w:jc w:val="center"/>
              <w:rPr>
                <w:kern w:val="0"/>
              </w:rPr>
            </w:pPr>
          </w:p>
        </w:tc>
        <w:tc>
          <w:tcPr>
            <w:tcW w:w="857" w:type="pct"/>
            <w:tcBorders>
              <w:tl2br w:val="nil"/>
              <w:tr2bl w:val="nil"/>
            </w:tcBorders>
            <w:noWrap/>
            <w:vAlign w:val="center"/>
          </w:tcPr>
          <w:p w14:paraId="612909FC">
            <w:pPr>
              <w:spacing w:line="320" w:lineRule="exact"/>
              <w:jc w:val="center"/>
              <w:rPr>
                <w:kern w:val="0"/>
              </w:rPr>
            </w:pPr>
            <w:r>
              <w:rPr>
                <w:kern w:val="0"/>
              </w:rPr>
              <w:t>0.0505</w:t>
            </w:r>
          </w:p>
        </w:tc>
        <w:tc>
          <w:tcPr>
            <w:tcW w:w="697" w:type="pct"/>
            <w:vMerge w:val="continue"/>
            <w:tcBorders>
              <w:tl2br w:val="nil"/>
              <w:tr2bl w:val="nil"/>
            </w:tcBorders>
            <w:noWrap/>
            <w:vAlign w:val="center"/>
          </w:tcPr>
          <w:p w14:paraId="6C0F6E0B">
            <w:pPr>
              <w:spacing w:line="320" w:lineRule="exact"/>
              <w:jc w:val="center"/>
              <w:rPr>
                <w:kern w:val="0"/>
              </w:rPr>
            </w:pPr>
          </w:p>
        </w:tc>
        <w:tc>
          <w:tcPr>
            <w:tcW w:w="619" w:type="pct"/>
            <w:vMerge w:val="continue"/>
            <w:tcBorders>
              <w:tl2br w:val="nil"/>
              <w:tr2bl w:val="nil"/>
            </w:tcBorders>
            <w:noWrap/>
            <w:vAlign w:val="center"/>
          </w:tcPr>
          <w:p w14:paraId="1E9471B4">
            <w:pPr>
              <w:spacing w:line="320" w:lineRule="exact"/>
              <w:jc w:val="center"/>
              <w:rPr>
                <w:kern w:val="0"/>
              </w:rPr>
            </w:pPr>
          </w:p>
        </w:tc>
      </w:tr>
      <w:tr w14:paraId="2D52D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73D945A2">
            <w:pPr>
              <w:spacing w:line="320" w:lineRule="exact"/>
              <w:jc w:val="center"/>
              <w:rPr>
                <w:kern w:val="0"/>
              </w:rPr>
            </w:pPr>
          </w:p>
        </w:tc>
        <w:tc>
          <w:tcPr>
            <w:tcW w:w="964" w:type="pct"/>
            <w:tcBorders>
              <w:tl2br w:val="nil"/>
              <w:tr2bl w:val="nil"/>
            </w:tcBorders>
            <w:noWrap/>
            <w:vAlign w:val="center"/>
          </w:tcPr>
          <w:p w14:paraId="271E264A">
            <w:pPr>
              <w:widowControl/>
              <w:spacing w:line="320" w:lineRule="exact"/>
              <w:jc w:val="center"/>
              <w:rPr>
                <w:rFonts w:ascii="宋体" w:hAnsi="宋体" w:cs="宋体"/>
                <w:kern w:val="0"/>
              </w:rPr>
            </w:pPr>
            <w:r>
              <w:rPr>
                <w:rFonts w:hint="eastAsia" w:ascii="宋体" w:hAnsi="宋体" w:cs="宋体"/>
                <w:kern w:val="0"/>
              </w:rPr>
              <w:t>非甲烷总烃</w:t>
            </w:r>
          </w:p>
        </w:tc>
        <w:tc>
          <w:tcPr>
            <w:tcW w:w="804" w:type="pct"/>
            <w:vMerge w:val="continue"/>
            <w:tcBorders>
              <w:tl2br w:val="nil"/>
              <w:tr2bl w:val="nil"/>
            </w:tcBorders>
            <w:noWrap/>
            <w:vAlign w:val="center"/>
          </w:tcPr>
          <w:p w14:paraId="2624ECEB">
            <w:pPr>
              <w:spacing w:line="320" w:lineRule="exact"/>
              <w:jc w:val="center"/>
              <w:rPr>
                <w:kern w:val="0"/>
              </w:rPr>
            </w:pPr>
          </w:p>
        </w:tc>
        <w:tc>
          <w:tcPr>
            <w:tcW w:w="857" w:type="pct"/>
            <w:tcBorders>
              <w:tl2br w:val="nil"/>
              <w:tr2bl w:val="nil"/>
            </w:tcBorders>
            <w:noWrap/>
            <w:vAlign w:val="center"/>
          </w:tcPr>
          <w:p w14:paraId="2C6A430C">
            <w:pPr>
              <w:spacing w:line="320" w:lineRule="exact"/>
              <w:jc w:val="center"/>
              <w:rPr>
                <w:kern w:val="0"/>
              </w:rPr>
            </w:pPr>
            <w:r>
              <w:rPr>
                <w:rFonts w:hint="eastAsia"/>
                <w:kern w:val="0"/>
              </w:rPr>
              <w:t>0.2281</w:t>
            </w:r>
          </w:p>
        </w:tc>
        <w:tc>
          <w:tcPr>
            <w:tcW w:w="697" w:type="pct"/>
            <w:vMerge w:val="continue"/>
            <w:tcBorders>
              <w:tl2br w:val="nil"/>
              <w:tr2bl w:val="nil"/>
            </w:tcBorders>
            <w:noWrap/>
            <w:vAlign w:val="center"/>
          </w:tcPr>
          <w:p w14:paraId="1182593D">
            <w:pPr>
              <w:spacing w:line="320" w:lineRule="exact"/>
              <w:jc w:val="center"/>
              <w:rPr>
                <w:kern w:val="0"/>
              </w:rPr>
            </w:pPr>
          </w:p>
        </w:tc>
        <w:tc>
          <w:tcPr>
            <w:tcW w:w="619" w:type="pct"/>
            <w:vMerge w:val="continue"/>
            <w:tcBorders>
              <w:tl2br w:val="nil"/>
              <w:tr2bl w:val="nil"/>
            </w:tcBorders>
            <w:noWrap/>
            <w:vAlign w:val="center"/>
          </w:tcPr>
          <w:p w14:paraId="255671CC">
            <w:pPr>
              <w:spacing w:line="320" w:lineRule="exact"/>
              <w:jc w:val="center"/>
              <w:rPr>
                <w:kern w:val="0"/>
              </w:rPr>
            </w:pPr>
          </w:p>
        </w:tc>
      </w:tr>
      <w:tr w14:paraId="581C54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42215827">
            <w:pPr>
              <w:spacing w:line="320" w:lineRule="exact"/>
              <w:jc w:val="center"/>
              <w:rPr>
                <w:kern w:val="0"/>
              </w:rPr>
            </w:pPr>
          </w:p>
        </w:tc>
        <w:tc>
          <w:tcPr>
            <w:tcW w:w="964" w:type="pct"/>
            <w:tcBorders>
              <w:tl2br w:val="nil"/>
              <w:tr2bl w:val="nil"/>
            </w:tcBorders>
            <w:noWrap/>
            <w:vAlign w:val="center"/>
          </w:tcPr>
          <w:p w14:paraId="5BCC42C6">
            <w:pPr>
              <w:widowControl/>
              <w:spacing w:line="320" w:lineRule="exact"/>
              <w:jc w:val="center"/>
              <w:rPr>
                <w:rFonts w:ascii="宋体" w:hAnsi="宋体" w:cs="宋体"/>
                <w:kern w:val="0"/>
              </w:rPr>
            </w:pPr>
            <w:r>
              <w:rPr>
                <w:rFonts w:hint="eastAsia" w:ascii="宋体" w:hAnsi="宋体" w:cs="宋体"/>
                <w:kern w:val="0"/>
              </w:rPr>
              <w:t>二甲苯</w:t>
            </w:r>
          </w:p>
        </w:tc>
        <w:tc>
          <w:tcPr>
            <w:tcW w:w="804" w:type="pct"/>
            <w:vMerge w:val="continue"/>
            <w:tcBorders>
              <w:tl2br w:val="nil"/>
              <w:tr2bl w:val="nil"/>
            </w:tcBorders>
            <w:noWrap/>
            <w:vAlign w:val="center"/>
          </w:tcPr>
          <w:p w14:paraId="4400E610">
            <w:pPr>
              <w:spacing w:line="320" w:lineRule="exact"/>
              <w:jc w:val="center"/>
              <w:rPr>
                <w:kern w:val="0"/>
              </w:rPr>
            </w:pPr>
          </w:p>
        </w:tc>
        <w:tc>
          <w:tcPr>
            <w:tcW w:w="857" w:type="pct"/>
            <w:tcBorders>
              <w:tl2br w:val="nil"/>
              <w:tr2bl w:val="nil"/>
            </w:tcBorders>
            <w:noWrap/>
            <w:vAlign w:val="center"/>
          </w:tcPr>
          <w:p w14:paraId="63E82389">
            <w:pPr>
              <w:widowControl/>
              <w:spacing w:line="320" w:lineRule="exact"/>
              <w:jc w:val="center"/>
              <w:rPr>
                <w:kern w:val="0"/>
              </w:rPr>
            </w:pPr>
            <w:r>
              <w:rPr>
                <w:rFonts w:hint="eastAsia"/>
                <w:kern w:val="0"/>
              </w:rPr>
              <w:t>0.04</w:t>
            </w:r>
          </w:p>
        </w:tc>
        <w:tc>
          <w:tcPr>
            <w:tcW w:w="697" w:type="pct"/>
            <w:vMerge w:val="continue"/>
            <w:tcBorders>
              <w:tl2br w:val="nil"/>
              <w:tr2bl w:val="nil"/>
            </w:tcBorders>
            <w:noWrap/>
            <w:vAlign w:val="center"/>
          </w:tcPr>
          <w:p w14:paraId="1B11C8B9">
            <w:pPr>
              <w:spacing w:line="320" w:lineRule="exact"/>
              <w:jc w:val="center"/>
              <w:rPr>
                <w:kern w:val="0"/>
              </w:rPr>
            </w:pPr>
          </w:p>
        </w:tc>
        <w:tc>
          <w:tcPr>
            <w:tcW w:w="619" w:type="pct"/>
            <w:vMerge w:val="continue"/>
            <w:tcBorders>
              <w:tl2br w:val="nil"/>
              <w:tr2bl w:val="nil"/>
            </w:tcBorders>
            <w:noWrap/>
            <w:vAlign w:val="center"/>
          </w:tcPr>
          <w:p w14:paraId="055964B1">
            <w:pPr>
              <w:spacing w:line="320" w:lineRule="exact"/>
              <w:jc w:val="center"/>
              <w:rPr>
                <w:kern w:val="0"/>
              </w:rPr>
            </w:pPr>
          </w:p>
        </w:tc>
      </w:tr>
      <w:tr w14:paraId="28532D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759D9EE1">
            <w:pPr>
              <w:spacing w:line="320" w:lineRule="exact"/>
              <w:jc w:val="center"/>
              <w:rPr>
                <w:kern w:val="0"/>
              </w:rPr>
            </w:pPr>
          </w:p>
        </w:tc>
        <w:tc>
          <w:tcPr>
            <w:tcW w:w="964" w:type="pct"/>
            <w:tcBorders>
              <w:tl2br w:val="nil"/>
              <w:tr2bl w:val="nil"/>
            </w:tcBorders>
            <w:noWrap/>
            <w:vAlign w:val="center"/>
          </w:tcPr>
          <w:p w14:paraId="22639180">
            <w:pPr>
              <w:widowControl/>
              <w:spacing w:line="320" w:lineRule="exact"/>
              <w:jc w:val="center"/>
              <w:rPr>
                <w:rFonts w:ascii="宋体" w:hAnsi="宋体" w:cs="宋体"/>
                <w:kern w:val="0"/>
              </w:rPr>
            </w:pPr>
            <w:r>
              <w:rPr>
                <w:rFonts w:hint="eastAsia" w:ascii="宋体" w:hAnsi="宋体" w:cs="宋体"/>
                <w:kern w:val="0"/>
              </w:rPr>
              <w:t>乙苯</w:t>
            </w:r>
          </w:p>
        </w:tc>
        <w:tc>
          <w:tcPr>
            <w:tcW w:w="804" w:type="pct"/>
            <w:vMerge w:val="continue"/>
            <w:tcBorders>
              <w:tl2br w:val="nil"/>
              <w:tr2bl w:val="nil"/>
            </w:tcBorders>
            <w:noWrap/>
            <w:vAlign w:val="center"/>
          </w:tcPr>
          <w:p w14:paraId="0D0C95C4">
            <w:pPr>
              <w:spacing w:line="320" w:lineRule="exact"/>
              <w:jc w:val="center"/>
              <w:rPr>
                <w:kern w:val="0"/>
              </w:rPr>
            </w:pPr>
          </w:p>
        </w:tc>
        <w:tc>
          <w:tcPr>
            <w:tcW w:w="857" w:type="pct"/>
            <w:tcBorders>
              <w:tl2br w:val="nil"/>
              <w:tr2bl w:val="nil"/>
            </w:tcBorders>
            <w:noWrap/>
            <w:vAlign w:val="center"/>
          </w:tcPr>
          <w:p w14:paraId="2EFE6E61">
            <w:pPr>
              <w:widowControl/>
              <w:spacing w:line="320" w:lineRule="exact"/>
              <w:jc w:val="center"/>
              <w:rPr>
                <w:kern w:val="0"/>
              </w:rPr>
            </w:pPr>
            <w:r>
              <w:rPr>
                <w:rFonts w:hint="eastAsia"/>
                <w:kern w:val="0"/>
              </w:rPr>
              <w:t>0.015</w:t>
            </w:r>
          </w:p>
        </w:tc>
        <w:tc>
          <w:tcPr>
            <w:tcW w:w="697" w:type="pct"/>
            <w:vMerge w:val="continue"/>
            <w:tcBorders>
              <w:tl2br w:val="nil"/>
              <w:tr2bl w:val="nil"/>
            </w:tcBorders>
            <w:noWrap/>
            <w:vAlign w:val="center"/>
          </w:tcPr>
          <w:p w14:paraId="7DB5CDF9">
            <w:pPr>
              <w:spacing w:line="320" w:lineRule="exact"/>
              <w:jc w:val="center"/>
              <w:rPr>
                <w:kern w:val="0"/>
              </w:rPr>
            </w:pPr>
          </w:p>
        </w:tc>
        <w:tc>
          <w:tcPr>
            <w:tcW w:w="619" w:type="pct"/>
            <w:vMerge w:val="continue"/>
            <w:tcBorders>
              <w:tl2br w:val="nil"/>
              <w:tr2bl w:val="nil"/>
            </w:tcBorders>
            <w:noWrap/>
            <w:vAlign w:val="center"/>
          </w:tcPr>
          <w:p w14:paraId="0746B434">
            <w:pPr>
              <w:spacing w:line="320" w:lineRule="exact"/>
              <w:jc w:val="center"/>
              <w:rPr>
                <w:kern w:val="0"/>
              </w:rPr>
            </w:pPr>
          </w:p>
        </w:tc>
      </w:tr>
      <w:tr w14:paraId="0F5E93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59" w:type="pct"/>
            <w:vMerge w:val="continue"/>
            <w:tcBorders>
              <w:tl2br w:val="nil"/>
              <w:tr2bl w:val="nil"/>
            </w:tcBorders>
            <w:noWrap/>
            <w:vAlign w:val="center"/>
          </w:tcPr>
          <w:p w14:paraId="4F7D1429">
            <w:pPr>
              <w:spacing w:line="320" w:lineRule="exact"/>
              <w:jc w:val="center"/>
              <w:rPr>
                <w:kern w:val="0"/>
              </w:rPr>
            </w:pPr>
          </w:p>
        </w:tc>
        <w:tc>
          <w:tcPr>
            <w:tcW w:w="964" w:type="pct"/>
            <w:tcBorders>
              <w:tl2br w:val="nil"/>
              <w:tr2bl w:val="nil"/>
            </w:tcBorders>
            <w:noWrap/>
            <w:vAlign w:val="center"/>
          </w:tcPr>
          <w:p w14:paraId="4AF2B7DF">
            <w:pPr>
              <w:widowControl/>
              <w:spacing w:line="320" w:lineRule="exact"/>
              <w:jc w:val="center"/>
              <w:rPr>
                <w:rFonts w:ascii="宋体" w:hAnsi="宋体" w:cs="宋体"/>
                <w:kern w:val="0"/>
              </w:rPr>
            </w:pPr>
            <w:r>
              <w:rPr>
                <w:rFonts w:hint="eastAsia"/>
                <w:szCs w:val="21"/>
              </w:rPr>
              <w:t>粉尘（含炭黑尘）</w:t>
            </w:r>
          </w:p>
        </w:tc>
        <w:tc>
          <w:tcPr>
            <w:tcW w:w="804" w:type="pct"/>
            <w:vMerge w:val="continue"/>
            <w:tcBorders>
              <w:tl2br w:val="nil"/>
              <w:tr2bl w:val="nil"/>
            </w:tcBorders>
            <w:noWrap/>
            <w:vAlign w:val="center"/>
          </w:tcPr>
          <w:p w14:paraId="5ECD1035">
            <w:pPr>
              <w:spacing w:line="320" w:lineRule="exact"/>
              <w:jc w:val="center"/>
              <w:rPr>
                <w:kern w:val="0"/>
              </w:rPr>
            </w:pPr>
          </w:p>
        </w:tc>
        <w:tc>
          <w:tcPr>
            <w:tcW w:w="857" w:type="pct"/>
            <w:tcBorders>
              <w:tl2br w:val="nil"/>
              <w:tr2bl w:val="nil"/>
            </w:tcBorders>
            <w:noWrap/>
            <w:vAlign w:val="center"/>
          </w:tcPr>
          <w:p w14:paraId="1CA3A4B1">
            <w:pPr>
              <w:spacing w:line="320" w:lineRule="exact"/>
              <w:jc w:val="center"/>
              <w:rPr>
                <w:kern w:val="0"/>
              </w:rPr>
            </w:pPr>
            <w:r>
              <w:rPr>
                <w:kern w:val="0"/>
              </w:rPr>
              <w:t>0.005</w:t>
            </w:r>
          </w:p>
        </w:tc>
        <w:tc>
          <w:tcPr>
            <w:tcW w:w="697" w:type="pct"/>
            <w:vMerge w:val="continue"/>
            <w:tcBorders>
              <w:tl2br w:val="nil"/>
              <w:tr2bl w:val="nil"/>
            </w:tcBorders>
            <w:noWrap/>
            <w:vAlign w:val="center"/>
          </w:tcPr>
          <w:p w14:paraId="7D0E9A2A">
            <w:pPr>
              <w:spacing w:line="320" w:lineRule="exact"/>
              <w:jc w:val="center"/>
              <w:rPr>
                <w:kern w:val="0"/>
              </w:rPr>
            </w:pPr>
          </w:p>
        </w:tc>
        <w:tc>
          <w:tcPr>
            <w:tcW w:w="619" w:type="pct"/>
            <w:vMerge w:val="continue"/>
            <w:tcBorders>
              <w:tl2br w:val="nil"/>
              <w:tr2bl w:val="nil"/>
            </w:tcBorders>
            <w:noWrap/>
            <w:vAlign w:val="center"/>
          </w:tcPr>
          <w:p w14:paraId="1873B4E0">
            <w:pPr>
              <w:spacing w:line="320" w:lineRule="exact"/>
              <w:jc w:val="center"/>
              <w:rPr>
                <w:kern w:val="0"/>
              </w:rPr>
            </w:pPr>
          </w:p>
        </w:tc>
      </w:tr>
    </w:tbl>
    <w:p w14:paraId="26A9A592">
      <w:pPr>
        <w:sectPr>
          <w:pgSz w:w="16840" w:h="11907" w:orient="landscape"/>
          <w:pgMar w:top="1531" w:right="1701" w:bottom="1531" w:left="2127" w:header="851" w:footer="851" w:gutter="0"/>
          <w:cols w:space="720" w:num="1"/>
          <w:docGrid w:linePitch="312" w:charSpace="0"/>
        </w:sectPr>
      </w:pPr>
    </w:p>
    <w:tbl>
      <w:tblPr>
        <w:tblStyle w:val="25"/>
        <w:tblW w:w="546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246"/>
      </w:tblGrid>
      <w:tr w14:paraId="6AAF8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89" w:type="pct"/>
            <w:tcMar>
              <w:left w:w="28" w:type="dxa"/>
              <w:right w:w="28" w:type="dxa"/>
            </w:tcMar>
            <w:vAlign w:val="center"/>
          </w:tcPr>
          <w:p w14:paraId="2520CA40">
            <w:pPr>
              <w:pStyle w:val="21"/>
              <w:adjustRightInd w:val="0"/>
              <w:snapToGrid w:val="0"/>
              <w:spacing w:before="0" w:beforeAutospacing="0" w:after="0" w:afterAutospacing="0" w:line="360" w:lineRule="auto"/>
              <w:jc w:val="center"/>
              <w:rPr>
                <w:rFonts w:ascii="Times New Roman" w:hAnsi="Times New Roman"/>
                <w:kern w:val="2"/>
                <w:sz w:val="21"/>
                <w:szCs w:val="21"/>
              </w:rPr>
            </w:pPr>
            <w:r>
              <w:rPr>
                <w:rFonts w:ascii="Times New Roman" w:hAnsi="Times New Roman"/>
                <w:bCs/>
                <w:kern w:val="2"/>
                <w:sz w:val="21"/>
                <w:szCs w:val="21"/>
              </w:rPr>
              <w:t>运营期环境影响和保护措施</w:t>
            </w:r>
          </w:p>
        </w:tc>
        <w:tc>
          <w:tcPr>
            <w:tcW w:w="4710" w:type="pct"/>
            <w:vAlign w:val="center"/>
          </w:tcPr>
          <w:p w14:paraId="394D172B">
            <w:pPr>
              <w:adjustRightInd w:val="0"/>
              <w:snapToGrid w:val="0"/>
              <w:spacing w:beforeLines="50" w:line="360" w:lineRule="auto"/>
              <w:ind w:firstLine="414" w:firstLineChars="200"/>
              <w:rPr>
                <w:b/>
                <w:bCs/>
                <w:spacing w:val="-2"/>
                <w:kern w:val="28"/>
                <w:szCs w:val="21"/>
              </w:rPr>
            </w:pPr>
            <w:r>
              <w:rPr>
                <w:b/>
                <w:bCs/>
                <w:spacing w:val="-2"/>
                <w:kern w:val="28"/>
                <w:szCs w:val="21"/>
              </w:rPr>
              <w:t>（1）废气源强</w:t>
            </w:r>
          </w:p>
          <w:p w14:paraId="7E0C862A">
            <w:pPr>
              <w:pStyle w:val="5"/>
              <w:adjustRightInd w:val="0"/>
              <w:snapToGrid w:val="0"/>
              <w:spacing w:line="360" w:lineRule="auto"/>
              <w:ind w:firstLine="420"/>
              <w:rPr>
                <w:szCs w:val="21"/>
              </w:rPr>
            </w:pPr>
            <w:r>
              <w:rPr>
                <w:szCs w:val="21"/>
              </w:rPr>
              <w:t>拟扩建项目</w:t>
            </w:r>
            <w:r>
              <w:rPr>
                <w:rFonts w:hint="eastAsia"/>
                <w:szCs w:val="21"/>
              </w:rPr>
              <w:t>新能源汽车配套橡胶功能件</w:t>
            </w:r>
            <w:r>
              <w:rPr>
                <w:szCs w:val="21"/>
              </w:rPr>
              <w:t>中</w:t>
            </w:r>
            <w:r>
              <w:rPr>
                <w:rFonts w:hint="eastAsia"/>
                <w:szCs w:val="21"/>
              </w:rPr>
              <w:t>硫化、二次硫化工序布设在1#车间和4#车间；挤出预成型工序布设在1#车间和3#车间；抛丸/喷砂、</w:t>
            </w:r>
            <w:r>
              <w:rPr>
                <w:rFonts w:hint="eastAsia"/>
                <w:szCs w:val="21"/>
                <w:highlight w:val="black"/>
                <w:lang w:val="en-US" w:eastAsia="zh-CN"/>
              </w:rPr>
              <w:t xml:space="preserve">   </w:t>
            </w:r>
            <w:r>
              <w:rPr>
                <w:rFonts w:hint="eastAsia"/>
                <w:szCs w:val="21"/>
              </w:rPr>
              <w:t>表面处理工序布设在2#车间；配料混炼密炼工序布设在3#车间；喷涂浸胶及烘干工序布设在4#车间</w:t>
            </w:r>
            <w:r>
              <w:rPr>
                <w:szCs w:val="21"/>
              </w:rPr>
              <w:t>，</w:t>
            </w:r>
            <w:r>
              <w:rPr>
                <w:rFonts w:hint="eastAsia"/>
                <w:szCs w:val="21"/>
              </w:rPr>
              <w:t>模具修整工序</w:t>
            </w:r>
            <w:r>
              <w:rPr>
                <w:szCs w:val="21"/>
              </w:rPr>
              <w:t>布设于</w:t>
            </w:r>
            <w:r>
              <w:rPr>
                <w:rFonts w:hint="eastAsia"/>
                <w:szCs w:val="21"/>
              </w:rPr>
              <w:t>5#</w:t>
            </w:r>
            <w:r>
              <w:rPr>
                <w:szCs w:val="21"/>
              </w:rPr>
              <w:t>车间内。</w:t>
            </w:r>
          </w:p>
          <w:p w14:paraId="376C40C0">
            <w:pPr>
              <w:pStyle w:val="5"/>
              <w:adjustRightInd w:val="0"/>
              <w:snapToGrid w:val="0"/>
              <w:spacing w:line="360" w:lineRule="auto"/>
              <w:ind w:firstLine="420"/>
              <w:rPr>
                <w:szCs w:val="21"/>
              </w:rPr>
            </w:pPr>
            <w:r>
              <w:rPr>
                <w:rFonts w:hint="eastAsia"/>
                <w:szCs w:val="21"/>
              </w:rPr>
              <w:t>1#车间内生产设备均采用</w:t>
            </w:r>
            <w:r>
              <w:rPr>
                <w:szCs w:val="21"/>
              </w:rPr>
              <w:t>均采用半密闭集气罩收集，废气收集效率90%</w:t>
            </w:r>
            <w:r>
              <w:rPr>
                <w:rFonts w:hint="eastAsia"/>
                <w:szCs w:val="21"/>
              </w:rPr>
              <w:t>，硫化废气和挤出废气经碱喷淋+除雾装置+二级活性炭吸附装置处理后，二级硫化废气经碱喷淋+除雾装置+二级活性炭吸附装置处理后，合并至1#排气筒排放，</w:t>
            </w:r>
            <w:r>
              <w:rPr>
                <w:szCs w:val="21"/>
              </w:rPr>
              <w:t>非甲烷总烃处理效率90%、硫化氢处理效率90%</w:t>
            </w:r>
            <w:r>
              <w:rPr>
                <w:rFonts w:hint="eastAsia"/>
                <w:szCs w:val="21"/>
              </w:rPr>
              <w:t>，氟化物处理效率90%。</w:t>
            </w:r>
          </w:p>
          <w:p w14:paraId="5D35801F">
            <w:pPr>
              <w:pStyle w:val="5"/>
              <w:adjustRightInd w:val="0"/>
              <w:snapToGrid w:val="0"/>
              <w:spacing w:line="360" w:lineRule="auto"/>
              <w:ind w:firstLine="420"/>
              <w:rPr>
                <w:szCs w:val="21"/>
              </w:rPr>
            </w:pPr>
            <w:r>
              <w:rPr>
                <w:rFonts w:hint="eastAsia"/>
                <w:szCs w:val="21"/>
              </w:rPr>
              <w:t>2#车间依托现有生产设备，抛丸/</w:t>
            </w:r>
            <w:r>
              <w:rPr>
                <w:szCs w:val="21"/>
              </w:rPr>
              <w:t>喷砂粉尘经设备</w:t>
            </w:r>
            <w:r>
              <w:rPr>
                <w:rFonts w:hint="eastAsia"/>
                <w:szCs w:val="21"/>
              </w:rPr>
              <w:t>各自自带</w:t>
            </w:r>
            <w:r>
              <w:rPr>
                <w:szCs w:val="21"/>
              </w:rPr>
              <w:t>滤芯脉冲反吹除尘装置处理后</w:t>
            </w:r>
            <w:r>
              <w:rPr>
                <w:rFonts w:hint="eastAsia"/>
                <w:szCs w:val="21"/>
              </w:rPr>
              <w:t>经15m高5#排气筒排</w:t>
            </w:r>
            <w:r>
              <w:rPr>
                <w:szCs w:val="21"/>
              </w:rPr>
              <w:t>放，收集效率100%，</w:t>
            </w:r>
            <w:r>
              <w:rPr>
                <w:rFonts w:hint="eastAsia"/>
                <w:szCs w:val="21"/>
              </w:rPr>
              <w:t>脉冲反吹除尘装置除尘效率为99%</w:t>
            </w:r>
            <w:r>
              <w:rPr>
                <w:szCs w:val="21"/>
              </w:rPr>
              <w:t>。</w:t>
            </w:r>
          </w:p>
          <w:p w14:paraId="31C389DF">
            <w:pPr>
              <w:pStyle w:val="5"/>
              <w:adjustRightInd w:val="0"/>
              <w:snapToGrid w:val="0"/>
              <w:spacing w:line="360" w:lineRule="auto"/>
              <w:ind w:firstLine="420"/>
              <w:rPr>
                <w:szCs w:val="21"/>
              </w:rPr>
            </w:pPr>
            <w:r>
              <w:rPr>
                <w:rFonts w:hint="eastAsia"/>
                <w:szCs w:val="21"/>
              </w:rPr>
              <w:t>3#车间内生产设备均采用</w:t>
            </w:r>
            <w:r>
              <w:rPr>
                <w:szCs w:val="21"/>
              </w:rPr>
              <w:t>半密闭集气罩收集，废气收集效率90%</w:t>
            </w:r>
            <w:r>
              <w:rPr>
                <w:rFonts w:hint="eastAsia"/>
                <w:szCs w:val="21"/>
              </w:rPr>
              <w:t>，配料粉尘、密炼粉尘、混炼废气、返炼废气、挤出废气这五股废气经过各自的捕集装置后进分别进布袋除尘器+二级活性炭吸附装置处理后，经15m高8#排气筒排放，</w:t>
            </w:r>
            <w:r>
              <w:rPr>
                <w:szCs w:val="21"/>
              </w:rPr>
              <w:t>非甲烷总烃处理效率90%、硫化氢处理效率90%</w:t>
            </w:r>
            <w:r>
              <w:rPr>
                <w:rFonts w:hint="eastAsia"/>
                <w:szCs w:val="21"/>
              </w:rPr>
              <w:t>，颗粒物处理效率99%。</w:t>
            </w:r>
          </w:p>
          <w:p w14:paraId="358CBD0C">
            <w:pPr>
              <w:pStyle w:val="5"/>
              <w:adjustRightInd w:val="0"/>
              <w:snapToGrid w:val="0"/>
              <w:spacing w:line="360" w:lineRule="auto"/>
              <w:ind w:firstLine="420"/>
              <w:rPr>
                <w:szCs w:val="21"/>
              </w:rPr>
            </w:pPr>
            <w:r>
              <w:rPr>
                <w:rFonts w:hint="eastAsia"/>
                <w:szCs w:val="21"/>
              </w:rPr>
              <w:t>4#车间喷涂浸胶和干燥设备均为密闭型设备，故</w:t>
            </w:r>
            <w:r>
              <w:rPr>
                <w:szCs w:val="21"/>
              </w:rPr>
              <w:t>废气收集效率9</w:t>
            </w:r>
            <w:r>
              <w:rPr>
                <w:rFonts w:hint="eastAsia"/>
                <w:szCs w:val="21"/>
              </w:rPr>
              <w:t>5</w:t>
            </w:r>
            <w:r>
              <w:rPr>
                <w:szCs w:val="21"/>
              </w:rPr>
              <w:t>%</w:t>
            </w:r>
            <w:r>
              <w:rPr>
                <w:rFonts w:hint="eastAsia"/>
                <w:szCs w:val="21"/>
              </w:rPr>
              <w:t>，喷涂浸胶和干燥废气经二级活性炭吸附装置处理后经15m高6#排气筒排放，二级活性炭吸附装置处理率为90%。硫化和二次硫化设备均采用半密闭集气罩收集，废气收集效率90%，硫化废气经碱喷淋+除雾装置+二级活性炭吸附装置处理后，二级硫化废气经碱喷淋+除雾装置+二级活性炭吸附装置处理后，合并至3#排气筒排放，非甲烷总烃处理效率90%、硫化氢处理效率90%，氟化物处理效率90%。</w:t>
            </w:r>
          </w:p>
          <w:p w14:paraId="33ED5F19">
            <w:pPr>
              <w:pStyle w:val="5"/>
              <w:adjustRightInd w:val="0"/>
              <w:snapToGrid w:val="0"/>
              <w:spacing w:line="360" w:lineRule="auto"/>
              <w:ind w:firstLine="422"/>
              <w:rPr>
                <w:szCs w:val="21"/>
              </w:rPr>
            </w:pPr>
            <w:r>
              <w:rPr>
                <w:rFonts w:hint="eastAsia"/>
                <w:b/>
                <w:bCs/>
                <w:szCs w:val="21"/>
              </w:rPr>
              <w:t>现有项目：</w:t>
            </w:r>
            <w:r>
              <w:rPr>
                <w:rFonts w:hint="eastAsia"/>
                <w:szCs w:val="21"/>
              </w:rPr>
              <w:t>原有喷涂浸胶工序生产设备移至4#车间，故2#车间电泳后烘干废气单独新置废气处理装置，2#车间：电泳后烘干废气经管道抽送至二级活性炭吸附装置+15m排气筒（9#），风机风量22000m</w:t>
            </w:r>
            <w:r>
              <w:rPr>
                <w:rFonts w:hint="eastAsia"/>
                <w:szCs w:val="21"/>
                <w:vertAlign w:val="superscript"/>
              </w:rPr>
              <w:t>3</w:t>
            </w:r>
            <w:r>
              <w:rPr>
                <w:rFonts w:hint="eastAsia"/>
                <w:szCs w:val="21"/>
              </w:rPr>
              <w:t>/h；4#车间：喷浸涂胶废气经集气罩捕集以及干燥废气经管道捕集一并收集后经二级活性炭吸附装置+15m排气筒（6#），风机风量50000m</w:t>
            </w:r>
            <w:r>
              <w:rPr>
                <w:rFonts w:hint="eastAsia"/>
                <w:szCs w:val="21"/>
                <w:vertAlign w:val="superscript"/>
              </w:rPr>
              <w:t>3</w:t>
            </w:r>
            <w:r>
              <w:rPr>
                <w:rFonts w:hint="eastAsia"/>
                <w:szCs w:val="21"/>
              </w:rPr>
              <w:t>/h。</w:t>
            </w:r>
            <w:r>
              <w:rPr>
                <w:rFonts w:hint="eastAsia"/>
              </w:rPr>
              <w:t>原有</w:t>
            </w:r>
            <w:r>
              <w:t>4#车间</w:t>
            </w:r>
            <w:r>
              <w:rPr>
                <w:rFonts w:hint="eastAsia"/>
              </w:rPr>
              <w:t>的挤出预成型工序</w:t>
            </w:r>
            <w:r>
              <w:t>生产设备移至</w:t>
            </w:r>
            <w:r>
              <w:rPr>
                <w:rFonts w:hint="eastAsia"/>
              </w:rPr>
              <w:t>3#车间，3#车间：配料粉尘、</w:t>
            </w:r>
            <w:r>
              <w:rPr>
                <w:rFonts w:hint="eastAsia"/>
                <w:szCs w:val="21"/>
              </w:rPr>
              <w:t>密炼粉尘、混炼废气、返炼废气这四股废气经过各自的捕集装置后进布袋除尘器+二级活性炭吸附装置处理后，经15m高2#排气筒排放；配料粉尘、密炼粉尘、混炼废气、返炼废气、挤出废气这五股废气经过各自的捕集装置后进布袋除尘器+二级活性炭吸附装置处理后，经15m高7#排气筒排放。</w:t>
            </w:r>
          </w:p>
          <w:p w14:paraId="37A6B622">
            <w:pPr>
              <w:pStyle w:val="5"/>
              <w:adjustRightInd w:val="0"/>
              <w:snapToGrid w:val="0"/>
              <w:spacing w:line="360" w:lineRule="auto"/>
              <w:ind w:firstLine="422"/>
              <w:rPr>
                <w:szCs w:val="21"/>
              </w:rPr>
            </w:pPr>
            <w:r>
              <w:rPr>
                <w:b/>
                <w:bCs/>
                <w:szCs w:val="21"/>
              </w:rPr>
              <w:t>①</w:t>
            </w:r>
            <w:r>
              <w:rPr>
                <w:rFonts w:hint="eastAsia"/>
                <w:b/>
                <w:bCs/>
                <w:szCs w:val="21"/>
              </w:rPr>
              <w:t>抛丸/喷砂粉尘</w:t>
            </w:r>
            <w:r>
              <w:rPr>
                <w:b/>
                <w:bCs/>
                <w:szCs w:val="21"/>
              </w:rPr>
              <w:t>（G</w:t>
            </w:r>
            <w:r>
              <w:rPr>
                <w:rFonts w:hint="eastAsia"/>
                <w:b/>
                <w:bCs/>
                <w:szCs w:val="21"/>
              </w:rPr>
              <w:t>2</w:t>
            </w:r>
            <w:r>
              <w:rPr>
                <w:b/>
                <w:bCs/>
                <w:szCs w:val="21"/>
              </w:rPr>
              <w:t>1’）</w:t>
            </w:r>
          </w:p>
          <w:p w14:paraId="60EB9101">
            <w:pPr>
              <w:pStyle w:val="5"/>
              <w:adjustRightInd w:val="0"/>
              <w:snapToGrid w:val="0"/>
              <w:spacing w:line="360" w:lineRule="auto"/>
              <w:ind w:firstLine="420"/>
              <w:rPr>
                <w:szCs w:val="21"/>
              </w:rPr>
            </w:pPr>
            <w:r>
              <w:rPr>
                <w:szCs w:val="21"/>
              </w:rPr>
              <w:t>项目</w:t>
            </w:r>
            <w:r>
              <w:rPr>
                <w:rFonts w:hint="eastAsia"/>
                <w:szCs w:val="21"/>
              </w:rPr>
              <w:t>外购的金属嵌件</w:t>
            </w:r>
            <w:r>
              <w:rPr>
                <w:szCs w:val="21"/>
              </w:rPr>
              <w:t>需进行</w:t>
            </w:r>
            <w:r>
              <w:rPr>
                <w:rFonts w:hint="eastAsia"/>
                <w:szCs w:val="21"/>
              </w:rPr>
              <w:t>抛丸/</w:t>
            </w:r>
            <w:r>
              <w:rPr>
                <w:szCs w:val="21"/>
              </w:rPr>
              <w:t>喷砂处理提高清洁度及增加表面粗糙度。参照《第二次全国污染源普查产排污核算系数手册》“机械行业系数手册产污系数表”中预处理核算环节产污系数，</w:t>
            </w:r>
            <w:r>
              <w:rPr>
                <w:rFonts w:hint="eastAsia"/>
                <w:szCs w:val="21"/>
              </w:rPr>
              <w:t>抛丸/</w:t>
            </w:r>
            <w:r>
              <w:rPr>
                <w:szCs w:val="21"/>
              </w:rPr>
              <w:t>喷砂工序颗粒物产生系数为2.19kg/t-原料，喷砂处理</w:t>
            </w:r>
            <w:r>
              <w:rPr>
                <w:rFonts w:hint="eastAsia"/>
                <w:szCs w:val="21"/>
              </w:rPr>
              <w:t>金属嵌件</w:t>
            </w:r>
            <w:r>
              <w:rPr>
                <w:szCs w:val="21"/>
              </w:rPr>
              <w:t>约</w:t>
            </w:r>
            <w:r>
              <w:rPr>
                <w:rFonts w:hint="eastAsia"/>
                <w:szCs w:val="21"/>
              </w:rPr>
              <w:t>100</w:t>
            </w:r>
            <w:r>
              <w:rPr>
                <w:szCs w:val="21"/>
              </w:rPr>
              <w:t>t/a，</w:t>
            </w:r>
            <w:r>
              <w:rPr>
                <w:rFonts w:hint="eastAsia"/>
                <w:szCs w:val="21"/>
              </w:rPr>
              <w:t>则抛丸/</w:t>
            </w:r>
            <w:r>
              <w:rPr>
                <w:szCs w:val="21"/>
              </w:rPr>
              <w:t>喷砂粉尘产生量为</w:t>
            </w:r>
            <w:r>
              <w:rPr>
                <w:rFonts w:hint="eastAsia"/>
                <w:szCs w:val="21"/>
              </w:rPr>
              <w:t>0.219</w:t>
            </w:r>
            <w:r>
              <w:rPr>
                <w:szCs w:val="21"/>
              </w:rPr>
              <w:t>t/a，经设备</w:t>
            </w:r>
            <w:r>
              <w:rPr>
                <w:rFonts w:hint="eastAsia"/>
                <w:szCs w:val="21"/>
              </w:rPr>
              <w:t>各自自带</w:t>
            </w:r>
            <w:r>
              <w:rPr>
                <w:szCs w:val="21"/>
              </w:rPr>
              <w:t>滤芯脉冲反吹除尘装置处理后</w:t>
            </w:r>
            <w:r>
              <w:rPr>
                <w:rFonts w:hint="eastAsia"/>
                <w:szCs w:val="21"/>
              </w:rPr>
              <w:t>经15m高5#排气筒排</w:t>
            </w:r>
            <w:r>
              <w:rPr>
                <w:szCs w:val="21"/>
              </w:rPr>
              <w:t>放</w:t>
            </w:r>
            <w:r>
              <w:rPr>
                <w:rFonts w:hint="eastAsia"/>
                <w:szCs w:val="21"/>
              </w:rPr>
              <w:t>，</w:t>
            </w:r>
            <w:r>
              <w:rPr>
                <w:szCs w:val="21"/>
              </w:rPr>
              <w:t>收集效率100%，</w:t>
            </w:r>
            <w:r>
              <w:rPr>
                <w:rFonts w:hint="eastAsia"/>
                <w:szCs w:val="21"/>
              </w:rPr>
              <w:t>脉冲反吹除尘装置除尘效率为99%，则有组织产生量为</w:t>
            </w:r>
            <w:r>
              <w:rPr>
                <w:szCs w:val="21"/>
              </w:rPr>
              <w:t>为</w:t>
            </w:r>
            <w:r>
              <w:rPr>
                <w:rFonts w:hint="eastAsia"/>
                <w:szCs w:val="21"/>
              </w:rPr>
              <w:t>0.219</w:t>
            </w:r>
            <w:r>
              <w:rPr>
                <w:szCs w:val="21"/>
              </w:rPr>
              <w:t>t/a、</w:t>
            </w:r>
            <w:r>
              <w:rPr>
                <w:rFonts w:hint="eastAsia"/>
                <w:szCs w:val="21"/>
              </w:rPr>
              <w:t>有组织排放量为</w:t>
            </w:r>
            <w:r>
              <w:rPr>
                <w:szCs w:val="21"/>
              </w:rPr>
              <w:t>为</w:t>
            </w:r>
            <w:r>
              <w:rPr>
                <w:rFonts w:hint="eastAsia"/>
                <w:szCs w:val="21"/>
              </w:rPr>
              <w:t>0.002</w:t>
            </w:r>
            <w:r>
              <w:rPr>
                <w:szCs w:val="21"/>
              </w:rPr>
              <w:t>kg/h。</w:t>
            </w:r>
          </w:p>
          <w:p w14:paraId="6CD6DF32">
            <w:pPr>
              <w:pStyle w:val="5"/>
              <w:snapToGrid w:val="0"/>
              <w:spacing w:line="360" w:lineRule="auto"/>
              <w:ind w:firstLine="422"/>
              <w:rPr>
                <w:b/>
                <w:bCs/>
                <w:szCs w:val="21"/>
              </w:rPr>
            </w:pPr>
            <w:r>
              <w:rPr>
                <w:b/>
                <w:bCs/>
                <w:szCs w:val="21"/>
              </w:rPr>
              <w:t>②</w:t>
            </w:r>
            <w:r>
              <w:rPr>
                <w:rFonts w:hint="eastAsia"/>
                <w:b/>
                <w:bCs/>
                <w:szCs w:val="21"/>
              </w:rPr>
              <w:t>喷浸涂胶及干燥</w:t>
            </w:r>
            <w:r>
              <w:rPr>
                <w:b/>
                <w:bCs/>
                <w:szCs w:val="21"/>
              </w:rPr>
              <w:t>废气（G</w:t>
            </w:r>
            <w:r>
              <w:rPr>
                <w:rFonts w:hint="eastAsia"/>
                <w:b/>
                <w:bCs/>
                <w:szCs w:val="21"/>
              </w:rPr>
              <w:t>22</w:t>
            </w:r>
            <w:r>
              <w:rPr>
                <w:b/>
                <w:bCs/>
                <w:szCs w:val="21"/>
              </w:rPr>
              <w:t>’</w:t>
            </w:r>
            <w:r>
              <w:rPr>
                <w:rFonts w:hint="eastAsia"/>
                <w:b/>
                <w:bCs/>
                <w:szCs w:val="21"/>
              </w:rPr>
              <w:t>、</w:t>
            </w:r>
            <w:r>
              <w:rPr>
                <w:b/>
                <w:bCs/>
                <w:szCs w:val="21"/>
              </w:rPr>
              <w:t>G</w:t>
            </w:r>
            <w:r>
              <w:rPr>
                <w:rFonts w:hint="eastAsia"/>
                <w:b/>
                <w:bCs/>
                <w:szCs w:val="21"/>
              </w:rPr>
              <w:t>23</w:t>
            </w:r>
            <w:r>
              <w:rPr>
                <w:b/>
                <w:bCs/>
                <w:szCs w:val="21"/>
              </w:rPr>
              <w:t>’）</w:t>
            </w:r>
          </w:p>
          <w:p w14:paraId="7F04A288">
            <w:pPr>
              <w:pStyle w:val="5"/>
              <w:snapToGrid w:val="0"/>
              <w:spacing w:line="360" w:lineRule="auto"/>
              <w:ind w:firstLine="420"/>
              <w:rPr>
                <w:szCs w:val="21"/>
              </w:rPr>
            </w:pPr>
            <w:r>
              <w:rPr>
                <w:rFonts w:hint="eastAsia"/>
                <w:szCs w:val="21"/>
              </w:rPr>
              <w:t>本项目金属件采用喷、浸、涂胶三种方式进行。喷、浸、涂胶以及干燥过程中，工件表面的胶粘剂会挥发有机废气（以非甲烷总烃尘计），废气在喷、浸、涂胶以及干燥过程中挥发比例按4∶6计，</w:t>
            </w:r>
            <w:r>
              <w:rPr>
                <w:szCs w:val="21"/>
              </w:rPr>
              <w:t>根据</w:t>
            </w:r>
            <w:r>
              <w:rPr>
                <w:rFonts w:hint="eastAsia"/>
                <w:szCs w:val="21"/>
              </w:rPr>
              <w:t>胶粘剂VOC检测报告</w:t>
            </w:r>
            <w:r>
              <w:rPr>
                <w:szCs w:val="21"/>
              </w:rPr>
              <w:t>可知该</w:t>
            </w:r>
            <w:r>
              <w:rPr>
                <w:rFonts w:hint="eastAsia"/>
                <w:szCs w:val="21"/>
              </w:rPr>
              <w:t>胶粘剂</w:t>
            </w:r>
            <w:r>
              <w:rPr>
                <w:szCs w:val="21"/>
              </w:rPr>
              <w:t>中挥发性有机物含量为</w:t>
            </w:r>
            <w:r>
              <w:rPr>
                <w:rFonts w:hint="eastAsia"/>
                <w:szCs w:val="21"/>
              </w:rPr>
              <w:t>ND（未检出），检出限为2</w:t>
            </w:r>
            <w:r>
              <w:rPr>
                <w:szCs w:val="21"/>
              </w:rPr>
              <w:t>g/L，源强以检出限的一半计，</w:t>
            </w:r>
            <w:r>
              <w:rPr>
                <w:rFonts w:hint="eastAsia"/>
                <w:szCs w:val="21"/>
              </w:rPr>
              <w:t>胶粘剂用量为2t/a，</w:t>
            </w:r>
            <w:r>
              <w:rPr>
                <w:szCs w:val="21"/>
              </w:rPr>
              <w:t>密度为</w:t>
            </w:r>
            <w:r>
              <w:rPr>
                <w:rFonts w:hint="eastAsia"/>
                <w:szCs w:val="21"/>
              </w:rPr>
              <w:t>1.16</w:t>
            </w:r>
            <w:r>
              <w:rPr>
                <w:szCs w:val="21"/>
              </w:rPr>
              <w:t>g/cm</w:t>
            </w:r>
            <w:r>
              <w:rPr>
                <w:szCs w:val="21"/>
                <w:vertAlign w:val="superscript"/>
              </w:rPr>
              <w:t>3</w:t>
            </w:r>
            <w:r>
              <w:rPr>
                <w:szCs w:val="21"/>
              </w:rPr>
              <w:t>，则非甲烷总烃产生量为</w:t>
            </w:r>
            <w:r>
              <w:rPr>
                <w:rFonts w:hint="eastAsia"/>
                <w:szCs w:val="21"/>
              </w:rPr>
              <w:t>0.002</w:t>
            </w:r>
            <w:r>
              <w:rPr>
                <w:szCs w:val="21"/>
              </w:rPr>
              <w:t>t/a</w:t>
            </w:r>
            <w:r>
              <w:rPr>
                <w:rFonts w:hint="eastAsia"/>
                <w:szCs w:val="21"/>
              </w:rPr>
              <w:t>。喷涂浸胶和干燥设备均为密闭型设备，故</w:t>
            </w:r>
            <w:r>
              <w:rPr>
                <w:szCs w:val="21"/>
              </w:rPr>
              <w:t>废气收集效率9</w:t>
            </w:r>
            <w:r>
              <w:rPr>
                <w:rFonts w:hint="eastAsia"/>
                <w:szCs w:val="21"/>
              </w:rPr>
              <w:t>5</w:t>
            </w:r>
            <w:r>
              <w:rPr>
                <w:szCs w:val="21"/>
              </w:rPr>
              <w:t>%</w:t>
            </w:r>
            <w:r>
              <w:rPr>
                <w:rFonts w:hint="eastAsia"/>
                <w:szCs w:val="21"/>
              </w:rPr>
              <w:t>，二级活性炭吸附装置处理率为90%。</w:t>
            </w:r>
            <w:r>
              <w:rPr>
                <w:szCs w:val="21"/>
              </w:rPr>
              <w:t>经收集后</w:t>
            </w:r>
            <w:r>
              <w:rPr>
                <w:rFonts w:hint="eastAsia"/>
                <w:szCs w:val="21"/>
              </w:rPr>
              <w:t>非甲烷总烃</w:t>
            </w:r>
            <w:r>
              <w:rPr>
                <w:szCs w:val="21"/>
              </w:rPr>
              <w:t>有组织产生量为</w:t>
            </w:r>
            <w:r>
              <w:rPr>
                <w:rFonts w:hint="eastAsia"/>
                <w:szCs w:val="21"/>
              </w:rPr>
              <w:t>0.002</w:t>
            </w:r>
            <w:r>
              <w:rPr>
                <w:szCs w:val="21"/>
              </w:rPr>
              <w:t>t/a；经处理后</w:t>
            </w:r>
            <w:r>
              <w:rPr>
                <w:rFonts w:hint="eastAsia"/>
                <w:szCs w:val="21"/>
              </w:rPr>
              <w:t>非甲烷总烃</w:t>
            </w:r>
            <w:r>
              <w:rPr>
                <w:szCs w:val="21"/>
              </w:rPr>
              <w:t>有组织排放量为</w:t>
            </w:r>
            <w:r>
              <w:rPr>
                <w:rFonts w:hint="eastAsia"/>
                <w:szCs w:val="21"/>
              </w:rPr>
              <w:t>0.0002</w:t>
            </w:r>
            <w:r>
              <w:rPr>
                <w:szCs w:val="21"/>
              </w:rPr>
              <w:t>t/a。未被收集废气在</w:t>
            </w:r>
            <w:r>
              <w:rPr>
                <w:rFonts w:hint="eastAsia"/>
                <w:szCs w:val="21"/>
              </w:rPr>
              <w:t>4#</w:t>
            </w:r>
            <w:r>
              <w:rPr>
                <w:szCs w:val="21"/>
              </w:rPr>
              <w:t>车间内无组织排放，</w:t>
            </w:r>
            <w:r>
              <w:rPr>
                <w:rFonts w:hint="eastAsia"/>
                <w:szCs w:val="21"/>
              </w:rPr>
              <w:t>非甲烷总烃</w:t>
            </w:r>
            <w:r>
              <w:rPr>
                <w:szCs w:val="21"/>
              </w:rPr>
              <w:t>排放量为</w:t>
            </w:r>
            <w:r>
              <w:rPr>
                <w:rFonts w:hint="eastAsia"/>
                <w:szCs w:val="21"/>
              </w:rPr>
              <w:t>0.0001</w:t>
            </w:r>
            <w:r>
              <w:rPr>
                <w:szCs w:val="21"/>
              </w:rPr>
              <w:t>t/a。</w:t>
            </w:r>
          </w:p>
          <w:p w14:paraId="4EED8357">
            <w:pPr>
              <w:pStyle w:val="5"/>
              <w:snapToGrid w:val="0"/>
              <w:spacing w:line="360" w:lineRule="auto"/>
              <w:ind w:firstLine="420"/>
              <w:rPr>
                <w:szCs w:val="21"/>
              </w:rPr>
            </w:pPr>
            <w:r>
              <w:rPr>
                <w:szCs w:val="21"/>
              </w:rPr>
              <w:t>1）</w:t>
            </w:r>
            <w:r>
              <w:rPr>
                <w:rFonts w:hint="eastAsia"/>
                <w:szCs w:val="21"/>
              </w:rPr>
              <w:t>喷、浸、涂胶</w:t>
            </w:r>
            <w:r>
              <w:rPr>
                <w:szCs w:val="21"/>
              </w:rPr>
              <w:t>工序非甲烷总烃产生量为</w:t>
            </w:r>
            <w:r>
              <w:rPr>
                <w:rFonts w:hint="eastAsia"/>
                <w:szCs w:val="21"/>
              </w:rPr>
              <w:t>0.001</w:t>
            </w:r>
            <w:r>
              <w:rPr>
                <w:szCs w:val="21"/>
              </w:rPr>
              <w:t>t/a</w:t>
            </w:r>
            <w:r>
              <w:rPr>
                <w:rFonts w:hint="eastAsia"/>
                <w:szCs w:val="21"/>
              </w:rPr>
              <w:t>，</w:t>
            </w:r>
            <w:r>
              <w:rPr>
                <w:szCs w:val="21"/>
              </w:rPr>
              <w:t>经收集后</w:t>
            </w:r>
            <w:r>
              <w:rPr>
                <w:rFonts w:hint="eastAsia"/>
                <w:szCs w:val="21"/>
              </w:rPr>
              <w:t>非甲烷总烃</w:t>
            </w:r>
            <w:r>
              <w:rPr>
                <w:szCs w:val="21"/>
              </w:rPr>
              <w:t>有组织产生量为</w:t>
            </w:r>
            <w:r>
              <w:rPr>
                <w:rFonts w:hint="eastAsia"/>
                <w:szCs w:val="21"/>
              </w:rPr>
              <w:t>0.001</w:t>
            </w:r>
            <w:r>
              <w:rPr>
                <w:szCs w:val="21"/>
              </w:rPr>
              <w:t>t/a；经处理后</w:t>
            </w:r>
            <w:r>
              <w:rPr>
                <w:rFonts w:hint="eastAsia"/>
                <w:szCs w:val="21"/>
              </w:rPr>
              <w:t>非甲烷总烃</w:t>
            </w:r>
            <w:r>
              <w:rPr>
                <w:szCs w:val="21"/>
              </w:rPr>
              <w:t>有组织排放量为</w:t>
            </w:r>
            <w:r>
              <w:rPr>
                <w:rFonts w:hint="eastAsia"/>
                <w:szCs w:val="21"/>
              </w:rPr>
              <w:t>0.0001</w:t>
            </w:r>
            <w:r>
              <w:rPr>
                <w:szCs w:val="21"/>
              </w:rPr>
              <w:t>t/a。未被收集废气在</w:t>
            </w:r>
            <w:r>
              <w:rPr>
                <w:rFonts w:hint="eastAsia"/>
                <w:szCs w:val="21"/>
              </w:rPr>
              <w:t>4#</w:t>
            </w:r>
            <w:r>
              <w:rPr>
                <w:szCs w:val="21"/>
              </w:rPr>
              <w:t>车间内无组织排放，</w:t>
            </w:r>
            <w:r>
              <w:rPr>
                <w:rFonts w:hint="eastAsia"/>
                <w:szCs w:val="21"/>
              </w:rPr>
              <w:t>非甲烷总烃</w:t>
            </w:r>
            <w:r>
              <w:rPr>
                <w:szCs w:val="21"/>
              </w:rPr>
              <w:t>排放量为</w:t>
            </w:r>
            <w:r>
              <w:rPr>
                <w:rFonts w:hint="eastAsia"/>
                <w:szCs w:val="21"/>
              </w:rPr>
              <w:t>0.00004</w:t>
            </w:r>
            <w:r>
              <w:rPr>
                <w:szCs w:val="21"/>
              </w:rPr>
              <w:t>t/a。</w:t>
            </w:r>
          </w:p>
          <w:p w14:paraId="448C37C6">
            <w:pPr>
              <w:pStyle w:val="5"/>
              <w:snapToGrid w:val="0"/>
              <w:spacing w:line="360" w:lineRule="auto"/>
              <w:ind w:firstLine="420"/>
              <w:rPr>
                <w:szCs w:val="21"/>
              </w:rPr>
            </w:pPr>
            <w:r>
              <w:rPr>
                <w:szCs w:val="21"/>
              </w:rPr>
              <w:t>2）</w:t>
            </w:r>
            <w:r>
              <w:rPr>
                <w:rFonts w:hint="eastAsia"/>
                <w:szCs w:val="21"/>
              </w:rPr>
              <w:t>干燥</w:t>
            </w:r>
            <w:r>
              <w:rPr>
                <w:szCs w:val="21"/>
              </w:rPr>
              <w:t>工序非甲烷总烃产生量为</w:t>
            </w:r>
            <w:r>
              <w:rPr>
                <w:rFonts w:hint="eastAsia"/>
                <w:szCs w:val="21"/>
              </w:rPr>
              <w:t>0.001</w:t>
            </w:r>
            <w:r>
              <w:rPr>
                <w:szCs w:val="21"/>
              </w:rPr>
              <w:t>t/a</w:t>
            </w:r>
            <w:r>
              <w:rPr>
                <w:rFonts w:hint="eastAsia"/>
                <w:szCs w:val="21"/>
              </w:rPr>
              <w:t>，</w:t>
            </w:r>
            <w:r>
              <w:rPr>
                <w:szCs w:val="21"/>
              </w:rPr>
              <w:t>经收集后</w:t>
            </w:r>
            <w:r>
              <w:rPr>
                <w:rFonts w:hint="eastAsia"/>
                <w:szCs w:val="21"/>
              </w:rPr>
              <w:t>非甲烷总烃</w:t>
            </w:r>
            <w:r>
              <w:rPr>
                <w:szCs w:val="21"/>
              </w:rPr>
              <w:t>有组织产生量为</w:t>
            </w:r>
            <w:r>
              <w:rPr>
                <w:rFonts w:hint="eastAsia"/>
                <w:szCs w:val="21"/>
              </w:rPr>
              <w:t>0.001</w:t>
            </w:r>
            <w:r>
              <w:rPr>
                <w:szCs w:val="21"/>
              </w:rPr>
              <w:t>t/a；经处理后</w:t>
            </w:r>
            <w:r>
              <w:rPr>
                <w:rFonts w:hint="eastAsia"/>
                <w:szCs w:val="21"/>
              </w:rPr>
              <w:t>非甲烷总烃</w:t>
            </w:r>
            <w:r>
              <w:rPr>
                <w:szCs w:val="21"/>
              </w:rPr>
              <w:t>有组织排放量为</w:t>
            </w:r>
            <w:r>
              <w:rPr>
                <w:rFonts w:hint="eastAsia"/>
                <w:szCs w:val="21"/>
              </w:rPr>
              <w:t>0.0001</w:t>
            </w:r>
            <w:r>
              <w:rPr>
                <w:szCs w:val="21"/>
              </w:rPr>
              <w:t>t/a。未被收集废气在</w:t>
            </w:r>
            <w:r>
              <w:rPr>
                <w:rFonts w:hint="eastAsia"/>
                <w:szCs w:val="21"/>
              </w:rPr>
              <w:t>4#</w:t>
            </w:r>
            <w:r>
              <w:rPr>
                <w:szCs w:val="21"/>
              </w:rPr>
              <w:t>车间内无组织排放，</w:t>
            </w:r>
            <w:r>
              <w:rPr>
                <w:rFonts w:hint="eastAsia"/>
                <w:szCs w:val="21"/>
              </w:rPr>
              <w:t>非甲烷总烃</w:t>
            </w:r>
            <w:r>
              <w:rPr>
                <w:szCs w:val="21"/>
              </w:rPr>
              <w:t>排放量为</w:t>
            </w:r>
            <w:r>
              <w:rPr>
                <w:rFonts w:hint="eastAsia"/>
                <w:szCs w:val="21"/>
              </w:rPr>
              <w:t>0.0001</w:t>
            </w:r>
            <w:r>
              <w:rPr>
                <w:szCs w:val="21"/>
              </w:rPr>
              <w:t>t/a。</w:t>
            </w:r>
          </w:p>
          <w:p w14:paraId="288D3AB2">
            <w:pPr>
              <w:pStyle w:val="5"/>
              <w:snapToGrid w:val="0"/>
              <w:spacing w:line="360" w:lineRule="auto"/>
              <w:ind w:firstLine="422"/>
              <w:rPr>
                <w:szCs w:val="21"/>
              </w:rPr>
            </w:pPr>
            <w:r>
              <w:rPr>
                <w:rFonts w:hint="eastAsia" w:ascii="宋体" w:hAnsi="宋体" w:cs="宋体"/>
                <w:b/>
                <w:bCs/>
                <w:szCs w:val="21"/>
              </w:rPr>
              <w:t>③</w:t>
            </w:r>
            <w:r>
              <w:rPr>
                <w:rFonts w:hint="eastAsia"/>
                <w:b/>
                <w:bCs/>
                <w:szCs w:val="21"/>
              </w:rPr>
              <w:t>配料粉尘</w:t>
            </w:r>
            <w:r>
              <w:rPr>
                <w:b/>
                <w:bCs/>
                <w:szCs w:val="21"/>
              </w:rPr>
              <w:t>（G</w:t>
            </w:r>
            <w:r>
              <w:rPr>
                <w:rFonts w:hint="eastAsia"/>
                <w:b/>
                <w:bCs/>
                <w:szCs w:val="21"/>
              </w:rPr>
              <w:t>31</w:t>
            </w:r>
            <w:r>
              <w:rPr>
                <w:b/>
                <w:bCs/>
                <w:szCs w:val="21"/>
              </w:rPr>
              <w:t>’）</w:t>
            </w:r>
          </w:p>
          <w:p w14:paraId="6C4B4383">
            <w:pPr>
              <w:pStyle w:val="5"/>
              <w:snapToGrid w:val="0"/>
              <w:spacing w:line="360" w:lineRule="auto"/>
              <w:ind w:firstLine="420"/>
              <w:rPr>
                <w:szCs w:val="21"/>
              </w:rPr>
            </w:pPr>
            <w:r>
              <w:rPr>
                <w:rFonts w:hint="eastAsia"/>
                <w:szCs w:val="21"/>
              </w:rPr>
              <w:t>配料房配料过程在粉料倒入粉料秤储存料斗中时产生少量的粉尘，根据《逸散性工业粉尘控制技术》（1989年12月第1版，</w:t>
            </w:r>
            <w:r>
              <w:fldChar w:fldCharType="begin"/>
            </w:r>
            <w:r>
              <w:instrText xml:space="preserve"> HYPERLINK "http://book.ln.chaoxing.com/s?sw=J.A.%E5%A5%A5%E9%87%8C%E8%92%99&amp;type=author" </w:instrText>
            </w:r>
            <w:r>
              <w:fldChar w:fldCharType="separate"/>
            </w:r>
            <w:r>
              <w:rPr>
                <w:rFonts w:hint="eastAsia"/>
                <w:szCs w:val="21"/>
              </w:rPr>
              <w:t>J.A.奥里蒙</w:t>
            </w:r>
            <w:r>
              <w:rPr>
                <w:rFonts w:hint="eastAsia"/>
                <w:szCs w:val="21"/>
              </w:rPr>
              <w:fldChar w:fldCharType="end"/>
            </w:r>
            <w:r>
              <w:rPr>
                <w:rFonts w:hint="eastAsia"/>
                <w:szCs w:val="21"/>
              </w:rPr>
              <w:t>）中第二十七章炭黑厂中数据表明，逸散粉尘排放系数为2kg/t，预计炭黑投料产生废气中炭黑灰的产生量约为0.4t/a。项目在单独的配料房内配料，粉料采用自动化称量集中装入塑料袋，连同塑料袋整袋投入捏炼生产线，此投料过程不产生粉尘。</w:t>
            </w:r>
          </w:p>
          <w:p w14:paraId="3DA42E03">
            <w:pPr>
              <w:pStyle w:val="5"/>
              <w:snapToGrid w:val="0"/>
              <w:spacing w:line="360" w:lineRule="auto"/>
              <w:ind w:firstLine="420"/>
              <w:rPr>
                <w:szCs w:val="21"/>
              </w:rPr>
            </w:pPr>
            <w:r>
              <w:rPr>
                <w:rFonts w:hint="eastAsia"/>
                <w:szCs w:val="21"/>
              </w:rPr>
              <w:t>配料粉尘经半封闭配料台设置的侧集气罩收集，进布袋除尘+二级活性炭装置处理后有组织排放，粉尘捕集率取90%，布袋除尘对粉尘去除率取99%，则有组织产生量为0.360t/a，有组织排放量为0.004t/a，无组织排放量为0.040t/a。3#车间现有两套布袋除尘+二级活性炭吸附装置，拟再新增一套布袋除尘+二级活性炭吸附装置，以三套处理装置收集的废气量相同计。</w:t>
            </w:r>
          </w:p>
          <w:p w14:paraId="46E87929">
            <w:pPr>
              <w:pStyle w:val="5"/>
              <w:adjustRightInd w:val="0"/>
              <w:snapToGrid w:val="0"/>
              <w:spacing w:line="360" w:lineRule="auto"/>
              <w:ind w:firstLine="422"/>
              <w:rPr>
                <w:szCs w:val="21"/>
              </w:rPr>
            </w:pPr>
            <w:r>
              <w:rPr>
                <w:rFonts w:hint="eastAsia" w:ascii="宋体" w:hAnsi="宋体" w:cs="宋体"/>
                <w:b/>
                <w:bCs/>
                <w:szCs w:val="21"/>
              </w:rPr>
              <w:t>④混炼废气</w:t>
            </w:r>
            <w:r>
              <w:rPr>
                <w:b/>
                <w:bCs/>
                <w:szCs w:val="21"/>
              </w:rPr>
              <w:t>（G</w:t>
            </w:r>
            <w:r>
              <w:rPr>
                <w:rFonts w:hint="eastAsia"/>
                <w:b/>
                <w:bCs/>
                <w:szCs w:val="21"/>
              </w:rPr>
              <w:t>32</w:t>
            </w:r>
            <w:r>
              <w:rPr>
                <w:b/>
                <w:bCs/>
                <w:szCs w:val="21"/>
              </w:rPr>
              <w:t>’）</w:t>
            </w:r>
          </w:p>
          <w:p w14:paraId="68CEEFB2">
            <w:pPr>
              <w:pStyle w:val="5"/>
              <w:adjustRightInd w:val="0"/>
              <w:snapToGrid w:val="0"/>
              <w:spacing w:line="360" w:lineRule="auto"/>
              <w:ind w:firstLine="420"/>
              <w:rPr>
                <w:szCs w:val="21"/>
              </w:rPr>
            </w:pPr>
            <w:r>
              <w:rPr>
                <w:rFonts w:hint="eastAsia"/>
                <w:szCs w:val="21"/>
              </w:rPr>
              <w:t>建设</w:t>
            </w:r>
            <w:r>
              <w:rPr>
                <w:szCs w:val="21"/>
              </w:rPr>
              <w:t>项目</w:t>
            </w:r>
            <w:r>
              <w:rPr>
                <w:rFonts w:hint="eastAsia"/>
                <w:szCs w:val="21"/>
              </w:rPr>
              <w:t>氢化丁腈橡胶、氟橡胶、</w:t>
            </w:r>
            <w:r>
              <w:rPr>
                <w:szCs w:val="21"/>
              </w:rPr>
              <w:t>炭黑</w:t>
            </w:r>
            <w:r>
              <w:rPr>
                <w:rFonts w:hint="eastAsia"/>
                <w:szCs w:val="21"/>
              </w:rPr>
              <w:t>、促进剂等</w:t>
            </w:r>
            <w:r>
              <w:rPr>
                <w:szCs w:val="21"/>
              </w:rPr>
              <w:t>投料后，物料在</w:t>
            </w:r>
            <w:r>
              <w:rPr>
                <w:rFonts w:hint="eastAsia"/>
                <w:szCs w:val="21"/>
              </w:rPr>
              <w:t>密炼</w:t>
            </w:r>
            <w:r>
              <w:rPr>
                <w:szCs w:val="21"/>
              </w:rPr>
              <w:t>机滚轴的作用下相互溶合，在此过程中会产生一定的气流，为了保证</w:t>
            </w:r>
            <w:r>
              <w:rPr>
                <w:rFonts w:hint="eastAsia"/>
                <w:szCs w:val="21"/>
              </w:rPr>
              <w:t>密炼</w:t>
            </w:r>
            <w:r>
              <w:rPr>
                <w:szCs w:val="21"/>
              </w:rPr>
              <w:t>机内的气压稳定，在</w:t>
            </w:r>
            <w:r>
              <w:rPr>
                <w:rFonts w:hint="eastAsia"/>
                <w:szCs w:val="21"/>
              </w:rPr>
              <w:t>捏</w:t>
            </w:r>
            <w:r>
              <w:rPr>
                <w:szCs w:val="21"/>
              </w:rPr>
              <w:t>炼机投料口上方开一出气口，以平衡</w:t>
            </w:r>
            <w:r>
              <w:rPr>
                <w:rFonts w:hint="eastAsia"/>
                <w:szCs w:val="21"/>
              </w:rPr>
              <w:t>密炼</w:t>
            </w:r>
            <w:r>
              <w:rPr>
                <w:szCs w:val="21"/>
              </w:rPr>
              <w:t>机中的气压；出气口在出气过程中会带出</w:t>
            </w:r>
            <w:r>
              <w:rPr>
                <w:rFonts w:hint="eastAsia"/>
                <w:szCs w:val="21"/>
              </w:rPr>
              <w:t>部分</w:t>
            </w:r>
            <w:r>
              <w:rPr>
                <w:szCs w:val="21"/>
              </w:rPr>
              <w:t>粉尘</w:t>
            </w:r>
            <w:r>
              <w:rPr>
                <w:rFonts w:hint="eastAsia"/>
                <w:szCs w:val="21"/>
              </w:rPr>
              <w:t>，胶料从出料口挤出的时候也会带出少量的粉尘，</w:t>
            </w:r>
            <w:r>
              <w:rPr>
                <w:szCs w:val="21"/>
              </w:rPr>
              <w:t>由于其他粉状配合剂使用量较少，所以粉尘废气的成分基本为炭黑灰。</w:t>
            </w:r>
            <w:r>
              <w:rPr>
                <w:rFonts w:hint="eastAsia"/>
                <w:szCs w:val="21"/>
              </w:rPr>
              <w:t>粉料输送过程采用密闭式气力输送，出气口出采用</w:t>
            </w:r>
            <w:r>
              <w:rPr>
                <w:szCs w:val="21"/>
              </w:rPr>
              <w:t>全封闭式集气罩收集</w:t>
            </w:r>
            <w:r>
              <w:rPr>
                <w:rFonts w:hint="eastAsia"/>
                <w:szCs w:val="21"/>
              </w:rPr>
              <w:t>废气，出料口采用侧吸式集气罩收集废气，废气</w:t>
            </w:r>
            <w:r>
              <w:rPr>
                <w:szCs w:val="21"/>
              </w:rPr>
              <w:t>引入布袋除尘器处理，处理后通过排气筒排放。</w:t>
            </w:r>
            <w:r>
              <w:rPr>
                <w:rFonts w:hint="eastAsia"/>
                <w:szCs w:val="21"/>
              </w:rPr>
              <w:t>密炼粉尘收集后通过布袋除尘器净化后通过</w:t>
            </w:r>
            <w:r>
              <w:rPr>
                <w:szCs w:val="21"/>
              </w:rPr>
              <w:t>1</w:t>
            </w:r>
            <w:r>
              <w:rPr>
                <w:rFonts w:hint="eastAsia"/>
                <w:szCs w:val="21"/>
              </w:rPr>
              <w:t>5</w:t>
            </w:r>
            <w:r>
              <w:rPr>
                <w:szCs w:val="21"/>
              </w:rPr>
              <w:t>m高排气筒</w:t>
            </w:r>
            <w:r>
              <w:rPr>
                <w:rFonts w:hint="eastAsia"/>
                <w:szCs w:val="21"/>
              </w:rPr>
              <w:t>8#</w:t>
            </w:r>
            <w:r>
              <w:rPr>
                <w:szCs w:val="21"/>
              </w:rPr>
              <w:t>排放。</w:t>
            </w:r>
          </w:p>
          <w:p w14:paraId="7D01A021">
            <w:pPr>
              <w:pStyle w:val="5"/>
              <w:adjustRightInd w:val="0"/>
              <w:snapToGrid w:val="0"/>
              <w:spacing w:line="360" w:lineRule="auto"/>
              <w:ind w:firstLine="420"/>
              <w:rPr>
                <w:szCs w:val="21"/>
              </w:rPr>
            </w:pPr>
            <w:r>
              <w:rPr>
                <w:rFonts w:hint="eastAsia"/>
                <w:szCs w:val="21"/>
              </w:rPr>
              <w:t>本项目炭黑等粉末原辅料</w:t>
            </w:r>
            <w:r>
              <w:rPr>
                <w:szCs w:val="21"/>
              </w:rPr>
              <w:t>采用负压输送方式送入</w:t>
            </w:r>
            <w:r>
              <w:rPr>
                <w:rFonts w:hint="eastAsia"/>
                <w:szCs w:val="21"/>
              </w:rPr>
              <w:t>密炼</w:t>
            </w:r>
            <w:r>
              <w:rPr>
                <w:szCs w:val="21"/>
              </w:rPr>
              <w:t>机</w:t>
            </w:r>
            <w:r>
              <w:rPr>
                <w:rFonts w:hint="eastAsia"/>
                <w:szCs w:val="21"/>
              </w:rPr>
              <w:t>，可有效降低炭黑粉尘产生量。类比恩欧凯(无锡)密封件有限公司混炼</w:t>
            </w:r>
            <w:r>
              <w:rPr>
                <w:szCs w:val="21"/>
              </w:rPr>
              <w:t>废气的实际产生情况</w:t>
            </w:r>
            <w:r>
              <w:rPr>
                <w:rFonts w:hint="eastAsia"/>
                <w:szCs w:val="21"/>
              </w:rPr>
              <w:t>以及现有项目监测数据</w:t>
            </w:r>
            <w:r>
              <w:rPr>
                <w:szCs w:val="21"/>
              </w:rPr>
              <w:t>，</w:t>
            </w:r>
            <w:r>
              <w:rPr>
                <w:rFonts w:hint="eastAsia"/>
                <w:szCs w:val="21"/>
              </w:rPr>
              <w:t>年炭黑使用量约300t，颗粒物产生量约为0.0034t/t炭黑，本项目炭黑使用量约200t/a，</w:t>
            </w:r>
            <w:r>
              <w:rPr>
                <w:szCs w:val="21"/>
              </w:rPr>
              <w:t>则项目产生量为</w:t>
            </w:r>
            <w:r>
              <w:rPr>
                <w:rFonts w:hint="eastAsia"/>
                <w:szCs w:val="21"/>
              </w:rPr>
              <w:t>0.68</w:t>
            </w:r>
            <w:r>
              <w:rPr>
                <w:szCs w:val="21"/>
              </w:rPr>
              <w:t>t/a，</w:t>
            </w:r>
            <w:r>
              <w:rPr>
                <w:rFonts w:hint="eastAsia"/>
                <w:szCs w:val="21"/>
              </w:rPr>
              <w:t>密炼机废气主要从出气口排出，少量废气从出料口挤出，在出气口处设置密闭集气罩收集废气，在出料口设置侧吸式集气罩收集废气。考虑到废气主要从出气口排出，少量废气通过出料口排出，排气口采用密闭集气罩，出料口采用侧吸式集气罩，预计捕集率可达90%，则有组织粉尘产生量为0.612t/a，</w:t>
            </w:r>
            <w:r>
              <w:rPr>
                <w:szCs w:val="21"/>
              </w:rPr>
              <w:t>布袋除尘装置除尘效率为9</w:t>
            </w:r>
            <w:r>
              <w:rPr>
                <w:rFonts w:hint="eastAsia"/>
                <w:szCs w:val="21"/>
              </w:rPr>
              <w:t>9</w:t>
            </w:r>
            <w:r>
              <w:rPr>
                <w:szCs w:val="21"/>
              </w:rPr>
              <w:t>%</w:t>
            </w:r>
            <w:r>
              <w:rPr>
                <w:rFonts w:hint="eastAsia"/>
                <w:szCs w:val="21"/>
              </w:rPr>
              <w:t>，有组织排放量为0.006t/a，无组织排放量为0.068t/a。3#车间拟新增一套布袋除尘+二级活性炭吸附装置处理本项目新增废气。</w:t>
            </w:r>
          </w:p>
          <w:p w14:paraId="1DAB467D">
            <w:pPr>
              <w:pStyle w:val="5"/>
              <w:adjustRightInd w:val="0"/>
              <w:snapToGrid w:val="0"/>
              <w:spacing w:line="360" w:lineRule="auto"/>
              <w:ind w:firstLine="420"/>
              <w:rPr>
                <w:szCs w:val="21"/>
              </w:rPr>
            </w:pPr>
            <w:r>
              <w:rPr>
                <w:rFonts w:hint="eastAsia"/>
                <w:szCs w:val="21"/>
              </w:rPr>
              <w:t>橡胶制品工业生产中炼胶过程产生的废气为有机废气，这些挥发性有机物来自于残存有机单体的释放，主要是烷烃和烯烃衍生物。本项目使用的橡胶为丁腈橡胶、三元乙丙橡胶、丙烯酸酯橡胶、硅橡胶、氢化丁腈橡胶和氟橡胶，氢化丁腈橡胶是由丁二烯与丙烯腈共聚制得的合成橡胶再加氢后制得，氟橡胶是四氟乙烯与丙烯共聚制得，本项目使用的橡胶为已加硫的氢化丁腈橡胶和氟橡胶，在原料商的生产过程中，四氟乙烯、丙烯、丁二烯和丙烯腈残留单体已挥发掉大部分，本项目原料橡胶残留的有机单体极少，1，3-丁二烯的沸点为-4.4C，丙烯腈的沸点是77.3C，四氟乙烯的沸点为-76.3℃，丙烯的沸点为-47.4℃，混炼的工艺温度为50±5℃左右，因此本项目残留的极少量有机单体为丙烯腈。有机废气参照《橡胶制品工业污染物排放标准》以非甲烷总烃计、恶臭气体以硫化氢计，非甲烷总烃用来表征所有的挥发性有机物，包括烃类有机废气和排放量较小的污染因子的有机废气丙烯腈等，</w:t>
            </w:r>
            <w:r>
              <w:t>丙烯腈等污染物分解量极小，本次不作定量评价。</w:t>
            </w:r>
          </w:p>
          <w:p w14:paraId="0EF181A5">
            <w:pPr>
              <w:pStyle w:val="5"/>
              <w:adjustRightInd w:val="0"/>
              <w:snapToGrid w:val="0"/>
              <w:spacing w:line="360" w:lineRule="auto"/>
              <w:ind w:firstLine="420"/>
              <w:rPr>
                <w:szCs w:val="21"/>
              </w:rPr>
            </w:pPr>
            <w:r>
              <w:rPr>
                <w:szCs w:val="21"/>
              </w:rPr>
              <w:t>橡胶经密炼机混炼、塑炼过程中，由于胶料在密炼机中受机械剪切作用，磨擦生热使胶料的温度升高而产生少量的</w:t>
            </w:r>
            <w:r>
              <w:rPr>
                <w:rFonts w:hint="eastAsia"/>
                <w:szCs w:val="21"/>
              </w:rPr>
              <w:t>含有机成分（以非甲烷总烃计）的气体，并伴有一定臭味，该废气称之为混炼废气，该类废气同粉尘废气一起收集后进入布袋除尘器，再通过二级活性炭吸附装置处理后，通过15m高排气筒8#排放。</w:t>
            </w:r>
          </w:p>
          <w:p w14:paraId="601FF24D">
            <w:pPr>
              <w:pStyle w:val="5"/>
              <w:adjustRightInd w:val="0"/>
              <w:snapToGrid w:val="0"/>
              <w:spacing w:line="360" w:lineRule="auto"/>
              <w:ind w:firstLine="420"/>
              <w:rPr>
                <w:szCs w:val="21"/>
              </w:rPr>
            </w:pPr>
            <w:r>
              <w:rPr>
                <w:rFonts w:hint="eastAsia"/>
                <w:szCs w:val="21"/>
              </w:rPr>
              <w:t>类比恩欧凯(无锡)密封件有限公司混炼废气的实际产生情况及现有项目监测数据，年消耗胶量约1050t，非甲烷总烃产生量约2.41t/a、硫化氢产生量约0.57t/a，预计本项目混炼废气中非甲烷总烃的产生量约为1.035t/a、硫化氢产生量约为0.024t/a，通过二级活性炭吸附装置处理后通过（2#或7#或8#）排气筒排放。预计总收集率以90%计，二级活性炭处理率约90%。有组织非甲烷总烃产生量为0.932t/a，排放量为0.093t/a；有组织硫化氢产生量为0.022t/a，排放量为0.002t/a。</w:t>
            </w:r>
            <w:r>
              <w:rPr>
                <w:szCs w:val="21"/>
              </w:rPr>
              <w:t>未被收集废气在</w:t>
            </w:r>
            <w:r>
              <w:rPr>
                <w:rFonts w:hint="eastAsia"/>
                <w:szCs w:val="21"/>
              </w:rPr>
              <w:t>3#</w:t>
            </w:r>
            <w:r>
              <w:rPr>
                <w:szCs w:val="21"/>
              </w:rPr>
              <w:t>车间内无组织排放，非甲烷总烃无组织排放量为</w:t>
            </w:r>
            <w:r>
              <w:rPr>
                <w:rFonts w:hint="eastAsia"/>
                <w:szCs w:val="21"/>
              </w:rPr>
              <w:t>0.104</w:t>
            </w:r>
            <w:r>
              <w:rPr>
                <w:szCs w:val="21"/>
              </w:rPr>
              <w:t>t/a，硫化氢无组织排放量为</w:t>
            </w:r>
            <w:r>
              <w:rPr>
                <w:rFonts w:hint="eastAsia"/>
                <w:szCs w:val="21"/>
              </w:rPr>
              <w:t>0.002</w:t>
            </w:r>
            <w:r>
              <w:rPr>
                <w:szCs w:val="21"/>
              </w:rPr>
              <w:t>t/a。</w:t>
            </w:r>
          </w:p>
          <w:p w14:paraId="362A0441">
            <w:pPr>
              <w:pStyle w:val="5"/>
              <w:adjustRightInd w:val="0"/>
              <w:snapToGrid w:val="0"/>
              <w:spacing w:line="360" w:lineRule="auto"/>
              <w:ind w:firstLine="420"/>
              <w:rPr>
                <w:szCs w:val="21"/>
              </w:rPr>
            </w:pPr>
            <w:r>
              <w:rPr>
                <w:rFonts w:hint="eastAsia"/>
                <w:szCs w:val="21"/>
              </w:rPr>
              <w:t>3#车间拟新增一套布袋除尘+二级活性炭吸附装置处理本项目新增废气。</w:t>
            </w:r>
          </w:p>
          <w:p w14:paraId="4EC3DC84">
            <w:pPr>
              <w:pStyle w:val="5"/>
              <w:adjustRightInd w:val="0"/>
              <w:snapToGrid w:val="0"/>
              <w:spacing w:line="360" w:lineRule="auto"/>
              <w:ind w:firstLine="422"/>
              <w:rPr>
                <w:szCs w:val="21"/>
              </w:rPr>
            </w:pPr>
            <w:r>
              <w:rPr>
                <w:rFonts w:hint="eastAsia" w:ascii="宋体" w:hAnsi="宋体" w:cs="宋体"/>
                <w:b/>
                <w:bCs/>
                <w:szCs w:val="21"/>
              </w:rPr>
              <w:t>⑤返炼废气</w:t>
            </w:r>
            <w:r>
              <w:rPr>
                <w:b/>
                <w:bCs/>
                <w:szCs w:val="21"/>
              </w:rPr>
              <w:t>（G</w:t>
            </w:r>
            <w:r>
              <w:rPr>
                <w:rFonts w:hint="eastAsia"/>
                <w:b/>
                <w:bCs/>
                <w:szCs w:val="21"/>
              </w:rPr>
              <w:t>33</w:t>
            </w:r>
            <w:r>
              <w:rPr>
                <w:b/>
                <w:bCs/>
                <w:szCs w:val="21"/>
              </w:rPr>
              <w:t>’）</w:t>
            </w:r>
          </w:p>
          <w:p w14:paraId="2127E92D">
            <w:pPr>
              <w:pStyle w:val="5"/>
              <w:adjustRightInd w:val="0"/>
              <w:snapToGrid w:val="0"/>
              <w:spacing w:line="360" w:lineRule="auto"/>
              <w:ind w:firstLine="420"/>
              <w:rPr>
                <w:szCs w:val="21"/>
              </w:rPr>
            </w:pPr>
            <w:r>
              <w:rPr>
                <w:rFonts w:hint="eastAsia"/>
                <w:szCs w:val="21"/>
              </w:rPr>
              <w:t>返炼过程中也会释放出部分挥发性物质，从而产生橡胶臭味，其主要污染物也为粉尘（含炭黑尘）、H</w:t>
            </w:r>
            <w:r>
              <w:rPr>
                <w:rFonts w:hint="eastAsia"/>
                <w:szCs w:val="21"/>
                <w:vertAlign w:val="subscript"/>
              </w:rPr>
              <w:t>2</w:t>
            </w:r>
            <w:r>
              <w:rPr>
                <w:rFonts w:hint="eastAsia"/>
                <w:szCs w:val="21"/>
              </w:rPr>
              <w:t>S、非甲烷总烃。类比恩欧凯(无锡)密封件有限公司混炼废气的实际产生情况及现有项目监测数据，粉尘、H</w:t>
            </w:r>
            <w:r>
              <w:rPr>
                <w:rFonts w:hint="eastAsia"/>
                <w:szCs w:val="21"/>
                <w:vertAlign w:val="subscript"/>
              </w:rPr>
              <w:t>2</w:t>
            </w:r>
            <w:r>
              <w:rPr>
                <w:rFonts w:hint="eastAsia"/>
                <w:szCs w:val="21"/>
              </w:rPr>
              <w:t>S和非甲烷总烃产生量分别约为：0.00079t/t炭黑、0.000058t/t胶和0.000368t/t胶，则本项目粉尘、H</w:t>
            </w:r>
            <w:r>
              <w:rPr>
                <w:rFonts w:hint="eastAsia"/>
                <w:szCs w:val="21"/>
                <w:vertAlign w:val="subscript"/>
              </w:rPr>
              <w:t>2</w:t>
            </w:r>
            <w:r>
              <w:rPr>
                <w:rFonts w:hint="eastAsia"/>
                <w:szCs w:val="21"/>
              </w:rPr>
              <w:t>S和非甲烷总烃产生量分别约为：0.158t/a、0.026t/a和0.166t/a。返炼废气和混炼废气一并通过开炼机上方的集气罩收集后通过布袋除尘设备+二级活性炭吸附装置处理后由15m高排气筒（8#）有组织达标排放。预计总收集率以90%计，二级活性炭处理率约90%，布袋除尘设备处理率为99%。有组织粉尘产生量为0.142t/a，排放量为0.001t/a；有组织非甲烷总烃产生量为0.149t/a，排放量为0.015t/a；有组织硫化氢产生量为0.023t/a，排放量为0.002t/a。</w:t>
            </w:r>
            <w:r>
              <w:rPr>
                <w:szCs w:val="21"/>
              </w:rPr>
              <w:t>未被收集废气在</w:t>
            </w:r>
            <w:r>
              <w:rPr>
                <w:rFonts w:hint="eastAsia"/>
                <w:szCs w:val="21"/>
              </w:rPr>
              <w:t>3#</w:t>
            </w:r>
            <w:r>
              <w:rPr>
                <w:szCs w:val="21"/>
              </w:rPr>
              <w:t>车间内无组织排放，</w:t>
            </w:r>
            <w:r>
              <w:rPr>
                <w:rFonts w:hint="eastAsia"/>
                <w:szCs w:val="21"/>
              </w:rPr>
              <w:t>粉尘无组织排放量为0.016t/a，</w:t>
            </w:r>
            <w:r>
              <w:rPr>
                <w:szCs w:val="21"/>
              </w:rPr>
              <w:t>非甲烷总烃无组织排放量为</w:t>
            </w:r>
            <w:r>
              <w:rPr>
                <w:rFonts w:hint="eastAsia"/>
                <w:szCs w:val="21"/>
              </w:rPr>
              <w:t>0.017</w:t>
            </w:r>
            <w:r>
              <w:rPr>
                <w:szCs w:val="21"/>
              </w:rPr>
              <w:t>t/a，硫化氢无组织排放量为</w:t>
            </w:r>
            <w:r>
              <w:rPr>
                <w:rFonts w:hint="eastAsia"/>
                <w:szCs w:val="21"/>
              </w:rPr>
              <w:t>0.003</w:t>
            </w:r>
            <w:r>
              <w:rPr>
                <w:szCs w:val="21"/>
              </w:rPr>
              <w:t>t/a。</w:t>
            </w:r>
          </w:p>
          <w:p w14:paraId="0904E00A">
            <w:pPr>
              <w:pStyle w:val="5"/>
              <w:snapToGrid w:val="0"/>
              <w:spacing w:line="360" w:lineRule="auto"/>
              <w:ind w:firstLine="422"/>
              <w:rPr>
                <w:szCs w:val="21"/>
              </w:rPr>
            </w:pPr>
            <w:r>
              <w:rPr>
                <w:rFonts w:hint="eastAsia" w:ascii="宋体" w:hAnsi="宋体" w:cs="宋体"/>
                <w:b/>
                <w:bCs/>
                <w:szCs w:val="21"/>
              </w:rPr>
              <w:t>⑥</w:t>
            </w:r>
            <w:r>
              <w:rPr>
                <w:b/>
                <w:bCs/>
                <w:szCs w:val="21"/>
              </w:rPr>
              <w:t>挤出废气（G</w:t>
            </w:r>
            <w:r>
              <w:rPr>
                <w:rFonts w:hint="eastAsia"/>
                <w:b/>
                <w:bCs/>
                <w:szCs w:val="21"/>
              </w:rPr>
              <w:t>34</w:t>
            </w:r>
            <w:r>
              <w:rPr>
                <w:b/>
                <w:bCs/>
                <w:szCs w:val="21"/>
              </w:rPr>
              <w:t>’）</w:t>
            </w:r>
          </w:p>
          <w:p w14:paraId="27179128">
            <w:pPr>
              <w:pStyle w:val="5"/>
              <w:snapToGrid w:val="0"/>
              <w:spacing w:line="360" w:lineRule="auto"/>
              <w:ind w:firstLine="420"/>
              <w:rPr>
                <w:rFonts w:hAnsi="宋体"/>
                <w:sz w:val="24"/>
              </w:rPr>
            </w:pPr>
            <w:r>
              <w:rPr>
                <w:szCs w:val="21"/>
              </w:rPr>
              <w:t>项目产品需进行挤出</w:t>
            </w:r>
            <w:r>
              <w:rPr>
                <w:rFonts w:hint="eastAsia"/>
                <w:szCs w:val="21"/>
              </w:rPr>
              <w:t>预成型</w:t>
            </w:r>
            <w:r>
              <w:rPr>
                <w:szCs w:val="21"/>
              </w:rPr>
              <w:t>工艺，</w:t>
            </w:r>
            <w:r>
              <w:t>加热温度180±5℃，此过程胶料受热产生有机废气</w:t>
            </w:r>
            <w:r>
              <w:rPr>
                <w:szCs w:val="21"/>
              </w:rPr>
              <w:t>（以非甲烷总烃计）及恶臭污染物（以硫化氢计）。挤出过程中非甲烷总烃产生情况参照《橡胶制品生产过程中有机废气的排放系数》（张芝兰，橡胶工业2006年第53卷）中橡胶制品挤出</w:t>
            </w:r>
            <w:r>
              <w:rPr>
                <w:rFonts w:hint="eastAsia"/>
                <w:szCs w:val="21"/>
              </w:rPr>
              <w:t>压延</w:t>
            </w:r>
            <w:r>
              <w:rPr>
                <w:szCs w:val="21"/>
              </w:rPr>
              <w:t>工序有机物产生系数（</w:t>
            </w:r>
            <w:r>
              <w:rPr>
                <w:rFonts w:hint="eastAsia"/>
                <w:szCs w:val="21"/>
              </w:rPr>
              <w:t>490</w:t>
            </w:r>
            <w:r>
              <w:rPr>
                <w:szCs w:val="21"/>
              </w:rPr>
              <w:t>mg/kg胶料）、硫化氢产生</w:t>
            </w:r>
            <w:r>
              <w:rPr>
                <w:rFonts w:hint="eastAsia"/>
                <w:szCs w:val="21"/>
              </w:rPr>
              <w:t>类比恩欧凯(无锡)密封件有限公司混炼废气的实际产生情况及现有项目监测数据，硫化氢产生量为0.00021t/t胶。3#车间：挤出废气一并通过挤出预成型机上方的集气罩收集后通过布袋除尘设备+二级活性炭吸附装置处理后由15m高排气筒（8#）有组织达标排放（注：本项目新增的配料粉尘、密炼粉尘、混炼废气、返炼废气、挤出废气这五股废气经过各自的捕集装置后分别进布袋除尘器+二级活性炭吸附装置处理后，经15m高8#排气筒排放）。项目捕集率取90%，其中对硫化氢的处理率为90%，对非甲烷总烃的处理率为90%。</w:t>
            </w:r>
          </w:p>
          <w:p w14:paraId="0DE2949B">
            <w:pPr>
              <w:pStyle w:val="5"/>
              <w:adjustRightInd w:val="0"/>
              <w:snapToGrid w:val="0"/>
              <w:spacing w:line="360" w:lineRule="auto"/>
              <w:ind w:firstLine="420"/>
              <w:rPr>
                <w:szCs w:val="21"/>
              </w:rPr>
            </w:pPr>
            <w:r>
              <w:rPr>
                <w:szCs w:val="21"/>
              </w:rPr>
              <w:t>则非甲烷总烃产生量为</w:t>
            </w:r>
            <w:r>
              <w:rPr>
                <w:rFonts w:hint="eastAsia"/>
                <w:szCs w:val="21"/>
              </w:rPr>
              <w:t>0.221</w:t>
            </w:r>
            <w:r>
              <w:rPr>
                <w:szCs w:val="21"/>
              </w:rPr>
              <w:t>t/a、硫化氢产生量为</w:t>
            </w:r>
            <w:r>
              <w:rPr>
                <w:rFonts w:hint="eastAsia"/>
                <w:szCs w:val="21"/>
              </w:rPr>
              <w:t>0.095</w:t>
            </w:r>
            <w:r>
              <w:rPr>
                <w:szCs w:val="21"/>
              </w:rPr>
              <w:t>t/a。经收集后非甲烷总烃有组织产生量为</w:t>
            </w:r>
            <w:r>
              <w:rPr>
                <w:rFonts w:hint="eastAsia"/>
                <w:szCs w:val="21"/>
              </w:rPr>
              <w:t>0.198</w:t>
            </w:r>
            <w:r>
              <w:rPr>
                <w:szCs w:val="21"/>
              </w:rPr>
              <w:t>t/a，硫化氢有组织产生量为</w:t>
            </w:r>
            <w:r>
              <w:rPr>
                <w:rFonts w:hint="eastAsia"/>
                <w:szCs w:val="21"/>
              </w:rPr>
              <w:t>0.085</w:t>
            </w:r>
            <w:r>
              <w:rPr>
                <w:szCs w:val="21"/>
              </w:rPr>
              <w:t>t/a；经处理后非甲烷总烃有组织排放量为</w:t>
            </w:r>
            <w:r>
              <w:rPr>
                <w:rFonts w:hint="eastAsia"/>
                <w:szCs w:val="21"/>
              </w:rPr>
              <w:t>0.020</w:t>
            </w:r>
            <w:r>
              <w:rPr>
                <w:szCs w:val="21"/>
              </w:rPr>
              <w:t>t/a</w:t>
            </w:r>
            <w:r>
              <w:rPr>
                <w:rFonts w:hint="eastAsia"/>
                <w:szCs w:val="21"/>
              </w:rPr>
              <w:t>，</w:t>
            </w:r>
            <w:r>
              <w:rPr>
                <w:szCs w:val="21"/>
              </w:rPr>
              <w:t>硫化氢有组织排放量为</w:t>
            </w:r>
            <w:r>
              <w:rPr>
                <w:rFonts w:hint="eastAsia"/>
                <w:szCs w:val="21"/>
              </w:rPr>
              <w:t>0.009</w:t>
            </w:r>
            <w:r>
              <w:rPr>
                <w:szCs w:val="21"/>
              </w:rPr>
              <w:t>t/a。未被收集废气在</w:t>
            </w:r>
            <w:r>
              <w:rPr>
                <w:rFonts w:hint="eastAsia"/>
                <w:szCs w:val="21"/>
              </w:rPr>
              <w:t>3#</w:t>
            </w:r>
            <w:r>
              <w:rPr>
                <w:szCs w:val="21"/>
              </w:rPr>
              <w:t>车间内无组织排放</w:t>
            </w:r>
            <w:r>
              <w:rPr>
                <w:rFonts w:hint="eastAsia"/>
                <w:szCs w:val="21"/>
              </w:rPr>
              <w:t>，</w:t>
            </w:r>
            <w:r>
              <w:rPr>
                <w:szCs w:val="21"/>
              </w:rPr>
              <w:t>非甲烷总烃无组织排放量为</w:t>
            </w:r>
            <w:r>
              <w:rPr>
                <w:rFonts w:hint="eastAsia"/>
                <w:szCs w:val="21"/>
              </w:rPr>
              <w:t>0.022</w:t>
            </w:r>
            <w:r>
              <w:rPr>
                <w:szCs w:val="21"/>
              </w:rPr>
              <w:t>t/a，硫化氢无组织排放量为</w:t>
            </w:r>
            <w:r>
              <w:rPr>
                <w:rFonts w:hint="eastAsia"/>
                <w:szCs w:val="21"/>
              </w:rPr>
              <w:t>0.009</w:t>
            </w:r>
            <w:r>
              <w:rPr>
                <w:szCs w:val="21"/>
              </w:rPr>
              <w:t>t/a。</w:t>
            </w:r>
          </w:p>
          <w:p w14:paraId="075BBB17">
            <w:pPr>
              <w:pStyle w:val="5"/>
              <w:adjustRightInd w:val="0"/>
              <w:snapToGrid w:val="0"/>
              <w:spacing w:line="360" w:lineRule="auto"/>
              <w:ind w:firstLine="420"/>
              <w:rPr>
                <w:szCs w:val="21"/>
              </w:rPr>
            </w:pPr>
            <w:r>
              <w:rPr>
                <w:rFonts w:hint="eastAsia"/>
                <w:szCs w:val="21"/>
              </w:rPr>
              <w:t>3#车间拟新增一套布袋除尘+二级活性炭吸附装置处理本项目新增废气。</w:t>
            </w:r>
          </w:p>
          <w:p w14:paraId="2FDE589B">
            <w:pPr>
              <w:pStyle w:val="5"/>
              <w:snapToGrid w:val="0"/>
              <w:spacing w:line="360" w:lineRule="auto"/>
              <w:ind w:firstLine="422"/>
              <w:rPr>
                <w:szCs w:val="21"/>
              </w:rPr>
            </w:pPr>
            <w:r>
              <w:rPr>
                <w:rFonts w:hint="eastAsia" w:ascii="宋体" w:hAnsi="宋体" w:cs="宋体"/>
                <w:b/>
                <w:bCs/>
                <w:szCs w:val="21"/>
              </w:rPr>
              <w:t>⑦</w:t>
            </w:r>
            <w:r>
              <w:rPr>
                <w:b/>
                <w:bCs/>
                <w:szCs w:val="21"/>
              </w:rPr>
              <w:t>硫化废气（G</w:t>
            </w:r>
            <w:r>
              <w:rPr>
                <w:rFonts w:hint="eastAsia"/>
                <w:b/>
                <w:bCs/>
                <w:szCs w:val="21"/>
              </w:rPr>
              <w:t>11</w:t>
            </w:r>
            <w:r>
              <w:rPr>
                <w:b/>
                <w:bCs/>
                <w:szCs w:val="21"/>
              </w:rPr>
              <w:t>’）</w:t>
            </w:r>
            <w:r>
              <w:rPr>
                <w:rFonts w:hint="eastAsia"/>
                <w:b/>
                <w:bCs/>
                <w:szCs w:val="21"/>
              </w:rPr>
              <w:t>、二次硫化废气（</w:t>
            </w:r>
            <w:r>
              <w:rPr>
                <w:b/>
                <w:bCs/>
                <w:szCs w:val="21"/>
              </w:rPr>
              <w:t>G</w:t>
            </w:r>
            <w:r>
              <w:rPr>
                <w:rFonts w:hint="eastAsia"/>
                <w:b/>
                <w:bCs/>
                <w:szCs w:val="21"/>
              </w:rPr>
              <w:t>12</w:t>
            </w:r>
            <w:r>
              <w:rPr>
                <w:b/>
                <w:bCs/>
                <w:szCs w:val="21"/>
              </w:rPr>
              <w:t>’</w:t>
            </w:r>
            <w:r>
              <w:rPr>
                <w:rFonts w:hint="eastAsia"/>
                <w:b/>
                <w:bCs/>
                <w:szCs w:val="21"/>
              </w:rPr>
              <w:t>）</w:t>
            </w:r>
          </w:p>
          <w:p w14:paraId="3918DC35">
            <w:pPr>
              <w:pStyle w:val="5"/>
              <w:snapToGrid w:val="0"/>
              <w:spacing w:line="360" w:lineRule="auto"/>
              <w:ind w:firstLine="420"/>
              <w:rPr>
                <w:szCs w:val="21"/>
              </w:rPr>
            </w:pPr>
            <w:r>
              <w:rPr>
                <w:szCs w:val="21"/>
              </w:rPr>
              <w:t>生产过程中</w:t>
            </w:r>
            <w:r>
              <w:rPr>
                <w:rFonts w:hint="eastAsia"/>
                <w:szCs w:val="21"/>
              </w:rPr>
              <w:t>橡胶产品</w:t>
            </w:r>
            <w:r>
              <w:rPr>
                <w:szCs w:val="21"/>
              </w:rPr>
              <w:t>需进行硫化及二次硫化反应，硫化及二次硫化量各约</w:t>
            </w:r>
            <w:r>
              <w:rPr>
                <w:rFonts w:hint="eastAsia"/>
                <w:szCs w:val="21"/>
              </w:rPr>
              <w:t>450</w:t>
            </w:r>
            <w:r>
              <w:rPr>
                <w:szCs w:val="21"/>
              </w:rPr>
              <w:t>t/</w:t>
            </w:r>
            <w:r>
              <w:rPr>
                <w:rFonts w:hint="eastAsia"/>
                <w:szCs w:val="21"/>
              </w:rPr>
              <w:t>t</w:t>
            </w:r>
            <w:r>
              <w:rPr>
                <w:szCs w:val="21"/>
              </w:rPr>
              <w:t>胶料。在硫化过程中胶料受热产生</w:t>
            </w:r>
            <w:r>
              <w:t>有机废气</w:t>
            </w:r>
            <w:r>
              <w:rPr>
                <w:szCs w:val="21"/>
              </w:rPr>
              <w:t>（以非甲烷总烃计）</w:t>
            </w:r>
            <w:r>
              <w:rPr>
                <w:rFonts w:hint="eastAsia"/>
                <w:szCs w:val="21"/>
              </w:rPr>
              <w:t>、氟化物</w:t>
            </w:r>
            <w:r>
              <w:rPr>
                <w:szCs w:val="21"/>
              </w:rPr>
              <w:t>及恶臭污染物（以硫化氢计）</w:t>
            </w:r>
            <w:r>
              <w:rPr>
                <w:rFonts w:hint="eastAsia"/>
                <w:szCs w:val="21"/>
              </w:rPr>
              <w:t>。</w:t>
            </w:r>
          </w:p>
          <w:p w14:paraId="21F1BB7A">
            <w:pPr>
              <w:pStyle w:val="5"/>
              <w:snapToGrid w:val="0"/>
              <w:spacing w:line="360" w:lineRule="auto"/>
              <w:ind w:firstLine="420"/>
              <w:rPr>
                <w:szCs w:val="21"/>
              </w:rPr>
            </w:pPr>
            <w:r>
              <w:rPr>
                <w:rFonts w:hint="eastAsia"/>
                <w:szCs w:val="21"/>
              </w:rPr>
              <w:t>氟化物产生情况参照文献《氟橡胶胶料在硫化过程中离析产生的挥发物》，译自《R.C.T》Vol,49.No2,P367-374。一次硫化工段挥发的氟化物约0.0007g/100g氟橡胶胶料，二次硫化工段挥发的氟化物约0.008g/100g氟橡胶胶料，氟化物绝大多数为氟化氢，少量为氟化烯烃。</w:t>
            </w:r>
            <w:r>
              <w:rPr>
                <w:szCs w:val="21"/>
              </w:rPr>
              <w:t>非甲烷总烃、硫化氢产生情况参考</w:t>
            </w:r>
            <w:r>
              <w:rPr>
                <w:rFonts w:hint="eastAsia"/>
                <w:szCs w:val="21"/>
              </w:rPr>
              <w:t>恩欧凯(无锡)密封件有限公司混炼废气的实际产生情况及现有项目监测数据，硫化过程中硫化氢产生量为0.00046t/t胶，非甲烷总烃产生量为0.0019t/t胶；二次硫化过程中硫化氢产生量为0.00025t/t胶，非甲烷总烃产生量为0.00079t/t胶。</w:t>
            </w:r>
          </w:p>
          <w:p w14:paraId="62DB4B5A">
            <w:pPr>
              <w:pStyle w:val="5"/>
              <w:snapToGrid w:val="0"/>
              <w:spacing w:line="360" w:lineRule="auto"/>
              <w:ind w:firstLine="420"/>
              <w:rPr>
                <w:szCs w:val="21"/>
              </w:rPr>
            </w:pPr>
            <w:r>
              <w:rPr>
                <w:rFonts w:hint="eastAsia"/>
                <w:szCs w:val="21"/>
              </w:rPr>
              <w:t>建设单位在硫化剂、二次硫化设备上方设置集气罩设施收集废气，通过负压送排风系统收集至管道中，项目捕集率取90%，并配套相应的碱喷淋+除雾装置+二级活性炭处理设施，对硫化氢的处理率为90%（其中碱喷淋塔对硫化氢的处理率为60%，二级活性炭处理装置对硫化氢的处理率为75%），对非甲烷总烃的处理率为90%，对氟化物的去处率为90%。硫化工段、二次硫化工段在1#车间和4#车间内均有加工，以两个车间产能相同计，尾气经处理后分别通过1#车间15m高1#排气筒和4#车间15m高排气筒（3#）达标排放。（注：1#车间：硫化废气和挤出废气经碱喷淋+除雾装置+二级活性炭吸附装置处理后，二级硫化废气经碱喷淋+除雾装置+二级活性炭吸附装置处理后，合并至1#排气筒排放。4#车间：硫化废气经碱喷淋+除雾装置+二级活性炭吸附装置处理后，二级硫化废气经碱喷淋+除雾装置+二级活性炭吸附装置处理后，合并至3#排气筒排放）。</w:t>
            </w:r>
          </w:p>
          <w:p w14:paraId="53892DB8">
            <w:pPr>
              <w:pStyle w:val="5"/>
              <w:snapToGrid w:val="0"/>
              <w:spacing w:line="360" w:lineRule="auto"/>
              <w:ind w:firstLine="420"/>
              <w:rPr>
                <w:szCs w:val="21"/>
              </w:rPr>
            </w:pPr>
            <w:r>
              <w:rPr>
                <w:rFonts w:hint="eastAsia"/>
                <w:szCs w:val="21"/>
              </w:rPr>
              <w:t>1</w:t>
            </w:r>
            <w:r>
              <w:rPr>
                <w:szCs w:val="21"/>
              </w:rPr>
              <w:t>）硫化工序非甲烷总烃产生量为</w:t>
            </w:r>
            <w:r>
              <w:rPr>
                <w:rFonts w:hint="eastAsia"/>
                <w:szCs w:val="21"/>
              </w:rPr>
              <w:t>0.855</w:t>
            </w:r>
            <w:r>
              <w:rPr>
                <w:szCs w:val="21"/>
              </w:rPr>
              <w:t>t/a、硫化氢产生量为</w:t>
            </w:r>
            <w:r>
              <w:rPr>
                <w:rFonts w:hint="eastAsia"/>
                <w:szCs w:val="21"/>
              </w:rPr>
              <w:t>0.207</w:t>
            </w:r>
            <w:r>
              <w:rPr>
                <w:szCs w:val="21"/>
              </w:rPr>
              <w:t>t/a、</w:t>
            </w:r>
            <w:r>
              <w:rPr>
                <w:rFonts w:hint="eastAsia"/>
                <w:szCs w:val="21"/>
              </w:rPr>
              <w:t>氟化物</w:t>
            </w:r>
            <w:r>
              <w:rPr>
                <w:szCs w:val="21"/>
              </w:rPr>
              <w:t>产生量为0.000</w:t>
            </w:r>
            <w:r>
              <w:rPr>
                <w:rFonts w:hint="eastAsia"/>
                <w:szCs w:val="21"/>
              </w:rPr>
              <w:t>14</w:t>
            </w:r>
            <w:r>
              <w:rPr>
                <w:szCs w:val="21"/>
              </w:rPr>
              <w:t>t/a。经收集后非甲烷总烃有组织产生量为</w:t>
            </w:r>
            <w:r>
              <w:rPr>
                <w:rFonts w:hint="eastAsia"/>
                <w:szCs w:val="21"/>
              </w:rPr>
              <w:t>0.770</w:t>
            </w:r>
            <w:r>
              <w:rPr>
                <w:szCs w:val="21"/>
              </w:rPr>
              <w:t>t/a，硫化氢有组织产生量为0.</w:t>
            </w:r>
            <w:r>
              <w:rPr>
                <w:rFonts w:hint="eastAsia"/>
                <w:szCs w:val="21"/>
              </w:rPr>
              <w:t>186</w:t>
            </w:r>
            <w:r>
              <w:rPr>
                <w:szCs w:val="21"/>
              </w:rPr>
              <w:t>t/a，</w:t>
            </w:r>
            <w:r>
              <w:rPr>
                <w:rFonts w:hint="eastAsia"/>
                <w:szCs w:val="21"/>
              </w:rPr>
              <w:t>氟化物</w:t>
            </w:r>
            <w:r>
              <w:rPr>
                <w:szCs w:val="21"/>
              </w:rPr>
              <w:t>有组织产生量为0.000</w:t>
            </w:r>
            <w:r>
              <w:rPr>
                <w:rFonts w:hint="eastAsia"/>
                <w:szCs w:val="21"/>
              </w:rPr>
              <w:t>1</w:t>
            </w:r>
            <w:r>
              <w:rPr>
                <w:szCs w:val="21"/>
              </w:rPr>
              <w:t>t/a；经处理后非甲烷总烃有组织排放量为0.0</w:t>
            </w:r>
            <w:r>
              <w:rPr>
                <w:rFonts w:hint="eastAsia"/>
                <w:szCs w:val="21"/>
              </w:rPr>
              <w:t>77</w:t>
            </w:r>
            <w:r>
              <w:rPr>
                <w:szCs w:val="21"/>
              </w:rPr>
              <w:t>t/a，硫化氢有组织排放量为0.0</w:t>
            </w:r>
            <w:r>
              <w:rPr>
                <w:rFonts w:hint="eastAsia"/>
                <w:szCs w:val="21"/>
              </w:rPr>
              <w:t>19</w:t>
            </w:r>
            <w:r>
              <w:rPr>
                <w:szCs w:val="21"/>
              </w:rPr>
              <w:t>t/a</w:t>
            </w:r>
            <w:r>
              <w:rPr>
                <w:rFonts w:hint="eastAsia"/>
                <w:szCs w:val="21"/>
              </w:rPr>
              <w:t>，氟化物</w:t>
            </w:r>
            <w:r>
              <w:rPr>
                <w:szCs w:val="21"/>
              </w:rPr>
              <w:t>有组织排放量为0.0000</w:t>
            </w:r>
            <w:r>
              <w:rPr>
                <w:rFonts w:hint="eastAsia"/>
                <w:szCs w:val="21"/>
              </w:rPr>
              <w:t>1</w:t>
            </w:r>
            <w:r>
              <w:rPr>
                <w:szCs w:val="21"/>
              </w:rPr>
              <w:t>t/a。未被收集废气在</w:t>
            </w:r>
            <w:r>
              <w:rPr>
                <w:rFonts w:hint="eastAsia"/>
                <w:szCs w:val="21"/>
              </w:rPr>
              <w:t>1#</w:t>
            </w:r>
            <w:r>
              <w:rPr>
                <w:szCs w:val="21"/>
              </w:rPr>
              <w:t>车间</w:t>
            </w:r>
            <w:r>
              <w:rPr>
                <w:rFonts w:hint="eastAsia"/>
                <w:szCs w:val="21"/>
              </w:rPr>
              <w:t>和4#车间</w:t>
            </w:r>
            <w:r>
              <w:rPr>
                <w:szCs w:val="21"/>
              </w:rPr>
              <w:t>内无组织排放</w:t>
            </w:r>
            <w:r>
              <w:rPr>
                <w:rFonts w:hint="eastAsia"/>
                <w:szCs w:val="21"/>
              </w:rPr>
              <w:t>，1#车间：</w:t>
            </w:r>
            <w:r>
              <w:rPr>
                <w:szCs w:val="21"/>
              </w:rPr>
              <w:t>非甲烷总烃无组织排放量为</w:t>
            </w:r>
            <w:r>
              <w:rPr>
                <w:rFonts w:hint="eastAsia"/>
                <w:szCs w:val="21"/>
              </w:rPr>
              <w:t>0.043</w:t>
            </w:r>
            <w:r>
              <w:rPr>
                <w:szCs w:val="21"/>
              </w:rPr>
              <w:t>t/a，硫化氢无组织排放量为</w:t>
            </w:r>
            <w:r>
              <w:rPr>
                <w:rFonts w:hint="eastAsia"/>
                <w:szCs w:val="21"/>
              </w:rPr>
              <w:t>0.011</w:t>
            </w:r>
            <w:r>
              <w:rPr>
                <w:szCs w:val="21"/>
              </w:rPr>
              <w:t>t/a</w:t>
            </w:r>
            <w:r>
              <w:rPr>
                <w:rFonts w:hint="eastAsia"/>
                <w:szCs w:val="21"/>
              </w:rPr>
              <w:t>，氟化物</w:t>
            </w:r>
            <w:r>
              <w:rPr>
                <w:szCs w:val="21"/>
              </w:rPr>
              <w:t>无组织排放量为</w:t>
            </w:r>
            <w:r>
              <w:rPr>
                <w:rFonts w:hint="eastAsia"/>
                <w:szCs w:val="21"/>
              </w:rPr>
              <w:t>0.000005</w:t>
            </w:r>
            <w:r>
              <w:rPr>
                <w:szCs w:val="21"/>
              </w:rPr>
              <w:t>t/a</w:t>
            </w:r>
            <w:r>
              <w:rPr>
                <w:rFonts w:hint="eastAsia"/>
                <w:szCs w:val="21"/>
              </w:rPr>
              <w:t>；4#车间：</w:t>
            </w:r>
            <w:r>
              <w:rPr>
                <w:szCs w:val="21"/>
              </w:rPr>
              <w:t>非甲烷总烃无组织排放量为</w:t>
            </w:r>
            <w:r>
              <w:rPr>
                <w:rFonts w:hint="eastAsia"/>
                <w:szCs w:val="21"/>
              </w:rPr>
              <w:t>0.043</w:t>
            </w:r>
            <w:r>
              <w:rPr>
                <w:szCs w:val="21"/>
              </w:rPr>
              <w:t>t/a，硫化氢无组织排放量为</w:t>
            </w:r>
            <w:r>
              <w:rPr>
                <w:rFonts w:hint="eastAsia"/>
                <w:szCs w:val="21"/>
              </w:rPr>
              <w:t>0.011</w:t>
            </w:r>
            <w:r>
              <w:rPr>
                <w:szCs w:val="21"/>
              </w:rPr>
              <w:t>t/a</w:t>
            </w:r>
            <w:r>
              <w:rPr>
                <w:rFonts w:hint="eastAsia"/>
                <w:szCs w:val="21"/>
              </w:rPr>
              <w:t>，氟化物</w:t>
            </w:r>
            <w:r>
              <w:rPr>
                <w:szCs w:val="21"/>
              </w:rPr>
              <w:t>无组织排放量为</w:t>
            </w:r>
            <w:r>
              <w:rPr>
                <w:rFonts w:hint="eastAsia"/>
                <w:szCs w:val="21"/>
              </w:rPr>
              <w:t>0.000005</w:t>
            </w:r>
            <w:r>
              <w:rPr>
                <w:szCs w:val="21"/>
              </w:rPr>
              <w:t>t/a。</w:t>
            </w:r>
          </w:p>
          <w:p w14:paraId="23F3E956">
            <w:pPr>
              <w:pStyle w:val="5"/>
              <w:snapToGrid w:val="0"/>
              <w:spacing w:line="360" w:lineRule="auto"/>
              <w:ind w:firstLine="420"/>
              <w:rPr>
                <w:szCs w:val="21"/>
              </w:rPr>
            </w:pPr>
            <w:r>
              <w:rPr>
                <w:rFonts w:hint="eastAsia"/>
                <w:szCs w:val="21"/>
              </w:rPr>
              <w:t>2</w:t>
            </w:r>
            <w:r>
              <w:rPr>
                <w:szCs w:val="21"/>
              </w:rPr>
              <w:t>）二次硫化工序非甲烷总烃产生量为</w:t>
            </w:r>
            <w:r>
              <w:rPr>
                <w:rFonts w:hint="eastAsia"/>
                <w:szCs w:val="21"/>
              </w:rPr>
              <w:t>0.356</w:t>
            </w:r>
            <w:r>
              <w:rPr>
                <w:szCs w:val="21"/>
              </w:rPr>
              <w:t>t/a、硫化氢产生量为</w:t>
            </w:r>
            <w:r>
              <w:rPr>
                <w:rFonts w:hint="eastAsia"/>
                <w:szCs w:val="21"/>
              </w:rPr>
              <w:t>0.113</w:t>
            </w:r>
            <w:r>
              <w:rPr>
                <w:szCs w:val="21"/>
              </w:rPr>
              <w:t>t/a、</w:t>
            </w:r>
            <w:r>
              <w:rPr>
                <w:rFonts w:hint="eastAsia"/>
                <w:szCs w:val="21"/>
              </w:rPr>
              <w:t>氟化物</w:t>
            </w:r>
            <w:r>
              <w:rPr>
                <w:szCs w:val="21"/>
              </w:rPr>
              <w:t>产生量为0.00</w:t>
            </w:r>
            <w:r>
              <w:rPr>
                <w:rFonts w:hint="eastAsia"/>
                <w:szCs w:val="21"/>
              </w:rPr>
              <w:t>16</w:t>
            </w:r>
            <w:r>
              <w:rPr>
                <w:szCs w:val="21"/>
              </w:rPr>
              <w:t>t/a。经收集后非甲烷总烃有组织产生量为</w:t>
            </w:r>
            <w:r>
              <w:rPr>
                <w:rFonts w:hint="eastAsia"/>
                <w:szCs w:val="21"/>
              </w:rPr>
              <w:t>0.320</w:t>
            </w:r>
            <w:r>
              <w:rPr>
                <w:szCs w:val="21"/>
              </w:rPr>
              <w:t>t/a，硫化氢有组织产生量为</w:t>
            </w:r>
            <w:r>
              <w:rPr>
                <w:rFonts w:hint="eastAsia"/>
                <w:szCs w:val="21"/>
              </w:rPr>
              <w:t>0.101</w:t>
            </w:r>
            <w:r>
              <w:rPr>
                <w:szCs w:val="21"/>
              </w:rPr>
              <w:t>t/a，</w:t>
            </w:r>
            <w:r>
              <w:rPr>
                <w:rFonts w:hint="eastAsia"/>
                <w:szCs w:val="21"/>
              </w:rPr>
              <w:t>氟化物</w:t>
            </w:r>
            <w:r>
              <w:rPr>
                <w:szCs w:val="21"/>
              </w:rPr>
              <w:t>有组织产生量为</w:t>
            </w:r>
            <w:r>
              <w:rPr>
                <w:rFonts w:hint="eastAsia"/>
                <w:szCs w:val="21"/>
              </w:rPr>
              <w:t>0.0014</w:t>
            </w:r>
            <w:r>
              <w:rPr>
                <w:szCs w:val="21"/>
              </w:rPr>
              <w:t>t/a；经处理后非甲烷总烃有组织排放量为</w:t>
            </w:r>
            <w:r>
              <w:rPr>
                <w:rFonts w:hint="eastAsia"/>
                <w:szCs w:val="21"/>
              </w:rPr>
              <w:t>0.032</w:t>
            </w:r>
            <w:r>
              <w:rPr>
                <w:szCs w:val="21"/>
              </w:rPr>
              <w:t>t/a，硫化氢有组织排放量为0.0</w:t>
            </w:r>
            <w:r>
              <w:rPr>
                <w:rFonts w:hint="eastAsia"/>
                <w:szCs w:val="21"/>
              </w:rPr>
              <w:t>10</w:t>
            </w:r>
            <w:r>
              <w:rPr>
                <w:szCs w:val="21"/>
              </w:rPr>
              <w:t>t/a</w:t>
            </w:r>
            <w:r>
              <w:rPr>
                <w:rFonts w:hint="eastAsia"/>
                <w:szCs w:val="21"/>
              </w:rPr>
              <w:t>，氟化物</w:t>
            </w:r>
            <w:r>
              <w:rPr>
                <w:szCs w:val="21"/>
              </w:rPr>
              <w:t>有组织排放量为0.000</w:t>
            </w:r>
            <w:r>
              <w:rPr>
                <w:rFonts w:hint="eastAsia"/>
                <w:szCs w:val="21"/>
              </w:rPr>
              <w:t>1</w:t>
            </w:r>
            <w:r>
              <w:rPr>
                <w:szCs w:val="21"/>
              </w:rPr>
              <w:t>t/a。未被收集废气在</w:t>
            </w:r>
            <w:r>
              <w:rPr>
                <w:rFonts w:hint="eastAsia"/>
                <w:szCs w:val="21"/>
              </w:rPr>
              <w:t>1#</w:t>
            </w:r>
            <w:r>
              <w:rPr>
                <w:szCs w:val="21"/>
              </w:rPr>
              <w:t>车间</w:t>
            </w:r>
            <w:r>
              <w:rPr>
                <w:rFonts w:hint="eastAsia"/>
                <w:szCs w:val="21"/>
              </w:rPr>
              <w:t>和4#车间</w:t>
            </w:r>
            <w:r>
              <w:rPr>
                <w:szCs w:val="21"/>
              </w:rPr>
              <w:t>内无组织排放</w:t>
            </w:r>
            <w:r>
              <w:rPr>
                <w:rFonts w:hint="eastAsia"/>
                <w:szCs w:val="21"/>
              </w:rPr>
              <w:t>，1#车间：</w:t>
            </w:r>
            <w:r>
              <w:rPr>
                <w:szCs w:val="21"/>
              </w:rPr>
              <w:t>非甲烷总烃无组织排放量为</w:t>
            </w:r>
            <w:r>
              <w:rPr>
                <w:rFonts w:hint="eastAsia"/>
                <w:szCs w:val="21"/>
              </w:rPr>
              <w:t>0.018</w:t>
            </w:r>
            <w:r>
              <w:rPr>
                <w:szCs w:val="21"/>
              </w:rPr>
              <w:t>t/a，硫化氢无组织排放量为</w:t>
            </w:r>
            <w:r>
              <w:rPr>
                <w:rFonts w:hint="eastAsia"/>
                <w:szCs w:val="21"/>
              </w:rPr>
              <w:t>0.006</w:t>
            </w:r>
            <w:r>
              <w:rPr>
                <w:szCs w:val="21"/>
              </w:rPr>
              <w:t>t/a</w:t>
            </w:r>
            <w:r>
              <w:rPr>
                <w:rFonts w:hint="eastAsia"/>
                <w:szCs w:val="21"/>
              </w:rPr>
              <w:t>，氟化物</w:t>
            </w:r>
            <w:r>
              <w:rPr>
                <w:szCs w:val="21"/>
              </w:rPr>
              <w:t>无组织排放量为</w:t>
            </w:r>
            <w:r>
              <w:rPr>
                <w:rFonts w:hint="eastAsia"/>
                <w:szCs w:val="21"/>
              </w:rPr>
              <w:t>0.0001</w:t>
            </w:r>
            <w:r>
              <w:rPr>
                <w:szCs w:val="21"/>
              </w:rPr>
              <w:t>t/a</w:t>
            </w:r>
            <w:r>
              <w:rPr>
                <w:rFonts w:hint="eastAsia"/>
                <w:szCs w:val="21"/>
              </w:rPr>
              <w:t>；4#车间：</w:t>
            </w:r>
            <w:r>
              <w:rPr>
                <w:szCs w:val="21"/>
              </w:rPr>
              <w:t>非甲烷总烃无组织排放量为</w:t>
            </w:r>
            <w:r>
              <w:rPr>
                <w:rFonts w:hint="eastAsia"/>
                <w:szCs w:val="21"/>
              </w:rPr>
              <w:t>0.018</w:t>
            </w:r>
            <w:r>
              <w:rPr>
                <w:szCs w:val="21"/>
              </w:rPr>
              <w:t>t/a，硫化氢无组织排放量为</w:t>
            </w:r>
            <w:r>
              <w:rPr>
                <w:rFonts w:hint="eastAsia"/>
                <w:szCs w:val="21"/>
              </w:rPr>
              <w:t>0.006</w:t>
            </w:r>
            <w:r>
              <w:rPr>
                <w:szCs w:val="21"/>
              </w:rPr>
              <w:t>t/a</w:t>
            </w:r>
            <w:r>
              <w:rPr>
                <w:rFonts w:hint="eastAsia"/>
                <w:szCs w:val="21"/>
              </w:rPr>
              <w:t>，氟化物</w:t>
            </w:r>
            <w:r>
              <w:rPr>
                <w:szCs w:val="21"/>
              </w:rPr>
              <w:t>无组织排放量为</w:t>
            </w:r>
            <w:r>
              <w:rPr>
                <w:rFonts w:hint="eastAsia"/>
                <w:szCs w:val="21"/>
              </w:rPr>
              <w:t>0.0001</w:t>
            </w:r>
            <w:r>
              <w:rPr>
                <w:szCs w:val="21"/>
              </w:rPr>
              <w:t>t/a。</w:t>
            </w:r>
          </w:p>
          <w:p w14:paraId="46EA609E">
            <w:pPr>
              <w:pStyle w:val="5"/>
              <w:snapToGrid w:val="0"/>
              <w:spacing w:line="360" w:lineRule="auto"/>
              <w:ind w:firstLine="422"/>
              <w:rPr>
                <w:b/>
                <w:bCs/>
                <w:szCs w:val="21"/>
              </w:rPr>
            </w:pPr>
            <w:r>
              <w:rPr>
                <w:rFonts w:hint="eastAsia"/>
                <w:b/>
                <w:bCs/>
                <w:szCs w:val="21"/>
              </w:rPr>
              <w:t>⑧食堂油烟</w:t>
            </w:r>
          </w:p>
          <w:p w14:paraId="08F3288A">
            <w:pPr>
              <w:pStyle w:val="5"/>
              <w:snapToGrid w:val="0"/>
              <w:spacing w:line="360" w:lineRule="auto"/>
              <w:ind w:firstLine="420"/>
              <w:rPr>
                <w:szCs w:val="21"/>
              </w:rPr>
            </w:pPr>
            <w:r>
              <w:rPr>
                <w:rFonts w:hint="eastAsia"/>
                <w:szCs w:val="21"/>
              </w:rPr>
              <w:t>食堂烹饪油烟按基准灶头数4（中型规模）计，经企业实际使用情况，设备所用时间按一天4h计，一年则为1200h。本项目取每人每月食用油用量为1kg/(人•月)，本次新增员工100人，则年食用油量约1.2t/a，油烟转化率取1%，则每年产生油烟量为0.012t/a，脱油烟机效率为85%。油烟经脱油烟机处理后依托现有项目8m高4#排气筒达标排放，则油烟有组织排放量为0.002t/a。</w:t>
            </w:r>
          </w:p>
          <w:p w14:paraId="5A649E5C">
            <w:pPr>
              <w:pStyle w:val="5"/>
              <w:snapToGrid w:val="0"/>
              <w:spacing w:line="360" w:lineRule="auto"/>
              <w:ind w:firstLine="420"/>
              <w:rPr>
                <w:szCs w:val="21"/>
              </w:rPr>
            </w:pPr>
            <w:r>
              <w:rPr>
                <w:rFonts w:hint="eastAsia"/>
                <w:szCs w:val="21"/>
              </w:rPr>
              <w:t>食堂采用清洁能源天然气，根据《环境保护实用数据手册》，燃烧10000m</w:t>
            </w:r>
            <w:r>
              <w:rPr>
                <w:rFonts w:hint="eastAsia"/>
                <w:szCs w:val="21"/>
                <w:vertAlign w:val="superscript"/>
              </w:rPr>
              <w:t>3</w:t>
            </w:r>
            <w:r>
              <w:rPr>
                <w:rFonts w:hint="eastAsia"/>
                <w:szCs w:val="21"/>
              </w:rPr>
              <w:t>天然气，SO</w:t>
            </w:r>
            <w:r>
              <w:rPr>
                <w:rFonts w:hint="eastAsia"/>
                <w:szCs w:val="21"/>
                <w:vertAlign w:val="subscript"/>
              </w:rPr>
              <w:t>2</w:t>
            </w:r>
            <w:r>
              <w:rPr>
                <w:rFonts w:hint="eastAsia"/>
                <w:szCs w:val="21"/>
              </w:rPr>
              <w:t>、NO</w:t>
            </w:r>
            <w:r>
              <w:rPr>
                <w:rFonts w:hint="eastAsia"/>
                <w:szCs w:val="21"/>
                <w:vertAlign w:val="subscript"/>
              </w:rPr>
              <w:t>2</w:t>
            </w:r>
            <w:r>
              <w:rPr>
                <w:rFonts w:hint="eastAsia"/>
                <w:szCs w:val="21"/>
              </w:rPr>
              <w:t>、烟尘产生量分别为1.0kg、6.3kg、2.4kg，本项目食堂天然气年用量很少（2267kg，约3150m</w:t>
            </w:r>
            <w:r>
              <w:rPr>
                <w:rFonts w:hint="eastAsia"/>
                <w:szCs w:val="21"/>
                <w:vertAlign w:val="superscript"/>
              </w:rPr>
              <w:t>3</w:t>
            </w:r>
            <w:r>
              <w:rPr>
                <w:rFonts w:hint="eastAsia"/>
                <w:szCs w:val="21"/>
              </w:rPr>
              <w:t>），产生的废气污染物量极小，对大气的影响很小，可不计。</w:t>
            </w:r>
          </w:p>
          <w:p w14:paraId="3B1972A0">
            <w:pPr>
              <w:pStyle w:val="5"/>
              <w:spacing w:line="360" w:lineRule="auto"/>
              <w:ind w:firstLine="422"/>
              <w:rPr>
                <w:b/>
                <w:bCs/>
                <w:szCs w:val="21"/>
              </w:rPr>
            </w:pPr>
            <w:r>
              <w:rPr>
                <w:b/>
                <w:bCs/>
                <w:szCs w:val="21"/>
              </w:rPr>
              <w:t>（2）非正常排放</w:t>
            </w:r>
          </w:p>
          <w:p w14:paraId="7504D162">
            <w:pPr>
              <w:adjustRightInd w:val="0"/>
              <w:snapToGrid w:val="0"/>
              <w:spacing w:line="360" w:lineRule="auto"/>
              <w:ind w:firstLine="420" w:firstLineChars="200"/>
              <w:rPr>
                <w:szCs w:val="21"/>
              </w:rPr>
            </w:pPr>
            <w:r>
              <w:rPr>
                <w:szCs w:val="21"/>
              </w:rPr>
              <w:t>建设项目非正常工况是指生产运行阶段的停车、检修、操作不正常或设备故障等情况时的污染物排放。建设项目在废气治理设施发生故障停车，将造成大量未处理废气直接进入大气环境，本报告按最不利的情况考虑（废气处理装置完全失效，处理效率下降至0%），故障抢修至恢复正常运转时间按30分钟计，事故排放主要大气污染物排放源强见表4-3。</w:t>
            </w:r>
          </w:p>
          <w:p w14:paraId="2E75F741">
            <w:pPr>
              <w:pStyle w:val="5"/>
              <w:ind w:firstLine="0" w:firstLineChars="0"/>
              <w:jc w:val="center"/>
              <w:rPr>
                <w:b/>
                <w:bCs/>
                <w:szCs w:val="21"/>
              </w:rPr>
            </w:pPr>
            <w:r>
              <w:rPr>
                <w:b/>
                <w:bCs/>
                <w:szCs w:val="21"/>
              </w:rPr>
              <w:t>表4-3  非正常工况有组织废气排放情况表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34"/>
              <w:gridCol w:w="813"/>
              <w:gridCol w:w="1320"/>
              <w:gridCol w:w="1531"/>
              <w:gridCol w:w="1223"/>
              <w:gridCol w:w="1376"/>
              <w:gridCol w:w="1038"/>
              <w:gridCol w:w="995"/>
            </w:tblGrid>
            <w:tr w14:paraId="0181FF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Align w:val="center"/>
                </w:tcPr>
                <w:p w14:paraId="1DCC9841">
                  <w:pPr>
                    <w:jc w:val="center"/>
                    <w:rPr>
                      <w:b/>
                      <w:szCs w:val="21"/>
                    </w:rPr>
                  </w:pPr>
                  <w:r>
                    <w:rPr>
                      <w:b/>
                      <w:szCs w:val="21"/>
                    </w:rPr>
                    <w:t>污染源名称</w:t>
                  </w:r>
                </w:p>
              </w:tc>
              <w:tc>
                <w:tcPr>
                  <w:tcW w:w="450" w:type="pct"/>
                  <w:vAlign w:val="center"/>
                </w:tcPr>
                <w:p w14:paraId="0AF92CE5">
                  <w:pPr>
                    <w:jc w:val="center"/>
                    <w:rPr>
                      <w:b/>
                      <w:szCs w:val="21"/>
                    </w:rPr>
                  </w:pPr>
                  <w:r>
                    <w:rPr>
                      <w:b/>
                      <w:szCs w:val="21"/>
                    </w:rPr>
                    <w:t>排气量（m</w:t>
                  </w:r>
                  <w:r>
                    <w:rPr>
                      <w:b/>
                      <w:szCs w:val="21"/>
                      <w:vertAlign w:val="superscript"/>
                    </w:rPr>
                    <w:t>3</w:t>
                  </w:r>
                  <w:r>
                    <w:rPr>
                      <w:b/>
                      <w:szCs w:val="21"/>
                    </w:rPr>
                    <w:t>/h）</w:t>
                  </w:r>
                </w:p>
              </w:tc>
              <w:tc>
                <w:tcPr>
                  <w:tcW w:w="731" w:type="pct"/>
                  <w:vAlign w:val="center"/>
                </w:tcPr>
                <w:p w14:paraId="79B86E8F">
                  <w:pPr>
                    <w:jc w:val="center"/>
                    <w:rPr>
                      <w:b/>
                      <w:szCs w:val="21"/>
                    </w:rPr>
                  </w:pPr>
                  <w:r>
                    <w:rPr>
                      <w:b/>
                      <w:szCs w:val="21"/>
                    </w:rPr>
                    <w:t>非正常排放原因</w:t>
                  </w:r>
                </w:p>
              </w:tc>
              <w:tc>
                <w:tcPr>
                  <w:tcW w:w="848" w:type="pct"/>
                  <w:vAlign w:val="center"/>
                </w:tcPr>
                <w:p w14:paraId="0AC65254">
                  <w:pPr>
                    <w:jc w:val="center"/>
                    <w:rPr>
                      <w:b/>
                      <w:szCs w:val="21"/>
                    </w:rPr>
                  </w:pPr>
                  <w:r>
                    <w:rPr>
                      <w:b/>
                      <w:szCs w:val="21"/>
                    </w:rPr>
                    <w:t>污染物</w:t>
                  </w:r>
                </w:p>
              </w:tc>
              <w:tc>
                <w:tcPr>
                  <w:tcW w:w="677" w:type="pct"/>
                  <w:vAlign w:val="center"/>
                </w:tcPr>
                <w:p w14:paraId="3485CF30">
                  <w:pPr>
                    <w:jc w:val="center"/>
                    <w:rPr>
                      <w:b/>
                      <w:szCs w:val="21"/>
                    </w:rPr>
                  </w:pPr>
                  <w:r>
                    <w:rPr>
                      <w:b/>
                      <w:szCs w:val="21"/>
                    </w:rPr>
                    <w:t>非正常排放浓度</w:t>
                  </w:r>
                  <w:r>
                    <w:rPr>
                      <w:b/>
                      <w:bCs/>
                      <w:snapToGrid w:val="0"/>
                      <w:kern w:val="0"/>
                      <w:szCs w:val="21"/>
                    </w:rPr>
                    <w:t>mg/m</w:t>
                  </w:r>
                  <w:r>
                    <w:rPr>
                      <w:b/>
                      <w:bCs/>
                      <w:snapToGrid w:val="0"/>
                      <w:kern w:val="0"/>
                      <w:szCs w:val="21"/>
                      <w:vertAlign w:val="superscript"/>
                    </w:rPr>
                    <w:t>3</w:t>
                  </w:r>
                </w:p>
              </w:tc>
              <w:tc>
                <w:tcPr>
                  <w:tcW w:w="762" w:type="pct"/>
                  <w:vAlign w:val="center"/>
                </w:tcPr>
                <w:p w14:paraId="6F8F85E2">
                  <w:pPr>
                    <w:jc w:val="center"/>
                    <w:rPr>
                      <w:b/>
                      <w:szCs w:val="21"/>
                    </w:rPr>
                  </w:pPr>
                  <w:r>
                    <w:rPr>
                      <w:b/>
                      <w:szCs w:val="21"/>
                    </w:rPr>
                    <w:t>非正常排放速率kg/h</w:t>
                  </w:r>
                </w:p>
              </w:tc>
              <w:tc>
                <w:tcPr>
                  <w:tcW w:w="575" w:type="pct"/>
                  <w:vAlign w:val="center"/>
                </w:tcPr>
                <w:p w14:paraId="290DE785">
                  <w:pPr>
                    <w:jc w:val="center"/>
                    <w:rPr>
                      <w:b/>
                      <w:szCs w:val="21"/>
                    </w:rPr>
                  </w:pPr>
                  <w:r>
                    <w:rPr>
                      <w:b/>
                      <w:szCs w:val="21"/>
                    </w:rPr>
                    <w:t>单次持续时间/min</w:t>
                  </w:r>
                </w:p>
              </w:tc>
              <w:tc>
                <w:tcPr>
                  <w:tcW w:w="551" w:type="pct"/>
                  <w:vAlign w:val="center"/>
                </w:tcPr>
                <w:p w14:paraId="11533BD4">
                  <w:pPr>
                    <w:jc w:val="center"/>
                    <w:rPr>
                      <w:b/>
                      <w:szCs w:val="21"/>
                    </w:rPr>
                  </w:pPr>
                  <w:r>
                    <w:rPr>
                      <w:b/>
                      <w:szCs w:val="21"/>
                    </w:rPr>
                    <w:t>发生频次</w:t>
                  </w:r>
                </w:p>
              </w:tc>
            </w:tr>
            <w:tr w14:paraId="078AA3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restart"/>
                  <w:vAlign w:val="center"/>
                </w:tcPr>
                <w:p w14:paraId="12B03411">
                  <w:pPr>
                    <w:jc w:val="center"/>
                    <w:rPr>
                      <w:bCs/>
                      <w:szCs w:val="21"/>
                    </w:rPr>
                  </w:pPr>
                  <w:r>
                    <w:rPr>
                      <w:rFonts w:hint="eastAsia"/>
                      <w:bCs/>
                      <w:szCs w:val="21"/>
                    </w:rPr>
                    <w:t>8</w:t>
                  </w:r>
                  <w:r>
                    <w:rPr>
                      <w:bCs/>
                      <w:szCs w:val="21"/>
                    </w:rPr>
                    <w:t>#排气筒</w:t>
                  </w:r>
                </w:p>
              </w:tc>
              <w:tc>
                <w:tcPr>
                  <w:tcW w:w="450" w:type="pct"/>
                  <w:vMerge w:val="restart"/>
                  <w:vAlign w:val="center"/>
                </w:tcPr>
                <w:p w14:paraId="3ECC585D">
                  <w:pPr>
                    <w:jc w:val="center"/>
                    <w:rPr>
                      <w:bCs/>
                      <w:szCs w:val="21"/>
                    </w:rPr>
                  </w:pPr>
                  <w:r>
                    <w:rPr>
                      <w:rFonts w:hint="eastAsia"/>
                      <w:bCs/>
                      <w:szCs w:val="21"/>
                    </w:rPr>
                    <w:t>20000</w:t>
                  </w:r>
                </w:p>
              </w:tc>
              <w:tc>
                <w:tcPr>
                  <w:tcW w:w="731" w:type="pct"/>
                  <w:vMerge w:val="restart"/>
                  <w:vAlign w:val="center"/>
                </w:tcPr>
                <w:p w14:paraId="0F0D7F3E">
                  <w:pPr>
                    <w:jc w:val="center"/>
                    <w:rPr>
                      <w:bCs/>
                      <w:szCs w:val="21"/>
                    </w:rPr>
                  </w:pPr>
                  <w:r>
                    <w:rPr>
                      <w:bCs/>
                      <w:szCs w:val="21"/>
                    </w:rPr>
                    <w:t>废气处理装置发生故障</w:t>
                  </w:r>
                </w:p>
              </w:tc>
              <w:tc>
                <w:tcPr>
                  <w:tcW w:w="848" w:type="pct"/>
                  <w:vAlign w:val="center"/>
                </w:tcPr>
                <w:p w14:paraId="5B652597">
                  <w:pPr>
                    <w:jc w:val="center"/>
                    <w:rPr>
                      <w:bCs/>
                      <w:szCs w:val="21"/>
                    </w:rPr>
                  </w:pPr>
                  <w:r>
                    <w:rPr>
                      <w:rFonts w:hint="eastAsia"/>
                      <w:bCs/>
                      <w:szCs w:val="21"/>
                    </w:rPr>
                    <w:t>粉尘（含炭黑尘）</w:t>
                  </w:r>
                </w:p>
              </w:tc>
              <w:tc>
                <w:tcPr>
                  <w:tcW w:w="677" w:type="pct"/>
                  <w:vAlign w:val="center"/>
                </w:tcPr>
                <w:p w14:paraId="01F68BFF">
                  <w:pPr>
                    <w:widowControl/>
                    <w:jc w:val="center"/>
                    <w:textAlignment w:val="center"/>
                    <w:rPr>
                      <w:bCs/>
                      <w:szCs w:val="21"/>
                    </w:rPr>
                  </w:pPr>
                  <w:r>
                    <w:rPr>
                      <w:kern w:val="0"/>
                      <w:szCs w:val="21"/>
                    </w:rPr>
                    <w:t>7.74</w:t>
                  </w:r>
                </w:p>
              </w:tc>
              <w:tc>
                <w:tcPr>
                  <w:tcW w:w="762" w:type="pct"/>
                  <w:vAlign w:val="center"/>
                </w:tcPr>
                <w:p w14:paraId="1489DAA4">
                  <w:pPr>
                    <w:widowControl/>
                    <w:jc w:val="center"/>
                    <w:textAlignment w:val="center"/>
                    <w:rPr>
                      <w:bCs/>
                      <w:szCs w:val="21"/>
                    </w:rPr>
                  </w:pPr>
                  <w:r>
                    <w:rPr>
                      <w:kern w:val="0"/>
                      <w:szCs w:val="21"/>
                    </w:rPr>
                    <w:t>0.155</w:t>
                  </w:r>
                </w:p>
              </w:tc>
              <w:tc>
                <w:tcPr>
                  <w:tcW w:w="575" w:type="pct"/>
                  <w:vAlign w:val="center"/>
                </w:tcPr>
                <w:p w14:paraId="70F500D5">
                  <w:pPr>
                    <w:jc w:val="center"/>
                    <w:rPr>
                      <w:bCs/>
                      <w:szCs w:val="21"/>
                    </w:rPr>
                  </w:pPr>
                  <w:r>
                    <w:rPr>
                      <w:bCs/>
                      <w:szCs w:val="21"/>
                    </w:rPr>
                    <w:t>30</w:t>
                  </w:r>
                </w:p>
              </w:tc>
              <w:tc>
                <w:tcPr>
                  <w:tcW w:w="551" w:type="pct"/>
                  <w:vAlign w:val="center"/>
                </w:tcPr>
                <w:p w14:paraId="4B3452E9">
                  <w:pPr>
                    <w:jc w:val="center"/>
                    <w:rPr>
                      <w:b/>
                      <w:szCs w:val="21"/>
                    </w:rPr>
                  </w:pPr>
                  <w:r>
                    <w:rPr>
                      <w:bCs/>
                      <w:szCs w:val="21"/>
                    </w:rPr>
                    <w:t>1次/a</w:t>
                  </w:r>
                </w:p>
              </w:tc>
            </w:tr>
            <w:tr w14:paraId="49E9F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412EA743">
                  <w:pPr>
                    <w:jc w:val="center"/>
                    <w:rPr>
                      <w:bCs/>
                      <w:szCs w:val="21"/>
                    </w:rPr>
                  </w:pPr>
                </w:p>
              </w:tc>
              <w:tc>
                <w:tcPr>
                  <w:tcW w:w="450" w:type="pct"/>
                  <w:vMerge w:val="continue"/>
                  <w:vAlign w:val="center"/>
                </w:tcPr>
                <w:p w14:paraId="2538C90D">
                  <w:pPr>
                    <w:jc w:val="center"/>
                    <w:rPr>
                      <w:bCs/>
                      <w:szCs w:val="21"/>
                    </w:rPr>
                  </w:pPr>
                </w:p>
              </w:tc>
              <w:tc>
                <w:tcPr>
                  <w:tcW w:w="731" w:type="pct"/>
                  <w:vMerge w:val="continue"/>
                  <w:vAlign w:val="center"/>
                </w:tcPr>
                <w:p w14:paraId="4B683C1D">
                  <w:pPr>
                    <w:jc w:val="center"/>
                    <w:rPr>
                      <w:b/>
                      <w:szCs w:val="21"/>
                    </w:rPr>
                  </w:pPr>
                </w:p>
              </w:tc>
              <w:tc>
                <w:tcPr>
                  <w:tcW w:w="848" w:type="pct"/>
                  <w:vAlign w:val="center"/>
                </w:tcPr>
                <w:p w14:paraId="145A7C82">
                  <w:pPr>
                    <w:jc w:val="center"/>
                    <w:rPr>
                      <w:bCs/>
                      <w:szCs w:val="21"/>
                    </w:rPr>
                  </w:pPr>
                  <w:r>
                    <w:rPr>
                      <w:bCs/>
                      <w:szCs w:val="21"/>
                    </w:rPr>
                    <w:t>硫化氢</w:t>
                  </w:r>
                </w:p>
              </w:tc>
              <w:tc>
                <w:tcPr>
                  <w:tcW w:w="677" w:type="pct"/>
                  <w:vAlign w:val="center"/>
                </w:tcPr>
                <w:p w14:paraId="23DFA6E2">
                  <w:pPr>
                    <w:widowControl/>
                    <w:jc w:val="center"/>
                    <w:textAlignment w:val="center"/>
                    <w:rPr>
                      <w:bCs/>
                      <w:szCs w:val="21"/>
                    </w:rPr>
                  </w:pPr>
                  <w:r>
                    <w:rPr>
                      <w:kern w:val="0"/>
                      <w:szCs w:val="21"/>
                    </w:rPr>
                    <w:t>0.90</w:t>
                  </w:r>
                </w:p>
              </w:tc>
              <w:tc>
                <w:tcPr>
                  <w:tcW w:w="762" w:type="pct"/>
                  <w:vAlign w:val="center"/>
                </w:tcPr>
                <w:p w14:paraId="5E7B60D6">
                  <w:pPr>
                    <w:widowControl/>
                    <w:jc w:val="center"/>
                    <w:textAlignment w:val="center"/>
                    <w:rPr>
                      <w:bCs/>
                      <w:szCs w:val="21"/>
                    </w:rPr>
                  </w:pPr>
                  <w:r>
                    <w:rPr>
                      <w:kern w:val="0"/>
                      <w:szCs w:val="21"/>
                    </w:rPr>
                    <w:t>0.018</w:t>
                  </w:r>
                </w:p>
              </w:tc>
              <w:tc>
                <w:tcPr>
                  <w:tcW w:w="575" w:type="pct"/>
                  <w:vAlign w:val="center"/>
                </w:tcPr>
                <w:p w14:paraId="6001CBD9">
                  <w:pPr>
                    <w:jc w:val="center"/>
                    <w:rPr>
                      <w:bCs/>
                      <w:szCs w:val="21"/>
                    </w:rPr>
                  </w:pPr>
                  <w:r>
                    <w:rPr>
                      <w:bCs/>
                      <w:szCs w:val="21"/>
                    </w:rPr>
                    <w:t>30</w:t>
                  </w:r>
                </w:p>
              </w:tc>
              <w:tc>
                <w:tcPr>
                  <w:tcW w:w="551" w:type="pct"/>
                  <w:vAlign w:val="center"/>
                </w:tcPr>
                <w:p w14:paraId="2A980ABC">
                  <w:pPr>
                    <w:jc w:val="center"/>
                    <w:rPr>
                      <w:b/>
                      <w:szCs w:val="21"/>
                    </w:rPr>
                  </w:pPr>
                  <w:r>
                    <w:rPr>
                      <w:bCs/>
                      <w:szCs w:val="21"/>
                    </w:rPr>
                    <w:t>1次/a</w:t>
                  </w:r>
                </w:p>
              </w:tc>
            </w:tr>
            <w:tr w14:paraId="48ECED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0BE5E063">
                  <w:pPr>
                    <w:jc w:val="center"/>
                    <w:rPr>
                      <w:bCs/>
                      <w:szCs w:val="21"/>
                    </w:rPr>
                  </w:pPr>
                </w:p>
              </w:tc>
              <w:tc>
                <w:tcPr>
                  <w:tcW w:w="450" w:type="pct"/>
                  <w:vMerge w:val="continue"/>
                  <w:vAlign w:val="center"/>
                </w:tcPr>
                <w:p w14:paraId="481F8242">
                  <w:pPr>
                    <w:jc w:val="center"/>
                    <w:rPr>
                      <w:bCs/>
                      <w:szCs w:val="21"/>
                    </w:rPr>
                  </w:pPr>
                </w:p>
              </w:tc>
              <w:tc>
                <w:tcPr>
                  <w:tcW w:w="731" w:type="pct"/>
                  <w:vMerge w:val="continue"/>
                  <w:vAlign w:val="center"/>
                </w:tcPr>
                <w:p w14:paraId="1713460C">
                  <w:pPr>
                    <w:jc w:val="center"/>
                    <w:rPr>
                      <w:b/>
                      <w:szCs w:val="21"/>
                    </w:rPr>
                  </w:pPr>
                </w:p>
              </w:tc>
              <w:tc>
                <w:tcPr>
                  <w:tcW w:w="848" w:type="pct"/>
                  <w:vAlign w:val="center"/>
                </w:tcPr>
                <w:p w14:paraId="5985AC43">
                  <w:pPr>
                    <w:jc w:val="center"/>
                    <w:rPr>
                      <w:bCs/>
                      <w:szCs w:val="21"/>
                    </w:rPr>
                  </w:pPr>
                  <w:r>
                    <w:rPr>
                      <w:bCs/>
                      <w:szCs w:val="21"/>
                    </w:rPr>
                    <w:t>非甲烷总烃</w:t>
                  </w:r>
                </w:p>
              </w:tc>
              <w:tc>
                <w:tcPr>
                  <w:tcW w:w="677" w:type="pct"/>
                  <w:vAlign w:val="center"/>
                </w:tcPr>
                <w:p w14:paraId="37D6DE32">
                  <w:pPr>
                    <w:widowControl/>
                    <w:jc w:val="center"/>
                    <w:textAlignment w:val="center"/>
                    <w:rPr>
                      <w:bCs/>
                      <w:szCs w:val="21"/>
                    </w:rPr>
                  </w:pPr>
                  <w:r>
                    <w:rPr>
                      <w:kern w:val="0"/>
                      <w:szCs w:val="21"/>
                    </w:rPr>
                    <w:t>8.88</w:t>
                  </w:r>
                </w:p>
              </w:tc>
              <w:tc>
                <w:tcPr>
                  <w:tcW w:w="762" w:type="pct"/>
                  <w:vAlign w:val="center"/>
                </w:tcPr>
                <w:p w14:paraId="1E4E50EE">
                  <w:pPr>
                    <w:widowControl/>
                    <w:jc w:val="center"/>
                    <w:textAlignment w:val="center"/>
                    <w:rPr>
                      <w:bCs/>
                      <w:szCs w:val="21"/>
                    </w:rPr>
                  </w:pPr>
                  <w:r>
                    <w:rPr>
                      <w:kern w:val="0"/>
                      <w:szCs w:val="21"/>
                    </w:rPr>
                    <w:t>0.178</w:t>
                  </w:r>
                </w:p>
              </w:tc>
              <w:tc>
                <w:tcPr>
                  <w:tcW w:w="575" w:type="pct"/>
                  <w:vAlign w:val="center"/>
                </w:tcPr>
                <w:p w14:paraId="17B3AF29">
                  <w:pPr>
                    <w:jc w:val="center"/>
                    <w:rPr>
                      <w:bCs/>
                      <w:szCs w:val="21"/>
                    </w:rPr>
                  </w:pPr>
                  <w:r>
                    <w:rPr>
                      <w:bCs/>
                      <w:szCs w:val="21"/>
                    </w:rPr>
                    <w:t>30</w:t>
                  </w:r>
                </w:p>
              </w:tc>
              <w:tc>
                <w:tcPr>
                  <w:tcW w:w="551" w:type="pct"/>
                  <w:vAlign w:val="center"/>
                </w:tcPr>
                <w:p w14:paraId="657CD5E2">
                  <w:pPr>
                    <w:jc w:val="center"/>
                    <w:rPr>
                      <w:b/>
                      <w:szCs w:val="21"/>
                    </w:rPr>
                  </w:pPr>
                  <w:r>
                    <w:rPr>
                      <w:bCs/>
                      <w:szCs w:val="21"/>
                    </w:rPr>
                    <w:t>1次/a</w:t>
                  </w:r>
                </w:p>
              </w:tc>
            </w:tr>
            <w:tr w14:paraId="559FFA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restart"/>
                  <w:vAlign w:val="center"/>
                </w:tcPr>
                <w:p w14:paraId="2E249D97">
                  <w:pPr>
                    <w:jc w:val="center"/>
                    <w:rPr>
                      <w:bCs/>
                      <w:szCs w:val="21"/>
                    </w:rPr>
                  </w:pPr>
                  <w:r>
                    <w:rPr>
                      <w:rFonts w:hint="eastAsia"/>
                      <w:bCs/>
                      <w:szCs w:val="21"/>
                    </w:rPr>
                    <w:t>1</w:t>
                  </w:r>
                  <w:r>
                    <w:rPr>
                      <w:bCs/>
                      <w:szCs w:val="21"/>
                    </w:rPr>
                    <w:t>#排气筒</w:t>
                  </w:r>
                </w:p>
              </w:tc>
              <w:tc>
                <w:tcPr>
                  <w:tcW w:w="450" w:type="pct"/>
                  <w:vMerge w:val="restart"/>
                  <w:vAlign w:val="center"/>
                </w:tcPr>
                <w:p w14:paraId="1ADFB9D6">
                  <w:pPr>
                    <w:jc w:val="center"/>
                    <w:rPr>
                      <w:bCs/>
                      <w:szCs w:val="21"/>
                    </w:rPr>
                  </w:pPr>
                  <w:r>
                    <w:rPr>
                      <w:rFonts w:hint="eastAsia"/>
                      <w:bCs/>
                      <w:szCs w:val="21"/>
                    </w:rPr>
                    <w:t>63000</w:t>
                  </w:r>
                </w:p>
              </w:tc>
              <w:tc>
                <w:tcPr>
                  <w:tcW w:w="731" w:type="pct"/>
                  <w:vMerge w:val="restart"/>
                  <w:vAlign w:val="center"/>
                </w:tcPr>
                <w:p w14:paraId="6CDCF69C">
                  <w:pPr>
                    <w:jc w:val="center"/>
                    <w:rPr>
                      <w:bCs/>
                      <w:szCs w:val="21"/>
                    </w:rPr>
                  </w:pPr>
                  <w:r>
                    <w:rPr>
                      <w:bCs/>
                      <w:szCs w:val="21"/>
                    </w:rPr>
                    <w:t>废气处理装置发生故障</w:t>
                  </w:r>
                </w:p>
              </w:tc>
              <w:tc>
                <w:tcPr>
                  <w:tcW w:w="848" w:type="pct"/>
                  <w:vAlign w:val="center"/>
                </w:tcPr>
                <w:p w14:paraId="58DF1F87">
                  <w:pPr>
                    <w:jc w:val="center"/>
                    <w:rPr>
                      <w:bCs/>
                      <w:szCs w:val="21"/>
                    </w:rPr>
                  </w:pPr>
                  <w:r>
                    <w:rPr>
                      <w:rFonts w:hint="eastAsia"/>
                      <w:bCs/>
                      <w:szCs w:val="21"/>
                    </w:rPr>
                    <w:t>氟化物</w:t>
                  </w:r>
                </w:p>
              </w:tc>
              <w:tc>
                <w:tcPr>
                  <w:tcW w:w="677" w:type="pct"/>
                  <w:vAlign w:val="center"/>
                </w:tcPr>
                <w:p w14:paraId="282DDD9D">
                  <w:pPr>
                    <w:widowControl/>
                    <w:jc w:val="center"/>
                    <w:textAlignment w:val="center"/>
                    <w:rPr>
                      <w:spacing w:val="-2"/>
                      <w:kern w:val="28"/>
                      <w:szCs w:val="21"/>
                    </w:rPr>
                  </w:pPr>
                  <w:r>
                    <w:rPr>
                      <w:kern w:val="0"/>
                      <w:szCs w:val="21"/>
                    </w:rPr>
                    <w:t>0.005</w:t>
                  </w:r>
                </w:p>
              </w:tc>
              <w:tc>
                <w:tcPr>
                  <w:tcW w:w="762" w:type="pct"/>
                  <w:vAlign w:val="center"/>
                </w:tcPr>
                <w:p w14:paraId="5F8E279A">
                  <w:pPr>
                    <w:widowControl/>
                    <w:jc w:val="center"/>
                    <w:textAlignment w:val="center"/>
                    <w:rPr>
                      <w:snapToGrid w:val="0"/>
                      <w:kern w:val="0"/>
                      <w:szCs w:val="21"/>
                    </w:rPr>
                  </w:pPr>
                  <w:r>
                    <w:rPr>
                      <w:kern w:val="0"/>
                      <w:szCs w:val="21"/>
                    </w:rPr>
                    <w:t>0.0001</w:t>
                  </w:r>
                </w:p>
              </w:tc>
              <w:tc>
                <w:tcPr>
                  <w:tcW w:w="575" w:type="pct"/>
                  <w:vAlign w:val="center"/>
                </w:tcPr>
                <w:p w14:paraId="4653A318">
                  <w:pPr>
                    <w:jc w:val="center"/>
                    <w:rPr>
                      <w:bCs/>
                      <w:szCs w:val="21"/>
                    </w:rPr>
                  </w:pPr>
                  <w:r>
                    <w:rPr>
                      <w:bCs/>
                      <w:szCs w:val="21"/>
                    </w:rPr>
                    <w:t>30</w:t>
                  </w:r>
                </w:p>
              </w:tc>
              <w:tc>
                <w:tcPr>
                  <w:tcW w:w="551" w:type="pct"/>
                  <w:vAlign w:val="center"/>
                </w:tcPr>
                <w:p w14:paraId="7B1E8D37">
                  <w:pPr>
                    <w:jc w:val="center"/>
                    <w:rPr>
                      <w:bCs/>
                      <w:szCs w:val="21"/>
                    </w:rPr>
                  </w:pPr>
                  <w:r>
                    <w:rPr>
                      <w:bCs/>
                      <w:szCs w:val="21"/>
                    </w:rPr>
                    <w:t>1次/a</w:t>
                  </w:r>
                </w:p>
              </w:tc>
            </w:tr>
            <w:tr w14:paraId="739F1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688260BE">
                  <w:pPr>
                    <w:jc w:val="center"/>
                    <w:rPr>
                      <w:bCs/>
                      <w:szCs w:val="21"/>
                    </w:rPr>
                  </w:pPr>
                </w:p>
              </w:tc>
              <w:tc>
                <w:tcPr>
                  <w:tcW w:w="450" w:type="pct"/>
                  <w:vMerge w:val="continue"/>
                  <w:vAlign w:val="center"/>
                </w:tcPr>
                <w:p w14:paraId="1599C111">
                  <w:pPr>
                    <w:jc w:val="center"/>
                    <w:rPr>
                      <w:bCs/>
                      <w:szCs w:val="21"/>
                    </w:rPr>
                  </w:pPr>
                </w:p>
              </w:tc>
              <w:tc>
                <w:tcPr>
                  <w:tcW w:w="731" w:type="pct"/>
                  <w:vMerge w:val="continue"/>
                  <w:vAlign w:val="center"/>
                </w:tcPr>
                <w:p w14:paraId="501C0208">
                  <w:pPr>
                    <w:jc w:val="center"/>
                    <w:rPr>
                      <w:bCs/>
                      <w:szCs w:val="21"/>
                    </w:rPr>
                  </w:pPr>
                </w:p>
              </w:tc>
              <w:tc>
                <w:tcPr>
                  <w:tcW w:w="848" w:type="pct"/>
                  <w:vAlign w:val="center"/>
                </w:tcPr>
                <w:p w14:paraId="4C5AD62E">
                  <w:pPr>
                    <w:jc w:val="center"/>
                    <w:rPr>
                      <w:bCs/>
                      <w:szCs w:val="21"/>
                    </w:rPr>
                  </w:pPr>
                  <w:r>
                    <w:rPr>
                      <w:bCs/>
                      <w:szCs w:val="21"/>
                    </w:rPr>
                    <w:t>硫化氢</w:t>
                  </w:r>
                </w:p>
              </w:tc>
              <w:tc>
                <w:tcPr>
                  <w:tcW w:w="677" w:type="pct"/>
                  <w:vAlign w:val="center"/>
                </w:tcPr>
                <w:p w14:paraId="56986BE2">
                  <w:pPr>
                    <w:widowControl/>
                    <w:jc w:val="center"/>
                    <w:textAlignment w:val="center"/>
                    <w:rPr>
                      <w:spacing w:val="-2"/>
                      <w:kern w:val="28"/>
                      <w:szCs w:val="21"/>
                    </w:rPr>
                  </w:pPr>
                  <w:r>
                    <w:rPr>
                      <w:kern w:val="0"/>
                      <w:szCs w:val="21"/>
                    </w:rPr>
                    <w:t>1</w:t>
                  </w:r>
                </w:p>
              </w:tc>
              <w:tc>
                <w:tcPr>
                  <w:tcW w:w="762" w:type="pct"/>
                  <w:vAlign w:val="center"/>
                </w:tcPr>
                <w:p w14:paraId="602360C5">
                  <w:pPr>
                    <w:widowControl/>
                    <w:jc w:val="center"/>
                    <w:textAlignment w:val="center"/>
                    <w:rPr>
                      <w:snapToGrid w:val="0"/>
                      <w:kern w:val="0"/>
                      <w:szCs w:val="21"/>
                    </w:rPr>
                  </w:pPr>
                  <w:r>
                    <w:rPr>
                      <w:kern w:val="0"/>
                      <w:szCs w:val="21"/>
                    </w:rPr>
                    <w:t>0.020</w:t>
                  </w:r>
                </w:p>
              </w:tc>
              <w:tc>
                <w:tcPr>
                  <w:tcW w:w="575" w:type="pct"/>
                  <w:vAlign w:val="center"/>
                </w:tcPr>
                <w:p w14:paraId="1229ED18">
                  <w:pPr>
                    <w:jc w:val="center"/>
                    <w:rPr>
                      <w:bCs/>
                      <w:szCs w:val="21"/>
                    </w:rPr>
                  </w:pPr>
                  <w:r>
                    <w:rPr>
                      <w:bCs/>
                      <w:szCs w:val="21"/>
                    </w:rPr>
                    <w:t>30</w:t>
                  </w:r>
                </w:p>
              </w:tc>
              <w:tc>
                <w:tcPr>
                  <w:tcW w:w="551" w:type="pct"/>
                  <w:vAlign w:val="center"/>
                </w:tcPr>
                <w:p w14:paraId="4ED20E14">
                  <w:pPr>
                    <w:jc w:val="center"/>
                    <w:rPr>
                      <w:bCs/>
                      <w:szCs w:val="21"/>
                    </w:rPr>
                  </w:pPr>
                  <w:r>
                    <w:rPr>
                      <w:bCs/>
                      <w:szCs w:val="21"/>
                    </w:rPr>
                    <w:t>1次/a</w:t>
                  </w:r>
                </w:p>
              </w:tc>
            </w:tr>
            <w:tr w14:paraId="10E8E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1C726A4C">
                  <w:pPr>
                    <w:jc w:val="center"/>
                    <w:rPr>
                      <w:bCs/>
                      <w:szCs w:val="21"/>
                    </w:rPr>
                  </w:pPr>
                </w:p>
              </w:tc>
              <w:tc>
                <w:tcPr>
                  <w:tcW w:w="450" w:type="pct"/>
                  <w:vMerge w:val="continue"/>
                  <w:vAlign w:val="center"/>
                </w:tcPr>
                <w:p w14:paraId="5C3E6F69">
                  <w:pPr>
                    <w:jc w:val="center"/>
                    <w:rPr>
                      <w:bCs/>
                      <w:szCs w:val="21"/>
                    </w:rPr>
                  </w:pPr>
                </w:p>
              </w:tc>
              <w:tc>
                <w:tcPr>
                  <w:tcW w:w="731" w:type="pct"/>
                  <w:vMerge w:val="continue"/>
                  <w:vAlign w:val="center"/>
                </w:tcPr>
                <w:p w14:paraId="19BA2D5B">
                  <w:pPr>
                    <w:jc w:val="center"/>
                    <w:rPr>
                      <w:bCs/>
                      <w:szCs w:val="21"/>
                    </w:rPr>
                  </w:pPr>
                </w:p>
              </w:tc>
              <w:tc>
                <w:tcPr>
                  <w:tcW w:w="848" w:type="pct"/>
                  <w:vAlign w:val="center"/>
                </w:tcPr>
                <w:p w14:paraId="064A30A1">
                  <w:pPr>
                    <w:jc w:val="center"/>
                    <w:rPr>
                      <w:bCs/>
                      <w:szCs w:val="21"/>
                    </w:rPr>
                  </w:pPr>
                  <w:r>
                    <w:rPr>
                      <w:bCs/>
                      <w:szCs w:val="21"/>
                    </w:rPr>
                    <w:t>非甲烷总烃</w:t>
                  </w:r>
                </w:p>
              </w:tc>
              <w:tc>
                <w:tcPr>
                  <w:tcW w:w="677" w:type="pct"/>
                  <w:vAlign w:val="center"/>
                </w:tcPr>
                <w:p w14:paraId="71452660">
                  <w:pPr>
                    <w:widowControl/>
                    <w:jc w:val="center"/>
                    <w:textAlignment w:val="center"/>
                    <w:rPr>
                      <w:spacing w:val="-2"/>
                      <w:kern w:val="28"/>
                      <w:szCs w:val="21"/>
                    </w:rPr>
                  </w:pPr>
                  <w:r>
                    <w:rPr>
                      <w:kern w:val="0"/>
                      <w:szCs w:val="21"/>
                    </w:rPr>
                    <w:t>3.78</w:t>
                  </w:r>
                </w:p>
              </w:tc>
              <w:tc>
                <w:tcPr>
                  <w:tcW w:w="762" w:type="pct"/>
                  <w:vAlign w:val="center"/>
                </w:tcPr>
                <w:p w14:paraId="5FF7A1AE">
                  <w:pPr>
                    <w:widowControl/>
                    <w:jc w:val="center"/>
                    <w:textAlignment w:val="center"/>
                    <w:rPr>
                      <w:snapToGrid w:val="0"/>
                      <w:kern w:val="0"/>
                      <w:szCs w:val="21"/>
                    </w:rPr>
                  </w:pPr>
                  <w:r>
                    <w:rPr>
                      <w:kern w:val="0"/>
                      <w:szCs w:val="21"/>
                    </w:rPr>
                    <w:t>0.076</w:t>
                  </w:r>
                </w:p>
              </w:tc>
              <w:tc>
                <w:tcPr>
                  <w:tcW w:w="575" w:type="pct"/>
                  <w:vAlign w:val="center"/>
                </w:tcPr>
                <w:p w14:paraId="35966CCA">
                  <w:pPr>
                    <w:jc w:val="center"/>
                    <w:rPr>
                      <w:bCs/>
                      <w:szCs w:val="21"/>
                    </w:rPr>
                  </w:pPr>
                  <w:r>
                    <w:rPr>
                      <w:bCs/>
                      <w:szCs w:val="21"/>
                    </w:rPr>
                    <w:t>30</w:t>
                  </w:r>
                </w:p>
              </w:tc>
              <w:tc>
                <w:tcPr>
                  <w:tcW w:w="551" w:type="pct"/>
                  <w:vAlign w:val="center"/>
                </w:tcPr>
                <w:p w14:paraId="1A15A462">
                  <w:pPr>
                    <w:jc w:val="center"/>
                    <w:rPr>
                      <w:bCs/>
                      <w:szCs w:val="21"/>
                    </w:rPr>
                  </w:pPr>
                  <w:r>
                    <w:rPr>
                      <w:bCs/>
                      <w:szCs w:val="21"/>
                    </w:rPr>
                    <w:t>1次/a</w:t>
                  </w:r>
                </w:p>
              </w:tc>
            </w:tr>
            <w:tr w14:paraId="44D76D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restart"/>
                  <w:vAlign w:val="center"/>
                </w:tcPr>
                <w:p w14:paraId="4C843C65">
                  <w:pPr>
                    <w:jc w:val="center"/>
                    <w:rPr>
                      <w:bCs/>
                      <w:szCs w:val="21"/>
                    </w:rPr>
                  </w:pPr>
                  <w:r>
                    <w:rPr>
                      <w:rFonts w:hint="eastAsia"/>
                      <w:bCs/>
                      <w:szCs w:val="21"/>
                    </w:rPr>
                    <w:t>3</w:t>
                  </w:r>
                  <w:r>
                    <w:rPr>
                      <w:bCs/>
                      <w:szCs w:val="21"/>
                    </w:rPr>
                    <w:t>#排气筒</w:t>
                  </w:r>
                </w:p>
              </w:tc>
              <w:tc>
                <w:tcPr>
                  <w:tcW w:w="450" w:type="pct"/>
                  <w:vMerge w:val="restart"/>
                  <w:vAlign w:val="center"/>
                </w:tcPr>
                <w:p w14:paraId="408F4919">
                  <w:pPr>
                    <w:jc w:val="center"/>
                    <w:rPr>
                      <w:bCs/>
                      <w:szCs w:val="21"/>
                    </w:rPr>
                  </w:pPr>
                  <w:r>
                    <w:rPr>
                      <w:rFonts w:hint="eastAsia"/>
                      <w:bCs/>
                      <w:szCs w:val="21"/>
                    </w:rPr>
                    <w:t>63000</w:t>
                  </w:r>
                </w:p>
              </w:tc>
              <w:tc>
                <w:tcPr>
                  <w:tcW w:w="731" w:type="pct"/>
                  <w:vMerge w:val="restart"/>
                  <w:vAlign w:val="center"/>
                </w:tcPr>
                <w:p w14:paraId="1F75444F">
                  <w:pPr>
                    <w:jc w:val="center"/>
                    <w:rPr>
                      <w:bCs/>
                      <w:szCs w:val="21"/>
                    </w:rPr>
                  </w:pPr>
                  <w:r>
                    <w:rPr>
                      <w:bCs/>
                      <w:szCs w:val="21"/>
                    </w:rPr>
                    <w:t>废气处理装置发生故障</w:t>
                  </w:r>
                </w:p>
              </w:tc>
              <w:tc>
                <w:tcPr>
                  <w:tcW w:w="848" w:type="pct"/>
                  <w:vAlign w:val="center"/>
                </w:tcPr>
                <w:p w14:paraId="37253FDB">
                  <w:pPr>
                    <w:jc w:val="center"/>
                    <w:rPr>
                      <w:bCs/>
                      <w:szCs w:val="21"/>
                    </w:rPr>
                  </w:pPr>
                  <w:r>
                    <w:rPr>
                      <w:rFonts w:hint="eastAsia"/>
                      <w:bCs/>
                      <w:szCs w:val="21"/>
                    </w:rPr>
                    <w:t>氟化物</w:t>
                  </w:r>
                </w:p>
              </w:tc>
              <w:tc>
                <w:tcPr>
                  <w:tcW w:w="677" w:type="pct"/>
                  <w:vAlign w:val="center"/>
                </w:tcPr>
                <w:p w14:paraId="114F2B7A">
                  <w:pPr>
                    <w:widowControl/>
                    <w:jc w:val="center"/>
                    <w:textAlignment w:val="center"/>
                    <w:rPr>
                      <w:spacing w:val="-2"/>
                      <w:kern w:val="28"/>
                      <w:szCs w:val="21"/>
                    </w:rPr>
                  </w:pPr>
                  <w:r>
                    <w:rPr>
                      <w:kern w:val="0"/>
                      <w:szCs w:val="21"/>
                    </w:rPr>
                    <w:t>0.005</w:t>
                  </w:r>
                </w:p>
              </w:tc>
              <w:tc>
                <w:tcPr>
                  <w:tcW w:w="762" w:type="pct"/>
                  <w:vAlign w:val="center"/>
                </w:tcPr>
                <w:p w14:paraId="71DC66BB">
                  <w:pPr>
                    <w:widowControl/>
                    <w:jc w:val="center"/>
                    <w:textAlignment w:val="center"/>
                    <w:rPr>
                      <w:spacing w:val="-2"/>
                      <w:kern w:val="28"/>
                      <w:szCs w:val="21"/>
                    </w:rPr>
                  </w:pPr>
                  <w:r>
                    <w:rPr>
                      <w:kern w:val="0"/>
                      <w:szCs w:val="21"/>
                    </w:rPr>
                    <w:t>0.0001</w:t>
                  </w:r>
                </w:p>
              </w:tc>
              <w:tc>
                <w:tcPr>
                  <w:tcW w:w="575" w:type="pct"/>
                  <w:vAlign w:val="center"/>
                </w:tcPr>
                <w:p w14:paraId="7F61D89D">
                  <w:pPr>
                    <w:jc w:val="center"/>
                    <w:rPr>
                      <w:bCs/>
                      <w:szCs w:val="21"/>
                    </w:rPr>
                  </w:pPr>
                  <w:r>
                    <w:rPr>
                      <w:bCs/>
                      <w:szCs w:val="21"/>
                    </w:rPr>
                    <w:t>30</w:t>
                  </w:r>
                </w:p>
              </w:tc>
              <w:tc>
                <w:tcPr>
                  <w:tcW w:w="551" w:type="pct"/>
                  <w:vAlign w:val="center"/>
                </w:tcPr>
                <w:p w14:paraId="55A73ED3">
                  <w:pPr>
                    <w:jc w:val="center"/>
                    <w:rPr>
                      <w:bCs/>
                      <w:szCs w:val="21"/>
                    </w:rPr>
                  </w:pPr>
                  <w:r>
                    <w:rPr>
                      <w:bCs/>
                      <w:szCs w:val="21"/>
                    </w:rPr>
                    <w:t>1次/a</w:t>
                  </w:r>
                </w:p>
              </w:tc>
            </w:tr>
            <w:tr w14:paraId="3D922C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0B186EAA">
                  <w:pPr>
                    <w:jc w:val="center"/>
                    <w:rPr>
                      <w:bCs/>
                      <w:szCs w:val="21"/>
                    </w:rPr>
                  </w:pPr>
                </w:p>
              </w:tc>
              <w:tc>
                <w:tcPr>
                  <w:tcW w:w="450" w:type="pct"/>
                  <w:vMerge w:val="continue"/>
                  <w:vAlign w:val="center"/>
                </w:tcPr>
                <w:p w14:paraId="02444E30">
                  <w:pPr>
                    <w:jc w:val="center"/>
                    <w:rPr>
                      <w:bCs/>
                      <w:szCs w:val="21"/>
                    </w:rPr>
                  </w:pPr>
                </w:p>
              </w:tc>
              <w:tc>
                <w:tcPr>
                  <w:tcW w:w="731" w:type="pct"/>
                  <w:vMerge w:val="continue"/>
                  <w:vAlign w:val="center"/>
                </w:tcPr>
                <w:p w14:paraId="6EA39861">
                  <w:pPr>
                    <w:jc w:val="center"/>
                    <w:rPr>
                      <w:bCs/>
                      <w:szCs w:val="21"/>
                    </w:rPr>
                  </w:pPr>
                </w:p>
              </w:tc>
              <w:tc>
                <w:tcPr>
                  <w:tcW w:w="848" w:type="pct"/>
                  <w:vAlign w:val="center"/>
                </w:tcPr>
                <w:p w14:paraId="19FEC7F4">
                  <w:pPr>
                    <w:jc w:val="center"/>
                    <w:rPr>
                      <w:bCs/>
                      <w:szCs w:val="21"/>
                    </w:rPr>
                  </w:pPr>
                  <w:r>
                    <w:rPr>
                      <w:bCs/>
                      <w:szCs w:val="21"/>
                    </w:rPr>
                    <w:t>硫化氢</w:t>
                  </w:r>
                </w:p>
              </w:tc>
              <w:tc>
                <w:tcPr>
                  <w:tcW w:w="677" w:type="pct"/>
                  <w:vAlign w:val="center"/>
                </w:tcPr>
                <w:p w14:paraId="1A38FEFA">
                  <w:pPr>
                    <w:widowControl/>
                    <w:jc w:val="center"/>
                    <w:textAlignment w:val="center"/>
                    <w:rPr>
                      <w:spacing w:val="-2"/>
                      <w:kern w:val="28"/>
                      <w:szCs w:val="21"/>
                    </w:rPr>
                  </w:pPr>
                  <w:r>
                    <w:rPr>
                      <w:kern w:val="0"/>
                      <w:szCs w:val="21"/>
                    </w:rPr>
                    <w:t>1</w:t>
                  </w:r>
                </w:p>
              </w:tc>
              <w:tc>
                <w:tcPr>
                  <w:tcW w:w="762" w:type="pct"/>
                  <w:vAlign w:val="center"/>
                </w:tcPr>
                <w:p w14:paraId="7A54B92B">
                  <w:pPr>
                    <w:widowControl/>
                    <w:jc w:val="center"/>
                    <w:textAlignment w:val="center"/>
                    <w:rPr>
                      <w:spacing w:val="-2"/>
                      <w:kern w:val="28"/>
                      <w:szCs w:val="21"/>
                    </w:rPr>
                  </w:pPr>
                  <w:r>
                    <w:rPr>
                      <w:kern w:val="0"/>
                      <w:szCs w:val="21"/>
                    </w:rPr>
                    <w:t>0.020</w:t>
                  </w:r>
                </w:p>
              </w:tc>
              <w:tc>
                <w:tcPr>
                  <w:tcW w:w="575" w:type="pct"/>
                  <w:vAlign w:val="center"/>
                </w:tcPr>
                <w:p w14:paraId="7F4B54C2">
                  <w:pPr>
                    <w:jc w:val="center"/>
                    <w:rPr>
                      <w:bCs/>
                      <w:szCs w:val="21"/>
                    </w:rPr>
                  </w:pPr>
                  <w:r>
                    <w:rPr>
                      <w:bCs/>
                      <w:szCs w:val="21"/>
                    </w:rPr>
                    <w:t>30</w:t>
                  </w:r>
                </w:p>
              </w:tc>
              <w:tc>
                <w:tcPr>
                  <w:tcW w:w="551" w:type="pct"/>
                  <w:vAlign w:val="center"/>
                </w:tcPr>
                <w:p w14:paraId="358776E3">
                  <w:pPr>
                    <w:jc w:val="center"/>
                    <w:rPr>
                      <w:bCs/>
                      <w:szCs w:val="21"/>
                    </w:rPr>
                  </w:pPr>
                  <w:r>
                    <w:rPr>
                      <w:bCs/>
                      <w:szCs w:val="21"/>
                    </w:rPr>
                    <w:t>1次/a</w:t>
                  </w:r>
                </w:p>
              </w:tc>
            </w:tr>
            <w:tr w14:paraId="164D07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4C5E05FD">
                  <w:pPr>
                    <w:jc w:val="center"/>
                    <w:rPr>
                      <w:bCs/>
                      <w:szCs w:val="21"/>
                    </w:rPr>
                  </w:pPr>
                </w:p>
              </w:tc>
              <w:tc>
                <w:tcPr>
                  <w:tcW w:w="450" w:type="pct"/>
                  <w:vMerge w:val="continue"/>
                  <w:vAlign w:val="center"/>
                </w:tcPr>
                <w:p w14:paraId="01B34CEC">
                  <w:pPr>
                    <w:jc w:val="center"/>
                    <w:rPr>
                      <w:bCs/>
                      <w:szCs w:val="21"/>
                    </w:rPr>
                  </w:pPr>
                </w:p>
              </w:tc>
              <w:tc>
                <w:tcPr>
                  <w:tcW w:w="731" w:type="pct"/>
                  <w:vMerge w:val="continue"/>
                  <w:vAlign w:val="center"/>
                </w:tcPr>
                <w:p w14:paraId="4111642D">
                  <w:pPr>
                    <w:jc w:val="center"/>
                    <w:rPr>
                      <w:bCs/>
                      <w:szCs w:val="21"/>
                    </w:rPr>
                  </w:pPr>
                </w:p>
              </w:tc>
              <w:tc>
                <w:tcPr>
                  <w:tcW w:w="848" w:type="pct"/>
                  <w:vAlign w:val="center"/>
                </w:tcPr>
                <w:p w14:paraId="56B487D2">
                  <w:pPr>
                    <w:jc w:val="center"/>
                    <w:rPr>
                      <w:bCs/>
                      <w:szCs w:val="21"/>
                    </w:rPr>
                  </w:pPr>
                  <w:r>
                    <w:rPr>
                      <w:bCs/>
                      <w:szCs w:val="21"/>
                    </w:rPr>
                    <w:t>非甲烷总烃</w:t>
                  </w:r>
                </w:p>
              </w:tc>
              <w:tc>
                <w:tcPr>
                  <w:tcW w:w="677" w:type="pct"/>
                  <w:vAlign w:val="center"/>
                </w:tcPr>
                <w:p w14:paraId="564CE092">
                  <w:pPr>
                    <w:widowControl/>
                    <w:jc w:val="center"/>
                    <w:textAlignment w:val="center"/>
                    <w:rPr>
                      <w:spacing w:val="-2"/>
                      <w:kern w:val="28"/>
                      <w:szCs w:val="21"/>
                    </w:rPr>
                  </w:pPr>
                  <w:r>
                    <w:rPr>
                      <w:kern w:val="0"/>
                      <w:szCs w:val="21"/>
                    </w:rPr>
                    <w:t>3.78</w:t>
                  </w:r>
                </w:p>
              </w:tc>
              <w:tc>
                <w:tcPr>
                  <w:tcW w:w="762" w:type="pct"/>
                  <w:vAlign w:val="center"/>
                </w:tcPr>
                <w:p w14:paraId="640577D1">
                  <w:pPr>
                    <w:widowControl/>
                    <w:jc w:val="center"/>
                    <w:textAlignment w:val="center"/>
                    <w:rPr>
                      <w:spacing w:val="-2"/>
                      <w:kern w:val="28"/>
                      <w:szCs w:val="21"/>
                    </w:rPr>
                  </w:pPr>
                  <w:r>
                    <w:rPr>
                      <w:kern w:val="0"/>
                      <w:szCs w:val="21"/>
                    </w:rPr>
                    <w:t>0.076</w:t>
                  </w:r>
                </w:p>
              </w:tc>
              <w:tc>
                <w:tcPr>
                  <w:tcW w:w="575" w:type="pct"/>
                  <w:vAlign w:val="center"/>
                </w:tcPr>
                <w:p w14:paraId="5F5FE00C">
                  <w:pPr>
                    <w:jc w:val="center"/>
                    <w:rPr>
                      <w:bCs/>
                      <w:szCs w:val="21"/>
                    </w:rPr>
                  </w:pPr>
                  <w:r>
                    <w:rPr>
                      <w:bCs/>
                      <w:szCs w:val="21"/>
                    </w:rPr>
                    <w:t>30</w:t>
                  </w:r>
                </w:p>
              </w:tc>
              <w:tc>
                <w:tcPr>
                  <w:tcW w:w="551" w:type="pct"/>
                  <w:vAlign w:val="center"/>
                </w:tcPr>
                <w:p w14:paraId="77680B24">
                  <w:pPr>
                    <w:jc w:val="center"/>
                    <w:rPr>
                      <w:b/>
                      <w:szCs w:val="21"/>
                    </w:rPr>
                  </w:pPr>
                  <w:r>
                    <w:rPr>
                      <w:bCs/>
                      <w:szCs w:val="21"/>
                    </w:rPr>
                    <w:t>1次/a</w:t>
                  </w:r>
                </w:p>
              </w:tc>
            </w:tr>
            <w:tr w14:paraId="0F09A4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Align w:val="center"/>
                </w:tcPr>
                <w:p w14:paraId="54CF2C9B">
                  <w:pPr>
                    <w:jc w:val="center"/>
                    <w:rPr>
                      <w:bCs/>
                      <w:szCs w:val="21"/>
                    </w:rPr>
                  </w:pPr>
                  <w:r>
                    <w:rPr>
                      <w:rFonts w:hint="eastAsia"/>
                      <w:bCs/>
                      <w:szCs w:val="21"/>
                    </w:rPr>
                    <w:t>5#排气筒</w:t>
                  </w:r>
                </w:p>
              </w:tc>
              <w:tc>
                <w:tcPr>
                  <w:tcW w:w="450" w:type="pct"/>
                  <w:vAlign w:val="center"/>
                </w:tcPr>
                <w:p w14:paraId="4735FE16">
                  <w:pPr>
                    <w:jc w:val="center"/>
                    <w:rPr>
                      <w:bCs/>
                      <w:szCs w:val="21"/>
                    </w:rPr>
                  </w:pPr>
                  <w:r>
                    <w:rPr>
                      <w:rFonts w:hint="eastAsia"/>
                      <w:bCs/>
                      <w:szCs w:val="21"/>
                    </w:rPr>
                    <w:t>13500</w:t>
                  </w:r>
                </w:p>
              </w:tc>
              <w:tc>
                <w:tcPr>
                  <w:tcW w:w="731" w:type="pct"/>
                  <w:vAlign w:val="center"/>
                </w:tcPr>
                <w:p w14:paraId="7A687D7B">
                  <w:pPr>
                    <w:jc w:val="center"/>
                    <w:rPr>
                      <w:bCs/>
                      <w:szCs w:val="21"/>
                    </w:rPr>
                  </w:pPr>
                  <w:r>
                    <w:rPr>
                      <w:bCs/>
                      <w:szCs w:val="21"/>
                    </w:rPr>
                    <w:t>废气处理装置发生故障</w:t>
                  </w:r>
                </w:p>
              </w:tc>
              <w:tc>
                <w:tcPr>
                  <w:tcW w:w="848" w:type="pct"/>
                  <w:vAlign w:val="center"/>
                </w:tcPr>
                <w:p w14:paraId="6FD2835D">
                  <w:pPr>
                    <w:jc w:val="center"/>
                    <w:rPr>
                      <w:bCs/>
                      <w:szCs w:val="21"/>
                    </w:rPr>
                  </w:pPr>
                  <w:r>
                    <w:rPr>
                      <w:rFonts w:hint="eastAsia"/>
                      <w:bCs/>
                      <w:szCs w:val="21"/>
                    </w:rPr>
                    <w:t>粉尘</w:t>
                  </w:r>
                </w:p>
              </w:tc>
              <w:tc>
                <w:tcPr>
                  <w:tcW w:w="677" w:type="pct"/>
                  <w:vAlign w:val="center"/>
                </w:tcPr>
                <w:p w14:paraId="3BD5B8A5">
                  <w:pPr>
                    <w:widowControl/>
                    <w:jc w:val="center"/>
                    <w:textAlignment w:val="center"/>
                    <w:rPr>
                      <w:spacing w:val="-2"/>
                      <w:kern w:val="28"/>
                      <w:szCs w:val="21"/>
                    </w:rPr>
                  </w:pPr>
                  <w:r>
                    <w:rPr>
                      <w:kern w:val="0"/>
                      <w:szCs w:val="21"/>
                    </w:rPr>
                    <w:t>54.07</w:t>
                  </w:r>
                </w:p>
              </w:tc>
              <w:tc>
                <w:tcPr>
                  <w:tcW w:w="762" w:type="pct"/>
                  <w:vAlign w:val="center"/>
                </w:tcPr>
                <w:p w14:paraId="3F7ED575">
                  <w:pPr>
                    <w:widowControl/>
                    <w:jc w:val="center"/>
                    <w:textAlignment w:val="center"/>
                    <w:rPr>
                      <w:spacing w:val="-2"/>
                      <w:kern w:val="28"/>
                      <w:szCs w:val="21"/>
                    </w:rPr>
                  </w:pPr>
                  <w:r>
                    <w:rPr>
                      <w:kern w:val="0"/>
                      <w:szCs w:val="21"/>
                    </w:rPr>
                    <w:t>0.730</w:t>
                  </w:r>
                </w:p>
              </w:tc>
              <w:tc>
                <w:tcPr>
                  <w:tcW w:w="575" w:type="pct"/>
                  <w:vAlign w:val="center"/>
                </w:tcPr>
                <w:p w14:paraId="63B53D5F">
                  <w:pPr>
                    <w:jc w:val="center"/>
                    <w:rPr>
                      <w:bCs/>
                      <w:szCs w:val="21"/>
                    </w:rPr>
                  </w:pPr>
                  <w:r>
                    <w:rPr>
                      <w:bCs/>
                      <w:szCs w:val="21"/>
                    </w:rPr>
                    <w:t>30</w:t>
                  </w:r>
                </w:p>
              </w:tc>
              <w:tc>
                <w:tcPr>
                  <w:tcW w:w="551" w:type="pct"/>
                  <w:vAlign w:val="center"/>
                </w:tcPr>
                <w:p w14:paraId="3630B04A">
                  <w:pPr>
                    <w:jc w:val="center"/>
                    <w:rPr>
                      <w:bCs/>
                      <w:szCs w:val="21"/>
                    </w:rPr>
                  </w:pPr>
                  <w:r>
                    <w:rPr>
                      <w:bCs/>
                      <w:szCs w:val="21"/>
                    </w:rPr>
                    <w:t>1次/a</w:t>
                  </w:r>
                </w:p>
              </w:tc>
            </w:tr>
            <w:tr w14:paraId="13AAE0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06" w:type="pct"/>
                  <w:vAlign w:val="center"/>
                </w:tcPr>
                <w:p w14:paraId="407FB9F7">
                  <w:pPr>
                    <w:jc w:val="center"/>
                    <w:rPr>
                      <w:bCs/>
                      <w:szCs w:val="21"/>
                    </w:rPr>
                  </w:pPr>
                  <w:r>
                    <w:rPr>
                      <w:rFonts w:hint="eastAsia"/>
                      <w:bCs/>
                      <w:szCs w:val="21"/>
                    </w:rPr>
                    <w:t>6</w:t>
                  </w:r>
                  <w:r>
                    <w:rPr>
                      <w:bCs/>
                      <w:szCs w:val="21"/>
                    </w:rPr>
                    <w:t>#排气筒</w:t>
                  </w:r>
                </w:p>
              </w:tc>
              <w:tc>
                <w:tcPr>
                  <w:tcW w:w="450" w:type="pct"/>
                  <w:vAlign w:val="center"/>
                </w:tcPr>
                <w:p w14:paraId="1842DE3D">
                  <w:pPr>
                    <w:jc w:val="center"/>
                    <w:rPr>
                      <w:bCs/>
                      <w:szCs w:val="21"/>
                    </w:rPr>
                  </w:pPr>
                  <w:r>
                    <w:rPr>
                      <w:rFonts w:hint="eastAsia"/>
                      <w:bCs/>
                      <w:szCs w:val="21"/>
                    </w:rPr>
                    <w:t>5</w:t>
                  </w:r>
                  <w:r>
                    <w:rPr>
                      <w:bCs/>
                      <w:szCs w:val="21"/>
                    </w:rPr>
                    <w:t>0000</w:t>
                  </w:r>
                </w:p>
              </w:tc>
              <w:tc>
                <w:tcPr>
                  <w:tcW w:w="731" w:type="pct"/>
                  <w:vAlign w:val="center"/>
                </w:tcPr>
                <w:p w14:paraId="48397EE2">
                  <w:pPr>
                    <w:jc w:val="center"/>
                    <w:rPr>
                      <w:bCs/>
                      <w:szCs w:val="21"/>
                    </w:rPr>
                  </w:pPr>
                  <w:r>
                    <w:rPr>
                      <w:bCs/>
                      <w:szCs w:val="21"/>
                    </w:rPr>
                    <w:t>废气处理装置发生故障</w:t>
                  </w:r>
                </w:p>
              </w:tc>
              <w:tc>
                <w:tcPr>
                  <w:tcW w:w="848" w:type="pct"/>
                  <w:vAlign w:val="center"/>
                </w:tcPr>
                <w:p w14:paraId="27D7199F">
                  <w:pPr>
                    <w:widowControl/>
                    <w:jc w:val="center"/>
                    <w:textAlignment w:val="center"/>
                    <w:rPr>
                      <w:bCs/>
                      <w:szCs w:val="21"/>
                    </w:rPr>
                  </w:pPr>
                  <w:r>
                    <w:rPr>
                      <w:rFonts w:hint="eastAsia" w:ascii="宋体" w:hAnsi="宋体" w:cs="宋体"/>
                      <w:kern w:val="0"/>
                      <w:szCs w:val="21"/>
                    </w:rPr>
                    <w:t>非甲烷总烃</w:t>
                  </w:r>
                </w:p>
              </w:tc>
              <w:tc>
                <w:tcPr>
                  <w:tcW w:w="677" w:type="pct"/>
                  <w:vAlign w:val="center"/>
                </w:tcPr>
                <w:p w14:paraId="4F1948D5">
                  <w:pPr>
                    <w:jc w:val="center"/>
                    <w:rPr>
                      <w:szCs w:val="21"/>
                    </w:rPr>
                  </w:pPr>
                  <w:r>
                    <w:rPr>
                      <w:szCs w:val="21"/>
                    </w:rPr>
                    <w:t>0.01</w:t>
                  </w:r>
                </w:p>
              </w:tc>
              <w:tc>
                <w:tcPr>
                  <w:tcW w:w="762" w:type="pct"/>
                  <w:vAlign w:val="center"/>
                </w:tcPr>
                <w:p w14:paraId="1D59B745">
                  <w:pPr>
                    <w:jc w:val="center"/>
                    <w:rPr>
                      <w:szCs w:val="21"/>
                    </w:rPr>
                  </w:pPr>
                  <w:r>
                    <w:rPr>
                      <w:szCs w:val="21"/>
                    </w:rPr>
                    <w:t>0.0004</w:t>
                  </w:r>
                </w:p>
              </w:tc>
              <w:tc>
                <w:tcPr>
                  <w:tcW w:w="575" w:type="pct"/>
                  <w:vAlign w:val="center"/>
                </w:tcPr>
                <w:p w14:paraId="6ECE07CF">
                  <w:pPr>
                    <w:jc w:val="center"/>
                    <w:rPr>
                      <w:bCs/>
                      <w:szCs w:val="21"/>
                    </w:rPr>
                  </w:pPr>
                  <w:r>
                    <w:rPr>
                      <w:bCs/>
                      <w:szCs w:val="21"/>
                    </w:rPr>
                    <w:t>30</w:t>
                  </w:r>
                </w:p>
              </w:tc>
              <w:tc>
                <w:tcPr>
                  <w:tcW w:w="551" w:type="pct"/>
                  <w:vAlign w:val="center"/>
                </w:tcPr>
                <w:p w14:paraId="0C7924A9">
                  <w:pPr>
                    <w:jc w:val="center"/>
                    <w:rPr>
                      <w:b/>
                      <w:szCs w:val="21"/>
                    </w:rPr>
                  </w:pPr>
                  <w:r>
                    <w:rPr>
                      <w:bCs/>
                      <w:szCs w:val="21"/>
                    </w:rPr>
                    <w:t>1次/a</w:t>
                  </w:r>
                </w:p>
              </w:tc>
            </w:tr>
          </w:tbl>
          <w:p w14:paraId="288B9939">
            <w:pPr>
              <w:pStyle w:val="60"/>
              <w:snapToGrid w:val="0"/>
              <w:spacing w:beforeLines="50" w:line="360" w:lineRule="auto"/>
              <w:ind w:firstLine="420" w:firstLineChars="200"/>
              <w:jc w:val="both"/>
              <w:rPr>
                <w:rFonts w:ascii="Times New Roman"/>
                <w:szCs w:val="21"/>
              </w:rPr>
            </w:pPr>
            <w:r>
              <w:rPr>
                <w:rFonts w:ascii="Times New Roman"/>
                <w:szCs w:val="21"/>
              </w:rPr>
              <w:t>由上表可知，非正常排放工况下污染物排放浓度及排放速率明显增加，</w:t>
            </w:r>
            <w:r>
              <w:rPr>
                <w:rFonts w:hint="eastAsia" w:ascii="Times New Roman"/>
                <w:szCs w:val="21"/>
              </w:rPr>
              <w:t>粉尘</w:t>
            </w:r>
            <w:r>
              <w:rPr>
                <w:rFonts w:ascii="Times New Roman"/>
                <w:szCs w:val="21"/>
              </w:rPr>
              <w:t>排放浓度远超排放标准，因此建设单位应加强对废气处理装置的管理，一旦发现异常，应立即查明事故工段，派专业维修人员迅速进行维修，保障设备正常运行，以减少非正常工况下废气对大气环境的影响。</w:t>
            </w:r>
          </w:p>
          <w:p w14:paraId="32CB1984">
            <w:pPr>
              <w:pStyle w:val="60"/>
              <w:snapToGrid w:val="0"/>
              <w:spacing w:line="360" w:lineRule="auto"/>
              <w:ind w:firstLine="420" w:firstLineChars="200"/>
              <w:jc w:val="both"/>
              <w:rPr>
                <w:rFonts w:ascii="Times New Roman"/>
                <w:szCs w:val="21"/>
              </w:rPr>
            </w:pPr>
            <w:r>
              <w:rPr>
                <w:rFonts w:ascii="Times New Roman"/>
                <w:szCs w:val="21"/>
              </w:rPr>
              <w:t>针对非正常工况，为保证污染防治设施的正常运行，建设单位在日常运行过程中，应采取以下措施：</w:t>
            </w:r>
          </w:p>
          <w:p w14:paraId="3607EF4B">
            <w:pPr>
              <w:pStyle w:val="60"/>
              <w:snapToGrid w:val="0"/>
              <w:spacing w:line="360" w:lineRule="auto"/>
              <w:ind w:firstLine="420" w:firstLineChars="200"/>
              <w:jc w:val="both"/>
              <w:rPr>
                <w:rFonts w:ascii="Times New Roman"/>
                <w:szCs w:val="21"/>
              </w:rPr>
            </w:pPr>
            <w:r>
              <w:rPr>
                <w:rFonts w:ascii="Times New Roman"/>
                <w:szCs w:val="21"/>
              </w:rPr>
              <w:t>1）由公司委派专人负责每日巡检废气处理装置，做好巡检记录。并加强对操作人员的岗位培训，使其熟练掌握废气处理装置的操作规程和技术，发现问题及时检修，确保废气处理效率达设计要求，避免对周围环境造成污染。</w:t>
            </w:r>
          </w:p>
          <w:p w14:paraId="364247EA">
            <w:pPr>
              <w:pStyle w:val="60"/>
              <w:snapToGrid w:val="0"/>
              <w:spacing w:line="360" w:lineRule="auto"/>
              <w:ind w:firstLine="420" w:firstLineChars="200"/>
              <w:jc w:val="both"/>
              <w:rPr>
                <w:rFonts w:ascii="Times New Roman"/>
                <w:szCs w:val="21"/>
              </w:rPr>
            </w:pPr>
            <w:r>
              <w:rPr>
                <w:rFonts w:ascii="Times New Roman"/>
                <w:szCs w:val="21"/>
              </w:rPr>
              <w:t>2）当发现废气处理设施故障并导致废气非正常排放时，应立即停止相关产废工段生产，待废气处理装置故障排除并可正常运行时方可恢复生产。</w:t>
            </w:r>
          </w:p>
          <w:p w14:paraId="1E01C5A5">
            <w:pPr>
              <w:pStyle w:val="60"/>
              <w:snapToGrid w:val="0"/>
              <w:spacing w:line="360" w:lineRule="auto"/>
              <w:ind w:firstLine="420" w:firstLineChars="200"/>
              <w:jc w:val="both"/>
              <w:rPr>
                <w:rFonts w:ascii="Times New Roman"/>
                <w:szCs w:val="21"/>
              </w:rPr>
            </w:pPr>
            <w:r>
              <w:rPr>
                <w:rFonts w:ascii="Times New Roman"/>
                <w:szCs w:val="21"/>
              </w:rPr>
              <w:t>3）定期对</w:t>
            </w:r>
            <w:r>
              <w:rPr>
                <w:rFonts w:hint="eastAsia" w:ascii="Times New Roman"/>
                <w:szCs w:val="21"/>
              </w:rPr>
              <w:t>滤芯脉冲反吹除尘装置、布袋除尘装置清灰及更换维护；</w:t>
            </w:r>
            <w:r>
              <w:rPr>
                <w:rFonts w:ascii="Times New Roman"/>
                <w:szCs w:val="21"/>
              </w:rPr>
              <w:t>二级活性炭处理装置进行更换及维护保养；定期检查喷淋塔排气口的气体净化程度，当超过标准时底池吸收液及时更换。通过定期巡检保证废气处理装置的正常运行，以减少废气的非正常排放。</w:t>
            </w:r>
          </w:p>
          <w:p w14:paraId="27C785CA">
            <w:pPr>
              <w:pStyle w:val="60"/>
              <w:spacing w:line="360" w:lineRule="auto"/>
              <w:ind w:firstLine="420" w:firstLineChars="200"/>
              <w:jc w:val="both"/>
              <w:rPr>
                <w:rFonts w:ascii="Times New Roman"/>
                <w:szCs w:val="21"/>
              </w:rPr>
            </w:pPr>
            <w:r>
              <w:rPr>
                <w:rFonts w:ascii="Times New Roman"/>
                <w:szCs w:val="21"/>
              </w:rPr>
              <w:t>4）建立废气处理装置运行管理台账，由专人负责记录。加强企业的运行管理，通过规章制度约束工作人员按操作规程工作。</w:t>
            </w:r>
          </w:p>
          <w:p w14:paraId="06B72C23">
            <w:pPr>
              <w:pStyle w:val="5"/>
              <w:spacing w:line="360" w:lineRule="auto"/>
              <w:ind w:firstLine="422"/>
              <w:rPr>
                <w:b/>
                <w:bCs/>
                <w:szCs w:val="21"/>
              </w:rPr>
            </w:pPr>
            <w:r>
              <w:rPr>
                <w:b/>
                <w:bCs/>
                <w:szCs w:val="21"/>
              </w:rPr>
              <w:t>（3）废气排放源基本情况</w:t>
            </w:r>
          </w:p>
          <w:p w14:paraId="5F55690A">
            <w:pPr>
              <w:pStyle w:val="5"/>
              <w:ind w:firstLine="0" w:firstLineChars="0"/>
              <w:jc w:val="center"/>
              <w:rPr>
                <w:b/>
                <w:bCs/>
                <w:szCs w:val="21"/>
              </w:rPr>
            </w:pPr>
            <w:r>
              <w:rPr>
                <w:b/>
                <w:bCs/>
                <w:szCs w:val="21"/>
              </w:rPr>
              <w:t>表4-4  项目主要点源源强排放参数</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15"/>
              <w:gridCol w:w="627"/>
              <w:gridCol w:w="524"/>
              <w:gridCol w:w="480"/>
              <w:gridCol w:w="464"/>
              <w:gridCol w:w="614"/>
              <w:gridCol w:w="540"/>
              <w:gridCol w:w="614"/>
              <w:gridCol w:w="621"/>
              <w:gridCol w:w="450"/>
              <w:gridCol w:w="695"/>
              <w:gridCol w:w="851"/>
              <w:gridCol w:w="1134"/>
              <w:gridCol w:w="1001"/>
            </w:tblGrid>
            <w:tr w14:paraId="562F89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Merge w:val="restart"/>
                  <w:vAlign w:val="center"/>
                </w:tcPr>
                <w:p w14:paraId="5F6FF119">
                  <w:pPr>
                    <w:pStyle w:val="62"/>
                    <w:adjustRightInd w:val="0"/>
                    <w:snapToGrid w:val="0"/>
                    <w:rPr>
                      <w:rFonts w:eastAsia="宋体"/>
                    </w:rPr>
                  </w:pPr>
                  <w:r>
                    <w:rPr>
                      <w:rFonts w:eastAsia="宋体"/>
                    </w:rPr>
                    <w:t>编号</w:t>
                  </w:r>
                </w:p>
              </w:tc>
              <w:tc>
                <w:tcPr>
                  <w:tcW w:w="347" w:type="pct"/>
                  <w:vMerge w:val="restart"/>
                  <w:vAlign w:val="center"/>
                </w:tcPr>
                <w:p w14:paraId="23B2DB24">
                  <w:pPr>
                    <w:pStyle w:val="62"/>
                    <w:adjustRightInd w:val="0"/>
                    <w:snapToGrid w:val="0"/>
                    <w:rPr>
                      <w:rFonts w:eastAsia="宋体"/>
                    </w:rPr>
                  </w:pPr>
                  <w:r>
                    <w:rPr>
                      <w:rFonts w:eastAsia="宋体"/>
                    </w:rPr>
                    <w:t>名称</w:t>
                  </w:r>
                </w:p>
              </w:tc>
              <w:tc>
                <w:tcPr>
                  <w:tcW w:w="556" w:type="pct"/>
                  <w:gridSpan w:val="2"/>
                  <w:vAlign w:val="center"/>
                </w:tcPr>
                <w:p w14:paraId="4A0E794A">
                  <w:pPr>
                    <w:pStyle w:val="62"/>
                    <w:adjustRightInd w:val="0"/>
                    <w:snapToGrid w:val="0"/>
                    <w:rPr>
                      <w:rFonts w:eastAsia="宋体"/>
                    </w:rPr>
                  </w:pPr>
                  <w:r>
                    <w:rPr>
                      <w:rFonts w:eastAsia="宋体"/>
                    </w:rPr>
                    <w:t>排气筒底部中心坐标/m</w:t>
                  </w:r>
                </w:p>
              </w:tc>
              <w:tc>
                <w:tcPr>
                  <w:tcW w:w="257" w:type="pct"/>
                  <w:vMerge w:val="restart"/>
                  <w:vAlign w:val="center"/>
                </w:tcPr>
                <w:p w14:paraId="3768343E">
                  <w:pPr>
                    <w:pStyle w:val="62"/>
                    <w:adjustRightInd w:val="0"/>
                    <w:snapToGrid w:val="0"/>
                    <w:rPr>
                      <w:rFonts w:eastAsia="宋体"/>
                    </w:rPr>
                  </w:pPr>
                  <w:r>
                    <w:rPr>
                      <w:rFonts w:eastAsia="宋体"/>
                    </w:rPr>
                    <w:t>排气筒高度/m</w:t>
                  </w:r>
                </w:p>
              </w:tc>
              <w:tc>
                <w:tcPr>
                  <w:tcW w:w="340" w:type="pct"/>
                  <w:vMerge w:val="restart"/>
                  <w:vAlign w:val="center"/>
                </w:tcPr>
                <w:p w14:paraId="2309A749">
                  <w:pPr>
                    <w:pStyle w:val="62"/>
                    <w:adjustRightInd w:val="0"/>
                    <w:snapToGrid w:val="0"/>
                    <w:rPr>
                      <w:rFonts w:eastAsia="宋体"/>
                    </w:rPr>
                  </w:pPr>
                  <w:r>
                    <w:rPr>
                      <w:rFonts w:eastAsia="宋体"/>
                    </w:rPr>
                    <w:t>排气筒出口内径/m</w:t>
                  </w:r>
                </w:p>
              </w:tc>
              <w:tc>
                <w:tcPr>
                  <w:tcW w:w="299" w:type="pct"/>
                  <w:vMerge w:val="restart"/>
                  <w:vAlign w:val="center"/>
                </w:tcPr>
                <w:p w14:paraId="3D0C9A6E">
                  <w:pPr>
                    <w:pStyle w:val="62"/>
                    <w:adjustRightInd w:val="0"/>
                    <w:snapToGrid w:val="0"/>
                    <w:rPr>
                      <w:rFonts w:eastAsia="宋体"/>
                    </w:rPr>
                  </w:pPr>
                  <w:r>
                    <w:rPr>
                      <w:rFonts w:eastAsia="宋体"/>
                    </w:rPr>
                    <w:t>烟气流速/（m/s）</w:t>
                  </w:r>
                </w:p>
              </w:tc>
              <w:tc>
                <w:tcPr>
                  <w:tcW w:w="340" w:type="pct"/>
                  <w:vMerge w:val="restart"/>
                  <w:vAlign w:val="center"/>
                </w:tcPr>
                <w:p w14:paraId="000320EE">
                  <w:pPr>
                    <w:pStyle w:val="62"/>
                    <w:adjustRightInd w:val="0"/>
                    <w:snapToGrid w:val="0"/>
                    <w:rPr>
                      <w:rFonts w:eastAsia="宋体"/>
                    </w:rPr>
                  </w:pPr>
                  <w:r>
                    <w:rPr>
                      <w:rFonts w:eastAsia="宋体"/>
                    </w:rPr>
                    <w:t>烟气温度/℃</w:t>
                  </w:r>
                </w:p>
              </w:tc>
              <w:tc>
                <w:tcPr>
                  <w:tcW w:w="344" w:type="pct"/>
                  <w:vMerge w:val="restart"/>
                  <w:vAlign w:val="center"/>
                </w:tcPr>
                <w:p w14:paraId="5D74A207">
                  <w:pPr>
                    <w:pStyle w:val="62"/>
                    <w:adjustRightInd w:val="0"/>
                    <w:snapToGrid w:val="0"/>
                    <w:rPr>
                      <w:rFonts w:eastAsia="宋体"/>
                    </w:rPr>
                  </w:pPr>
                  <w:r>
                    <w:rPr>
                      <w:rFonts w:eastAsia="宋体"/>
                    </w:rPr>
                    <w:t>年排放小时数/h</w:t>
                  </w:r>
                </w:p>
              </w:tc>
              <w:tc>
                <w:tcPr>
                  <w:tcW w:w="249" w:type="pct"/>
                  <w:vMerge w:val="restart"/>
                  <w:vAlign w:val="center"/>
                </w:tcPr>
                <w:p w14:paraId="40319897">
                  <w:pPr>
                    <w:pStyle w:val="62"/>
                    <w:adjustRightInd w:val="0"/>
                    <w:snapToGrid w:val="0"/>
                    <w:rPr>
                      <w:rFonts w:eastAsia="宋体"/>
                    </w:rPr>
                  </w:pPr>
                  <w:r>
                    <w:rPr>
                      <w:rFonts w:eastAsia="宋体"/>
                    </w:rPr>
                    <w:t>排放工况</w:t>
                  </w:r>
                </w:p>
              </w:tc>
              <w:tc>
                <w:tcPr>
                  <w:tcW w:w="2038" w:type="pct"/>
                  <w:gridSpan w:val="4"/>
                  <w:vAlign w:val="center"/>
                </w:tcPr>
                <w:p w14:paraId="348659D9">
                  <w:pPr>
                    <w:pStyle w:val="62"/>
                    <w:adjustRightInd w:val="0"/>
                    <w:snapToGrid w:val="0"/>
                    <w:rPr>
                      <w:rFonts w:eastAsia="宋体"/>
                    </w:rPr>
                  </w:pPr>
                  <w:r>
                    <w:rPr>
                      <w:rFonts w:eastAsia="宋体"/>
                    </w:rPr>
                    <w:t>污染物排放速率/（kg/h）</w:t>
                  </w:r>
                </w:p>
              </w:tc>
            </w:tr>
            <w:tr w14:paraId="05F54E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Merge w:val="continue"/>
                  <w:vAlign w:val="center"/>
                </w:tcPr>
                <w:p w14:paraId="43589DBE">
                  <w:pPr>
                    <w:pStyle w:val="62"/>
                    <w:adjustRightInd w:val="0"/>
                    <w:snapToGrid w:val="0"/>
                    <w:rPr>
                      <w:rFonts w:eastAsia="宋体"/>
                    </w:rPr>
                  </w:pPr>
                </w:p>
              </w:tc>
              <w:tc>
                <w:tcPr>
                  <w:tcW w:w="347" w:type="pct"/>
                  <w:vMerge w:val="continue"/>
                  <w:vAlign w:val="center"/>
                </w:tcPr>
                <w:p w14:paraId="7C168B9E">
                  <w:pPr>
                    <w:pStyle w:val="62"/>
                    <w:adjustRightInd w:val="0"/>
                    <w:snapToGrid w:val="0"/>
                    <w:rPr>
                      <w:rFonts w:eastAsia="宋体"/>
                    </w:rPr>
                  </w:pPr>
                </w:p>
              </w:tc>
              <w:tc>
                <w:tcPr>
                  <w:tcW w:w="290" w:type="pct"/>
                  <w:vAlign w:val="center"/>
                </w:tcPr>
                <w:p w14:paraId="7FF09C93">
                  <w:pPr>
                    <w:pStyle w:val="62"/>
                    <w:adjustRightInd w:val="0"/>
                    <w:snapToGrid w:val="0"/>
                    <w:rPr>
                      <w:rFonts w:eastAsia="宋体"/>
                    </w:rPr>
                  </w:pPr>
                  <w:r>
                    <w:rPr>
                      <w:rFonts w:eastAsia="宋体"/>
                    </w:rPr>
                    <w:t>X</w:t>
                  </w:r>
                </w:p>
              </w:tc>
              <w:tc>
                <w:tcPr>
                  <w:tcW w:w="266" w:type="pct"/>
                  <w:vAlign w:val="center"/>
                </w:tcPr>
                <w:p w14:paraId="2BA6FBE4">
                  <w:pPr>
                    <w:pStyle w:val="62"/>
                    <w:adjustRightInd w:val="0"/>
                    <w:snapToGrid w:val="0"/>
                    <w:rPr>
                      <w:rFonts w:eastAsia="宋体"/>
                    </w:rPr>
                  </w:pPr>
                  <w:r>
                    <w:rPr>
                      <w:rFonts w:eastAsia="宋体"/>
                    </w:rPr>
                    <w:t>Y</w:t>
                  </w:r>
                </w:p>
              </w:tc>
              <w:tc>
                <w:tcPr>
                  <w:tcW w:w="257" w:type="pct"/>
                  <w:vMerge w:val="continue"/>
                  <w:vAlign w:val="center"/>
                </w:tcPr>
                <w:p w14:paraId="5C98B611">
                  <w:pPr>
                    <w:pStyle w:val="62"/>
                    <w:adjustRightInd w:val="0"/>
                    <w:snapToGrid w:val="0"/>
                    <w:rPr>
                      <w:rFonts w:eastAsia="宋体"/>
                    </w:rPr>
                  </w:pPr>
                </w:p>
              </w:tc>
              <w:tc>
                <w:tcPr>
                  <w:tcW w:w="340" w:type="pct"/>
                  <w:vMerge w:val="continue"/>
                  <w:vAlign w:val="center"/>
                </w:tcPr>
                <w:p w14:paraId="442104D8">
                  <w:pPr>
                    <w:pStyle w:val="62"/>
                    <w:adjustRightInd w:val="0"/>
                    <w:snapToGrid w:val="0"/>
                    <w:rPr>
                      <w:rFonts w:eastAsia="宋体"/>
                    </w:rPr>
                  </w:pPr>
                </w:p>
              </w:tc>
              <w:tc>
                <w:tcPr>
                  <w:tcW w:w="299" w:type="pct"/>
                  <w:vMerge w:val="continue"/>
                  <w:vAlign w:val="center"/>
                </w:tcPr>
                <w:p w14:paraId="0517FC29">
                  <w:pPr>
                    <w:pStyle w:val="62"/>
                    <w:adjustRightInd w:val="0"/>
                    <w:snapToGrid w:val="0"/>
                    <w:rPr>
                      <w:rFonts w:eastAsia="宋体"/>
                    </w:rPr>
                  </w:pPr>
                </w:p>
              </w:tc>
              <w:tc>
                <w:tcPr>
                  <w:tcW w:w="340" w:type="pct"/>
                  <w:vMerge w:val="continue"/>
                  <w:vAlign w:val="center"/>
                </w:tcPr>
                <w:p w14:paraId="7EDE0318">
                  <w:pPr>
                    <w:pStyle w:val="62"/>
                    <w:adjustRightInd w:val="0"/>
                    <w:snapToGrid w:val="0"/>
                    <w:rPr>
                      <w:rFonts w:eastAsia="宋体"/>
                    </w:rPr>
                  </w:pPr>
                </w:p>
              </w:tc>
              <w:tc>
                <w:tcPr>
                  <w:tcW w:w="344" w:type="pct"/>
                  <w:vMerge w:val="continue"/>
                  <w:vAlign w:val="center"/>
                </w:tcPr>
                <w:p w14:paraId="47FCA1BB">
                  <w:pPr>
                    <w:pStyle w:val="62"/>
                    <w:adjustRightInd w:val="0"/>
                    <w:snapToGrid w:val="0"/>
                    <w:rPr>
                      <w:rFonts w:eastAsia="宋体"/>
                    </w:rPr>
                  </w:pPr>
                </w:p>
              </w:tc>
              <w:tc>
                <w:tcPr>
                  <w:tcW w:w="249" w:type="pct"/>
                  <w:vMerge w:val="continue"/>
                  <w:vAlign w:val="center"/>
                </w:tcPr>
                <w:p w14:paraId="2A18732C">
                  <w:pPr>
                    <w:pStyle w:val="62"/>
                    <w:adjustRightInd w:val="0"/>
                    <w:snapToGrid w:val="0"/>
                    <w:rPr>
                      <w:rFonts w:eastAsia="宋体"/>
                    </w:rPr>
                  </w:pPr>
                </w:p>
              </w:tc>
              <w:tc>
                <w:tcPr>
                  <w:tcW w:w="385" w:type="pct"/>
                  <w:vAlign w:val="center"/>
                </w:tcPr>
                <w:p w14:paraId="23A6685D">
                  <w:pPr>
                    <w:pStyle w:val="62"/>
                    <w:adjustRightInd w:val="0"/>
                    <w:snapToGrid w:val="0"/>
                    <w:rPr>
                      <w:rFonts w:eastAsia="宋体"/>
                    </w:rPr>
                  </w:pPr>
                  <w:r>
                    <w:rPr>
                      <w:rFonts w:hint="eastAsia" w:eastAsia="宋体"/>
                    </w:rPr>
                    <w:t>粉尘</w:t>
                  </w:r>
                </w:p>
              </w:tc>
              <w:tc>
                <w:tcPr>
                  <w:tcW w:w="471" w:type="pct"/>
                  <w:vAlign w:val="center"/>
                </w:tcPr>
                <w:p w14:paraId="44FC9162">
                  <w:pPr>
                    <w:pStyle w:val="62"/>
                    <w:adjustRightInd w:val="0"/>
                    <w:snapToGrid w:val="0"/>
                    <w:rPr>
                      <w:rFonts w:eastAsia="宋体"/>
                    </w:rPr>
                  </w:pPr>
                  <w:r>
                    <w:rPr>
                      <w:rFonts w:eastAsia="宋体"/>
                    </w:rPr>
                    <w:t>硫化氢</w:t>
                  </w:r>
                </w:p>
              </w:tc>
              <w:tc>
                <w:tcPr>
                  <w:tcW w:w="628" w:type="pct"/>
                  <w:vAlign w:val="center"/>
                </w:tcPr>
                <w:p w14:paraId="02FB2825">
                  <w:pPr>
                    <w:pStyle w:val="62"/>
                    <w:adjustRightInd w:val="0"/>
                    <w:snapToGrid w:val="0"/>
                    <w:rPr>
                      <w:rFonts w:eastAsia="宋体"/>
                    </w:rPr>
                  </w:pPr>
                  <w:r>
                    <w:rPr>
                      <w:rFonts w:hint="eastAsia" w:eastAsia="宋体"/>
                    </w:rPr>
                    <w:t>非甲烷总烃</w:t>
                  </w:r>
                </w:p>
              </w:tc>
              <w:tc>
                <w:tcPr>
                  <w:tcW w:w="553" w:type="pct"/>
                  <w:vAlign w:val="center"/>
                </w:tcPr>
                <w:p w14:paraId="0045A7B4">
                  <w:pPr>
                    <w:pStyle w:val="62"/>
                    <w:adjustRightInd w:val="0"/>
                    <w:snapToGrid w:val="0"/>
                    <w:rPr>
                      <w:rFonts w:eastAsia="宋体"/>
                    </w:rPr>
                  </w:pPr>
                  <w:r>
                    <w:rPr>
                      <w:rFonts w:hint="eastAsia" w:eastAsia="宋体"/>
                    </w:rPr>
                    <w:t>氟化物</w:t>
                  </w:r>
                </w:p>
              </w:tc>
            </w:tr>
            <w:tr w14:paraId="59DCE2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1EAAFC6B">
                  <w:pPr>
                    <w:adjustRightInd w:val="0"/>
                    <w:snapToGrid w:val="0"/>
                    <w:jc w:val="center"/>
                    <w:rPr>
                      <w:szCs w:val="21"/>
                    </w:rPr>
                  </w:pPr>
                  <w:r>
                    <w:rPr>
                      <w:szCs w:val="21"/>
                    </w:rPr>
                    <w:t>1</w:t>
                  </w:r>
                </w:p>
              </w:tc>
              <w:tc>
                <w:tcPr>
                  <w:tcW w:w="347" w:type="pct"/>
                  <w:vAlign w:val="center"/>
                </w:tcPr>
                <w:p w14:paraId="50E3ACF1">
                  <w:pPr>
                    <w:pStyle w:val="62"/>
                    <w:adjustRightInd w:val="0"/>
                    <w:snapToGrid w:val="0"/>
                    <w:rPr>
                      <w:rFonts w:eastAsia="宋体"/>
                    </w:rPr>
                  </w:pPr>
                  <w:r>
                    <w:rPr>
                      <w:rFonts w:hint="eastAsia" w:eastAsia="宋体"/>
                      <w:b w:val="0"/>
                      <w:bCs/>
                    </w:rPr>
                    <w:t>8</w:t>
                  </w:r>
                  <w:r>
                    <w:rPr>
                      <w:rFonts w:eastAsia="宋体"/>
                      <w:b w:val="0"/>
                      <w:bCs/>
                    </w:rPr>
                    <w:t>#排气筒</w:t>
                  </w:r>
                </w:p>
              </w:tc>
              <w:tc>
                <w:tcPr>
                  <w:tcW w:w="290" w:type="pct"/>
                  <w:vAlign w:val="center"/>
                </w:tcPr>
                <w:p w14:paraId="05F0FB61">
                  <w:pPr>
                    <w:pStyle w:val="62"/>
                    <w:adjustRightInd w:val="0"/>
                    <w:snapToGrid w:val="0"/>
                    <w:rPr>
                      <w:rFonts w:eastAsia="宋体"/>
                      <w:b w:val="0"/>
                      <w:bCs/>
                    </w:rPr>
                  </w:pPr>
                  <w:r>
                    <w:rPr>
                      <w:rFonts w:hint="eastAsia" w:eastAsia="宋体"/>
                      <w:b w:val="0"/>
                      <w:bCs/>
                    </w:rPr>
                    <w:t>69</w:t>
                  </w:r>
                </w:p>
              </w:tc>
              <w:tc>
                <w:tcPr>
                  <w:tcW w:w="266" w:type="pct"/>
                  <w:vAlign w:val="center"/>
                </w:tcPr>
                <w:p w14:paraId="582D5318">
                  <w:pPr>
                    <w:pStyle w:val="62"/>
                    <w:adjustRightInd w:val="0"/>
                    <w:snapToGrid w:val="0"/>
                    <w:rPr>
                      <w:rFonts w:eastAsia="宋体"/>
                      <w:b w:val="0"/>
                      <w:bCs/>
                    </w:rPr>
                  </w:pPr>
                  <w:r>
                    <w:rPr>
                      <w:rFonts w:hint="eastAsia" w:eastAsia="宋体"/>
                      <w:b w:val="0"/>
                      <w:bCs/>
                    </w:rPr>
                    <w:t>170</w:t>
                  </w:r>
                </w:p>
              </w:tc>
              <w:tc>
                <w:tcPr>
                  <w:tcW w:w="257" w:type="pct"/>
                  <w:vAlign w:val="center"/>
                </w:tcPr>
                <w:p w14:paraId="65EDDA31">
                  <w:pPr>
                    <w:pStyle w:val="62"/>
                    <w:adjustRightInd w:val="0"/>
                    <w:snapToGrid w:val="0"/>
                    <w:rPr>
                      <w:rFonts w:eastAsia="宋体"/>
                    </w:rPr>
                  </w:pPr>
                  <w:r>
                    <w:rPr>
                      <w:rFonts w:eastAsia="宋体"/>
                      <w:b w:val="0"/>
                      <w:bCs/>
                    </w:rPr>
                    <w:t>15</w:t>
                  </w:r>
                </w:p>
              </w:tc>
              <w:tc>
                <w:tcPr>
                  <w:tcW w:w="340" w:type="pct"/>
                  <w:vAlign w:val="center"/>
                </w:tcPr>
                <w:p w14:paraId="0B84E0A4">
                  <w:pPr>
                    <w:pStyle w:val="62"/>
                    <w:adjustRightInd w:val="0"/>
                    <w:snapToGrid w:val="0"/>
                    <w:rPr>
                      <w:rFonts w:eastAsia="宋体"/>
                      <w:b w:val="0"/>
                      <w:bCs/>
                    </w:rPr>
                  </w:pPr>
                  <w:r>
                    <w:rPr>
                      <w:rFonts w:hint="eastAsia" w:eastAsia="宋体"/>
                      <w:b w:val="0"/>
                      <w:bCs/>
                    </w:rPr>
                    <w:t>0.6</w:t>
                  </w:r>
                </w:p>
              </w:tc>
              <w:tc>
                <w:tcPr>
                  <w:tcW w:w="299" w:type="pct"/>
                  <w:vAlign w:val="center"/>
                </w:tcPr>
                <w:p w14:paraId="57E5CE08">
                  <w:pPr>
                    <w:pStyle w:val="47"/>
                    <w:adjustRightInd w:val="0"/>
                    <w:snapToGrid w:val="0"/>
                    <w:rPr>
                      <w:rFonts w:eastAsia="宋体"/>
                    </w:rPr>
                  </w:pPr>
                  <w:r>
                    <w:rPr>
                      <w:rFonts w:hint="eastAsia" w:eastAsia="宋体"/>
                    </w:rPr>
                    <w:t>19.66</w:t>
                  </w:r>
                </w:p>
              </w:tc>
              <w:tc>
                <w:tcPr>
                  <w:tcW w:w="340" w:type="pct"/>
                  <w:vAlign w:val="center"/>
                </w:tcPr>
                <w:p w14:paraId="29C11BEB">
                  <w:pPr>
                    <w:pStyle w:val="62"/>
                    <w:adjustRightInd w:val="0"/>
                    <w:snapToGrid w:val="0"/>
                    <w:rPr>
                      <w:rFonts w:eastAsia="宋体"/>
                      <w:b w:val="0"/>
                      <w:bCs/>
                    </w:rPr>
                  </w:pPr>
                  <w:r>
                    <w:rPr>
                      <w:rFonts w:hint="eastAsia" w:eastAsia="宋体"/>
                      <w:b w:val="0"/>
                      <w:bCs/>
                    </w:rPr>
                    <w:t>3</w:t>
                  </w:r>
                  <w:r>
                    <w:rPr>
                      <w:rFonts w:eastAsia="宋体"/>
                      <w:b w:val="0"/>
                      <w:bCs/>
                    </w:rPr>
                    <w:t>5</w:t>
                  </w:r>
                </w:p>
              </w:tc>
              <w:tc>
                <w:tcPr>
                  <w:tcW w:w="344" w:type="pct"/>
                  <w:vAlign w:val="center"/>
                </w:tcPr>
                <w:p w14:paraId="47C67B06">
                  <w:pPr>
                    <w:pStyle w:val="62"/>
                    <w:adjustRightInd w:val="0"/>
                    <w:snapToGrid w:val="0"/>
                    <w:rPr>
                      <w:rFonts w:eastAsia="宋体"/>
                      <w:b w:val="0"/>
                      <w:bCs/>
                    </w:rPr>
                  </w:pPr>
                  <w:r>
                    <w:rPr>
                      <w:rFonts w:hint="eastAsia" w:eastAsia="宋体"/>
                      <w:b w:val="0"/>
                      <w:bCs/>
                    </w:rPr>
                    <w:t>20000</w:t>
                  </w:r>
                </w:p>
              </w:tc>
              <w:tc>
                <w:tcPr>
                  <w:tcW w:w="249" w:type="pct"/>
                  <w:vAlign w:val="center"/>
                </w:tcPr>
                <w:p w14:paraId="13065A24">
                  <w:pPr>
                    <w:adjustRightInd w:val="0"/>
                    <w:snapToGrid w:val="0"/>
                    <w:jc w:val="center"/>
                    <w:rPr>
                      <w:bCs/>
                    </w:rPr>
                  </w:pPr>
                  <w:r>
                    <w:rPr>
                      <w:rFonts w:hint="eastAsia"/>
                      <w:kern w:val="18"/>
                      <w:szCs w:val="21"/>
                    </w:rPr>
                    <w:t>间歇</w:t>
                  </w:r>
                </w:p>
              </w:tc>
              <w:tc>
                <w:tcPr>
                  <w:tcW w:w="385" w:type="pct"/>
                  <w:vAlign w:val="center"/>
                </w:tcPr>
                <w:p w14:paraId="6F2390EA">
                  <w:pPr>
                    <w:pStyle w:val="47"/>
                    <w:adjustRightInd w:val="0"/>
                    <w:snapToGrid w:val="0"/>
                    <w:rPr>
                      <w:rFonts w:eastAsia="宋体"/>
                      <w:bCs/>
                    </w:rPr>
                  </w:pPr>
                  <w:r>
                    <w:rPr>
                      <w:rFonts w:hint="eastAsia" w:eastAsia="宋体"/>
                      <w:bCs/>
                    </w:rPr>
                    <w:t>0.002</w:t>
                  </w:r>
                </w:p>
              </w:tc>
              <w:tc>
                <w:tcPr>
                  <w:tcW w:w="471" w:type="pct"/>
                  <w:vAlign w:val="center"/>
                </w:tcPr>
                <w:p w14:paraId="0287D1A5">
                  <w:pPr>
                    <w:pStyle w:val="47"/>
                    <w:adjustRightInd w:val="0"/>
                    <w:snapToGrid w:val="0"/>
                    <w:rPr>
                      <w:rFonts w:eastAsia="宋体"/>
                      <w:bCs/>
                    </w:rPr>
                  </w:pPr>
                  <w:r>
                    <w:rPr>
                      <w:rFonts w:hint="eastAsia" w:eastAsia="宋体"/>
                      <w:bCs/>
                    </w:rPr>
                    <w:t>0.002</w:t>
                  </w:r>
                </w:p>
              </w:tc>
              <w:tc>
                <w:tcPr>
                  <w:tcW w:w="628" w:type="pct"/>
                  <w:vAlign w:val="center"/>
                </w:tcPr>
                <w:p w14:paraId="1873A0B6">
                  <w:pPr>
                    <w:pStyle w:val="47"/>
                    <w:adjustRightInd w:val="0"/>
                    <w:snapToGrid w:val="0"/>
                    <w:rPr>
                      <w:rFonts w:eastAsia="宋体"/>
                      <w:bCs/>
                    </w:rPr>
                  </w:pPr>
                  <w:r>
                    <w:rPr>
                      <w:rFonts w:hint="eastAsia" w:eastAsia="宋体"/>
                      <w:bCs/>
                    </w:rPr>
                    <w:t>0.018</w:t>
                  </w:r>
                </w:p>
              </w:tc>
              <w:tc>
                <w:tcPr>
                  <w:tcW w:w="553" w:type="pct"/>
                  <w:vAlign w:val="center"/>
                </w:tcPr>
                <w:p w14:paraId="2B15920C">
                  <w:pPr>
                    <w:pStyle w:val="47"/>
                    <w:adjustRightInd w:val="0"/>
                    <w:snapToGrid w:val="0"/>
                    <w:rPr>
                      <w:rFonts w:eastAsia="宋体"/>
                      <w:bCs/>
                    </w:rPr>
                  </w:pPr>
                  <w:r>
                    <w:rPr>
                      <w:rFonts w:hint="eastAsia" w:eastAsia="宋体"/>
                      <w:bCs/>
                    </w:rPr>
                    <w:t>/</w:t>
                  </w:r>
                </w:p>
              </w:tc>
            </w:tr>
            <w:tr w14:paraId="47A241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13CC4C58">
                  <w:pPr>
                    <w:adjustRightInd w:val="0"/>
                    <w:snapToGrid w:val="0"/>
                    <w:jc w:val="center"/>
                    <w:rPr>
                      <w:szCs w:val="21"/>
                    </w:rPr>
                  </w:pPr>
                  <w:r>
                    <w:rPr>
                      <w:szCs w:val="21"/>
                    </w:rPr>
                    <w:t>2</w:t>
                  </w:r>
                </w:p>
              </w:tc>
              <w:tc>
                <w:tcPr>
                  <w:tcW w:w="347" w:type="pct"/>
                  <w:vAlign w:val="center"/>
                </w:tcPr>
                <w:p w14:paraId="77450944">
                  <w:pPr>
                    <w:adjustRightInd w:val="0"/>
                    <w:snapToGrid w:val="0"/>
                    <w:jc w:val="center"/>
                    <w:rPr>
                      <w:szCs w:val="21"/>
                    </w:rPr>
                  </w:pPr>
                  <w:r>
                    <w:rPr>
                      <w:rFonts w:hint="eastAsia"/>
                      <w:kern w:val="18"/>
                      <w:szCs w:val="21"/>
                    </w:rPr>
                    <w:t>1</w:t>
                  </w:r>
                  <w:r>
                    <w:rPr>
                      <w:kern w:val="18"/>
                      <w:szCs w:val="21"/>
                    </w:rPr>
                    <w:t>#排气筒</w:t>
                  </w:r>
                </w:p>
              </w:tc>
              <w:tc>
                <w:tcPr>
                  <w:tcW w:w="290" w:type="pct"/>
                  <w:vAlign w:val="center"/>
                </w:tcPr>
                <w:p w14:paraId="56C475BA">
                  <w:pPr>
                    <w:pStyle w:val="5"/>
                    <w:adjustRightInd w:val="0"/>
                    <w:snapToGrid w:val="0"/>
                    <w:ind w:firstLine="0" w:firstLineChars="0"/>
                    <w:jc w:val="center"/>
                    <w:rPr>
                      <w:szCs w:val="21"/>
                    </w:rPr>
                  </w:pPr>
                  <w:r>
                    <w:rPr>
                      <w:rFonts w:hint="eastAsia"/>
                      <w:szCs w:val="21"/>
                    </w:rPr>
                    <w:t>63</w:t>
                  </w:r>
                </w:p>
              </w:tc>
              <w:tc>
                <w:tcPr>
                  <w:tcW w:w="266" w:type="pct"/>
                  <w:vAlign w:val="center"/>
                </w:tcPr>
                <w:p w14:paraId="11852D9C">
                  <w:pPr>
                    <w:adjustRightInd w:val="0"/>
                    <w:snapToGrid w:val="0"/>
                    <w:jc w:val="center"/>
                    <w:rPr>
                      <w:kern w:val="18"/>
                      <w:szCs w:val="21"/>
                    </w:rPr>
                  </w:pPr>
                  <w:r>
                    <w:rPr>
                      <w:rFonts w:hint="eastAsia"/>
                      <w:kern w:val="18"/>
                      <w:szCs w:val="21"/>
                    </w:rPr>
                    <w:t>178</w:t>
                  </w:r>
                </w:p>
              </w:tc>
              <w:tc>
                <w:tcPr>
                  <w:tcW w:w="257" w:type="pct"/>
                  <w:vAlign w:val="center"/>
                </w:tcPr>
                <w:p w14:paraId="162EA331">
                  <w:pPr>
                    <w:pStyle w:val="47"/>
                    <w:adjustRightInd w:val="0"/>
                    <w:snapToGrid w:val="0"/>
                    <w:rPr>
                      <w:rFonts w:eastAsia="宋体"/>
                    </w:rPr>
                  </w:pPr>
                  <w:r>
                    <w:rPr>
                      <w:rFonts w:eastAsia="宋体"/>
                    </w:rPr>
                    <w:t>15</w:t>
                  </w:r>
                </w:p>
              </w:tc>
              <w:tc>
                <w:tcPr>
                  <w:tcW w:w="340" w:type="pct"/>
                  <w:vAlign w:val="center"/>
                </w:tcPr>
                <w:p w14:paraId="705EC075">
                  <w:pPr>
                    <w:pStyle w:val="47"/>
                    <w:adjustRightInd w:val="0"/>
                    <w:snapToGrid w:val="0"/>
                    <w:rPr>
                      <w:rFonts w:eastAsia="宋体"/>
                    </w:rPr>
                  </w:pPr>
                  <w:r>
                    <w:rPr>
                      <w:rFonts w:hint="eastAsia" w:eastAsia="宋体"/>
                    </w:rPr>
                    <w:t>1.0</w:t>
                  </w:r>
                </w:p>
              </w:tc>
              <w:tc>
                <w:tcPr>
                  <w:tcW w:w="299" w:type="pct"/>
                  <w:vAlign w:val="center"/>
                </w:tcPr>
                <w:p w14:paraId="028538D2">
                  <w:pPr>
                    <w:pStyle w:val="47"/>
                    <w:adjustRightInd w:val="0"/>
                    <w:snapToGrid w:val="0"/>
                    <w:rPr>
                      <w:rFonts w:eastAsia="宋体"/>
                    </w:rPr>
                  </w:pPr>
                  <w:r>
                    <w:rPr>
                      <w:rFonts w:hint="eastAsia" w:eastAsia="宋体"/>
                    </w:rPr>
                    <w:t>22.29</w:t>
                  </w:r>
                </w:p>
              </w:tc>
              <w:tc>
                <w:tcPr>
                  <w:tcW w:w="340" w:type="pct"/>
                  <w:vAlign w:val="center"/>
                </w:tcPr>
                <w:p w14:paraId="6EDA8099">
                  <w:pPr>
                    <w:adjustRightInd w:val="0"/>
                    <w:snapToGrid w:val="0"/>
                    <w:jc w:val="center"/>
                    <w:rPr>
                      <w:kern w:val="18"/>
                      <w:szCs w:val="21"/>
                    </w:rPr>
                  </w:pPr>
                  <w:r>
                    <w:rPr>
                      <w:rFonts w:hint="eastAsia"/>
                      <w:kern w:val="18"/>
                      <w:szCs w:val="21"/>
                    </w:rPr>
                    <w:t>6</w:t>
                  </w:r>
                  <w:r>
                    <w:rPr>
                      <w:kern w:val="18"/>
                      <w:szCs w:val="21"/>
                    </w:rPr>
                    <w:t>5</w:t>
                  </w:r>
                </w:p>
              </w:tc>
              <w:tc>
                <w:tcPr>
                  <w:tcW w:w="344" w:type="pct"/>
                  <w:vAlign w:val="center"/>
                </w:tcPr>
                <w:p w14:paraId="059874B5">
                  <w:pPr>
                    <w:adjustRightInd w:val="0"/>
                    <w:snapToGrid w:val="0"/>
                    <w:jc w:val="center"/>
                    <w:rPr>
                      <w:kern w:val="18"/>
                      <w:szCs w:val="21"/>
                    </w:rPr>
                  </w:pPr>
                  <w:r>
                    <w:rPr>
                      <w:rFonts w:hint="eastAsia"/>
                      <w:kern w:val="18"/>
                      <w:szCs w:val="21"/>
                    </w:rPr>
                    <w:t>63000</w:t>
                  </w:r>
                </w:p>
              </w:tc>
              <w:tc>
                <w:tcPr>
                  <w:tcW w:w="249" w:type="pct"/>
                  <w:vAlign w:val="center"/>
                </w:tcPr>
                <w:p w14:paraId="52DB51E9">
                  <w:pPr>
                    <w:adjustRightInd w:val="0"/>
                    <w:snapToGrid w:val="0"/>
                    <w:jc w:val="center"/>
                    <w:rPr>
                      <w:kern w:val="18"/>
                      <w:szCs w:val="21"/>
                    </w:rPr>
                  </w:pPr>
                  <w:r>
                    <w:rPr>
                      <w:rFonts w:hint="eastAsia"/>
                      <w:kern w:val="18"/>
                      <w:szCs w:val="21"/>
                    </w:rPr>
                    <w:t>间歇</w:t>
                  </w:r>
                </w:p>
              </w:tc>
              <w:tc>
                <w:tcPr>
                  <w:tcW w:w="385" w:type="pct"/>
                  <w:vAlign w:val="center"/>
                </w:tcPr>
                <w:p w14:paraId="29F1CF8E">
                  <w:pPr>
                    <w:pStyle w:val="47"/>
                    <w:adjustRightInd w:val="0"/>
                    <w:snapToGrid w:val="0"/>
                    <w:rPr>
                      <w:rFonts w:eastAsia="宋体"/>
                    </w:rPr>
                  </w:pPr>
                  <w:r>
                    <w:rPr>
                      <w:rFonts w:hint="eastAsia" w:eastAsia="宋体"/>
                    </w:rPr>
                    <w:t>/</w:t>
                  </w:r>
                </w:p>
              </w:tc>
              <w:tc>
                <w:tcPr>
                  <w:tcW w:w="471" w:type="pct"/>
                  <w:vAlign w:val="center"/>
                </w:tcPr>
                <w:p w14:paraId="350C8328">
                  <w:pPr>
                    <w:pStyle w:val="47"/>
                    <w:adjustRightInd w:val="0"/>
                    <w:snapToGrid w:val="0"/>
                    <w:rPr>
                      <w:rFonts w:eastAsia="宋体"/>
                    </w:rPr>
                  </w:pPr>
                  <w:r>
                    <w:rPr>
                      <w:rFonts w:hint="eastAsia" w:eastAsia="宋体"/>
                    </w:rPr>
                    <w:t>0.002</w:t>
                  </w:r>
                </w:p>
              </w:tc>
              <w:tc>
                <w:tcPr>
                  <w:tcW w:w="628" w:type="pct"/>
                  <w:vAlign w:val="center"/>
                </w:tcPr>
                <w:p w14:paraId="6A26EF07">
                  <w:pPr>
                    <w:pStyle w:val="47"/>
                    <w:adjustRightInd w:val="0"/>
                    <w:snapToGrid w:val="0"/>
                    <w:rPr>
                      <w:rFonts w:eastAsia="宋体"/>
                    </w:rPr>
                  </w:pPr>
                  <w:r>
                    <w:rPr>
                      <w:rFonts w:hint="eastAsia" w:eastAsia="宋体"/>
                    </w:rPr>
                    <w:t>0.008</w:t>
                  </w:r>
                </w:p>
              </w:tc>
              <w:tc>
                <w:tcPr>
                  <w:tcW w:w="553" w:type="pct"/>
                  <w:vAlign w:val="center"/>
                </w:tcPr>
                <w:p w14:paraId="18F8ED61">
                  <w:pPr>
                    <w:pStyle w:val="47"/>
                    <w:adjustRightInd w:val="0"/>
                    <w:snapToGrid w:val="0"/>
                    <w:rPr>
                      <w:rFonts w:eastAsia="宋体"/>
                    </w:rPr>
                  </w:pPr>
                  <w:r>
                    <w:rPr>
                      <w:rFonts w:hint="eastAsia" w:eastAsia="宋体"/>
                    </w:rPr>
                    <w:t>0.00001</w:t>
                  </w:r>
                </w:p>
              </w:tc>
            </w:tr>
            <w:tr w14:paraId="44F3F6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18FA6B78">
                  <w:pPr>
                    <w:adjustRightInd w:val="0"/>
                    <w:snapToGrid w:val="0"/>
                    <w:jc w:val="center"/>
                    <w:rPr>
                      <w:szCs w:val="21"/>
                    </w:rPr>
                  </w:pPr>
                  <w:r>
                    <w:rPr>
                      <w:rFonts w:hint="eastAsia"/>
                      <w:szCs w:val="21"/>
                    </w:rPr>
                    <w:t>3</w:t>
                  </w:r>
                </w:p>
              </w:tc>
              <w:tc>
                <w:tcPr>
                  <w:tcW w:w="347" w:type="pct"/>
                  <w:vAlign w:val="center"/>
                </w:tcPr>
                <w:p w14:paraId="6FFF5D04">
                  <w:pPr>
                    <w:adjustRightInd w:val="0"/>
                    <w:snapToGrid w:val="0"/>
                    <w:jc w:val="center"/>
                    <w:rPr>
                      <w:kern w:val="18"/>
                      <w:szCs w:val="21"/>
                    </w:rPr>
                  </w:pPr>
                  <w:r>
                    <w:rPr>
                      <w:rFonts w:hint="eastAsia"/>
                      <w:kern w:val="18"/>
                      <w:szCs w:val="21"/>
                    </w:rPr>
                    <w:t>3</w:t>
                  </w:r>
                  <w:r>
                    <w:rPr>
                      <w:kern w:val="18"/>
                      <w:szCs w:val="21"/>
                    </w:rPr>
                    <w:t>#排气筒</w:t>
                  </w:r>
                </w:p>
              </w:tc>
              <w:tc>
                <w:tcPr>
                  <w:tcW w:w="290" w:type="pct"/>
                  <w:vAlign w:val="center"/>
                </w:tcPr>
                <w:p w14:paraId="7B5EFDB8">
                  <w:pPr>
                    <w:pStyle w:val="5"/>
                    <w:adjustRightInd w:val="0"/>
                    <w:snapToGrid w:val="0"/>
                    <w:ind w:firstLine="0" w:firstLineChars="0"/>
                    <w:jc w:val="center"/>
                    <w:rPr>
                      <w:szCs w:val="21"/>
                    </w:rPr>
                  </w:pPr>
                  <w:r>
                    <w:rPr>
                      <w:rFonts w:hint="eastAsia"/>
                      <w:szCs w:val="21"/>
                    </w:rPr>
                    <w:t>72</w:t>
                  </w:r>
                </w:p>
              </w:tc>
              <w:tc>
                <w:tcPr>
                  <w:tcW w:w="266" w:type="pct"/>
                  <w:vAlign w:val="center"/>
                </w:tcPr>
                <w:p w14:paraId="1C35EBB9">
                  <w:pPr>
                    <w:adjustRightInd w:val="0"/>
                    <w:snapToGrid w:val="0"/>
                    <w:jc w:val="center"/>
                    <w:rPr>
                      <w:kern w:val="18"/>
                      <w:szCs w:val="21"/>
                    </w:rPr>
                  </w:pPr>
                  <w:r>
                    <w:rPr>
                      <w:rFonts w:hint="eastAsia"/>
                      <w:kern w:val="18"/>
                      <w:szCs w:val="21"/>
                    </w:rPr>
                    <w:t>59</w:t>
                  </w:r>
                </w:p>
              </w:tc>
              <w:tc>
                <w:tcPr>
                  <w:tcW w:w="257" w:type="pct"/>
                  <w:vAlign w:val="center"/>
                </w:tcPr>
                <w:p w14:paraId="7FBE9FF7">
                  <w:pPr>
                    <w:pStyle w:val="47"/>
                    <w:adjustRightInd w:val="0"/>
                    <w:snapToGrid w:val="0"/>
                    <w:rPr>
                      <w:rFonts w:eastAsia="宋体"/>
                    </w:rPr>
                  </w:pPr>
                  <w:r>
                    <w:rPr>
                      <w:rFonts w:eastAsia="宋体"/>
                    </w:rPr>
                    <w:t>15</w:t>
                  </w:r>
                </w:p>
              </w:tc>
              <w:tc>
                <w:tcPr>
                  <w:tcW w:w="340" w:type="pct"/>
                  <w:vAlign w:val="center"/>
                </w:tcPr>
                <w:p w14:paraId="70129443">
                  <w:pPr>
                    <w:pStyle w:val="47"/>
                    <w:adjustRightInd w:val="0"/>
                    <w:snapToGrid w:val="0"/>
                    <w:rPr>
                      <w:rFonts w:eastAsia="宋体"/>
                    </w:rPr>
                  </w:pPr>
                  <w:r>
                    <w:rPr>
                      <w:rFonts w:hint="eastAsia" w:eastAsia="宋体"/>
                    </w:rPr>
                    <w:t>1.0</w:t>
                  </w:r>
                </w:p>
              </w:tc>
              <w:tc>
                <w:tcPr>
                  <w:tcW w:w="299" w:type="pct"/>
                  <w:vAlign w:val="center"/>
                </w:tcPr>
                <w:p w14:paraId="25F23803">
                  <w:pPr>
                    <w:pStyle w:val="47"/>
                    <w:adjustRightInd w:val="0"/>
                    <w:snapToGrid w:val="0"/>
                    <w:rPr>
                      <w:rFonts w:eastAsia="宋体"/>
                    </w:rPr>
                  </w:pPr>
                  <w:r>
                    <w:rPr>
                      <w:rFonts w:hint="eastAsia" w:eastAsia="宋体"/>
                    </w:rPr>
                    <w:t>22.29</w:t>
                  </w:r>
                </w:p>
              </w:tc>
              <w:tc>
                <w:tcPr>
                  <w:tcW w:w="340" w:type="pct"/>
                  <w:vAlign w:val="center"/>
                </w:tcPr>
                <w:p w14:paraId="0C17DA63">
                  <w:pPr>
                    <w:adjustRightInd w:val="0"/>
                    <w:snapToGrid w:val="0"/>
                    <w:jc w:val="center"/>
                    <w:rPr>
                      <w:kern w:val="18"/>
                      <w:szCs w:val="21"/>
                    </w:rPr>
                  </w:pPr>
                  <w:r>
                    <w:rPr>
                      <w:rFonts w:hint="eastAsia"/>
                      <w:kern w:val="18"/>
                      <w:szCs w:val="21"/>
                    </w:rPr>
                    <w:t>6</w:t>
                  </w:r>
                  <w:r>
                    <w:rPr>
                      <w:kern w:val="18"/>
                      <w:szCs w:val="21"/>
                    </w:rPr>
                    <w:t>5</w:t>
                  </w:r>
                </w:p>
              </w:tc>
              <w:tc>
                <w:tcPr>
                  <w:tcW w:w="344" w:type="pct"/>
                  <w:vAlign w:val="center"/>
                </w:tcPr>
                <w:p w14:paraId="3FA9DC95">
                  <w:pPr>
                    <w:adjustRightInd w:val="0"/>
                    <w:snapToGrid w:val="0"/>
                    <w:jc w:val="center"/>
                    <w:rPr>
                      <w:kern w:val="18"/>
                      <w:szCs w:val="21"/>
                    </w:rPr>
                  </w:pPr>
                  <w:r>
                    <w:rPr>
                      <w:rFonts w:hint="eastAsia"/>
                      <w:kern w:val="18"/>
                      <w:szCs w:val="21"/>
                    </w:rPr>
                    <w:t>63000</w:t>
                  </w:r>
                </w:p>
              </w:tc>
              <w:tc>
                <w:tcPr>
                  <w:tcW w:w="249" w:type="pct"/>
                  <w:vAlign w:val="center"/>
                </w:tcPr>
                <w:p w14:paraId="49831EFB">
                  <w:pPr>
                    <w:adjustRightInd w:val="0"/>
                    <w:snapToGrid w:val="0"/>
                    <w:jc w:val="center"/>
                    <w:rPr>
                      <w:kern w:val="18"/>
                      <w:szCs w:val="21"/>
                    </w:rPr>
                  </w:pPr>
                  <w:r>
                    <w:rPr>
                      <w:rFonts w:hint="eastAsia"/>
                      <w:kern w:val="18"/>
                      <w:szCs w:val="21"/>
                    </w:rPr>
                    <w:t>间歇</w:t>
                  </w:r>
                </w:p>
              </w:tc>
              <w:tc>
                <w:tcPr>
                  <w:tcW w:w="385" w:type="pct"/>
                  <w:vAlign w:val="center"/>
                </w:tcPr>
                <w:p w14:paraId="56687862">
                  <w:pPr>
                    <w:pStyle w:val="47"/>
                    <w:adjustRightInd w:val="0"/>
                    <w:snapToGrid w:val="0"/>
                    <w:rPr>
                      <w:rFonts w:eastAsia="宋体"/>
                    </w:rPr>
                  </w:pPr>
                  <w:r>
                    <w:rPr>
                      <w:rFonts w:hint="eastAsia" w:eastAsia="宋体"/>
                    </w:rPr>
                    <w:t>/</w:t>
                  </w:r>
                </w:p>
              </w:tc>
              <w:tc>
                <w:tcPr>
                  <w:tcW w:w="471" w:type="pct"/>
                  <w:vAlign w:val="center"/>
                </w:tcPr>
                <w:p w14:paraId="7C5AE3DF">
                  <w:pPr>
                    <w:pStyle w:val="47"/>
                    <w:adjustRightInd w:val="0"/>
                    <w:snapToGrid w:val="0"/>
                    <w:rPr>
                      <w:rFonts w:eastAsia="宋体"/>
                    </w:rPr>
                  </w:pPr>
                  <w:r>
                    <w:rPr>
                      <w:rFonts w:hint="eastAsia" w:eastAsia="宋体"/>
                    </w:rPr>
                    <w:t>0.002</w:t>
                  </w:r>
                </w:p>
              </w:tc>
              <w:tc>
                <w:tcPr>
                  <w:tcW w:w="628" w:type="pct"/>
                  <w:vAlign w:val="center"/>
                </w:tcPr>
                <w:p w14:paraId="293CEDA7">
                  <w:pPr>
                    <w:pStyle w:val="47"/>
                    <w:adjustRightInd w:val="0"/>
                    <w:snapToGrid w:val="0"/>
                    <w:rPr>
                      <w:rFonts w:eastAsia="宋体"/>
                    </w:rPr>
                  </w:pPr>
                  <w:r>
                    <w:rPr>
                      <w:rFonts w:hint="eastAsia" w:eastAsia="宋体"/>
                    </w:rPr>
                    <w:t>0.008</w:t>
                  </w:r>
                </w:p>
              </w:tc>
              <w:tc>
                <w:tcPr>
                  <w:tcW w:w="553" w:type="pct"/>
                  <w:vAlign w:val="center"/>
                </w:tcPr>
                <w:p w14:paraId="6AA9FDB1">
                  <w:pPr>
                    <w:pStyle w:val="47"/>
                    <w:adjustRightInd w:val="0"/>
                    <w:snapToGrid w:val="0"/>
                    <w:rPr>
                      <w:rFonts w:eastAsia="宋体"/>
                    </w:rPr>
                  </w:pPr>
                  <w:r>
                    <w:rPr>
                      <w:rFonts w:hint="eastAsia" w:eastAsia="宋体"/>
                    </w:rPr>
                    <w:t>0.00001</w:t>
                  </w:r>
                </w:p>
              </w:tc>
            </w:tr>
            <w:tr w14:paraId="27BF8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1306A1C4">
                  <w:pPr>
                    <w:adjustRightInd w:val="0"/>
                    <w:snapToGrid w:val="0"/>
                    <w:jc w:val="center"/>
                    <w:rPr>
                      <w:szCs w:val="21"/>
                    </w:rPr>
                  </w:pPr>
                  <w:r>
                    <w:rPr>
                      <w:rFonts w:hint="eastAsia"/>
                      <w:szCs w:val="21"/>
                    </w:rPr>
                    <w:t>4</w:t>
                  </w:r>
                </w:p>
              </w:tc>
              <w:tc>
                <w:tcPr>
                  <w:tcW w:w="347" w:type="pct"/>
                  <w:vAlign w:val="center"/>
                </w:tcPr>
                <w:p w14:paraId="2EBF5D34">
                  <w:pPr>
                    <w:adjustRightInd w:val="0"/>
                    <w:snapToGrid w:val="0"/>
                    <w:jc w:val="center"/>
                    <w:rPr>
                      <w:kern w:val="18"/>
                      <w:szCs w:val="21"/>
                    </w:rPr>
                  </w:pPr>
                  <w:r>
                    <w:rPr>
                      <w:rFonts w:hint="eastAsia"/>
                      <w:kern w:val="18"/>
                      <w:szCs w:val="21"/>
                    </w:rPr>
                    <w:t>5#排气筒</w:t>
                  </w:r>
                </w:p>
              </w:tc>
              <w:tc>
                <w:tcPr>
                  <w:tcW w:w="290" w:type="pct"/>
                  <w:vAlign w:val="center"/>
                </w:tcPr>
                <w:p w14:paraId="1696810F">
                  <w:pPr>
                    <w:pStyle w:val="5"/>
                    <w:adjustRightInd w:val="0"/>
                    <w:snapToGrid w:val="0"/>
                    <w:ind w:firstLine="0" w:firstLineChars="0"/>
                    <w:jc w:val="center"/>
                    <w:rPr>
                      <w:szCs w:val="21"/>
                    </w:rPr>
                  </w:pPr>
                  <w:r>
                    <w:rPr>
                      <w:rFonts w:hint="eastAsia"/>
                      <w:szCs w:val="21"/>
                    </w:rPr>
                    <w:t>-13</w:t>
                  </w:r>
                </w:p>
              </w:tc>
              <w:tc>
                <w:tcPr>
                  <w:tcW w:w="266" w:type="pct"/>
                  <w:vAlign w:val="center"/>
                </w:tcPr>
                <w:p w14:paraId="7E4427F5">
                  <w:pPr>
                    <w:adjustRightInd w:val="0"/>
                    <w:snapToGrid w:val="0"/>
                    <w:jc w:val="center"/>
                    <w:rPr>
                      <w:kern w:val="18"/>
                      <w:szCs w:val="21"/>
                    </w:rPr>
                  </w:pPr>
                  <w:r>
                    <w:rPr>
                      <w:rFonts w:hint="eastAsia"/>
                      <w:kern w:val="18"/>
                      <w:szCs w:val="21"/>
                    </w:rPr>
                    <w:t>68</w:t>
                  </w:r>
                </w:p>
              </w:tc>
              <w:tc>
                <w:tcPr>
                  <w:tcW w:w="257" w:type="pct"/>
                  <w:vAlign w:val="center"/>
                </w:tcPr>
                <w:p w14:paraId="0C0005B3">
                  <w:pPr>
                    <w:pStyle w:val="47"/>
                    <w:adjustRightInd w:val="0"/>
                    <w:snapToGrid w:val="0"/>
                    <w:rPr>
                      <w:rFonts w:eastAsia="宋体"/>
                    </w:rPr>
                  </w:pPr>
                  <w:r>
                    <w:rPr>
                      <w:rFonts w:hint="eastAsia" w:eastAsia="宋体"/>
                    </w:rPr>
                    <w:t>15</w:t>
                  </w:r>
                </w:p>
              </w:tc>
              <w:tc>
                <w:tcPr>
                  <w:tcW w:w="340" w:type="pct"/>
                  <w:vAlign w:val="center"/>
                </w:tcPr>
                <w:p w14:paraId="3D0725B9">
                  <w:pPr>
                    <w:pStyle w:val="47"/>
                    <w:adjustRightInd w:val="0"/>
                    <w:snapToGrid w:val="0"/>
                    <w:rPr>
                      <w:rFonts w:eastAsia="宋体"/>
                    </w:rPr>
                  </w:pPr>
                  <w:r>
                    <w:rPr>
                      <w:rFonts w:hint="eastAsia" w:eastAsia="宋体"/>
                    </w:rPr>
                    <w:t>0.5</w:t>
                  </w:r>
                </w:p>
              </w:tc>
              <w:tc>
                <w:tcPr>
                  <w:tcW w:w="299" w:type="pct"/>
                  <w:vAlign w:val="center"/>
                </w:tcPr>
                <w:p w14:paraId="6540D0B7">
                  <w:pPr>
                    <w:pStyle w:val="47"/>
                    <w:adjustRightInd w:val="0"/>
                    <w:snapToGrid w:val="0"/>
                    <w:rPr>
                      <w:rFonts w:eastAsia="宋体"/>
                    </w:rPr>
                  </w:pPr>
                  <w:r>
                    <w:rPr>
                      <w:rFonts w:hint="eastAsia" w:eastAsia="宋体"/>
                    </w:rPr>
                    <w:t>19.11</w:t>
                  </w:r>
                </w:p>
              </w:tc>
              <w:tc>
                <w:tcPr>
                  <w:tcW w:w="340" w:type="pct"/>
                  <w:vAlign w:val="center"/>
                </w:tcPr>
                <w:p w14:paraId="5FDD4705">
                  <w:pPr>
                    <w:adjustRightInd w:val="0"/>
                    <w:snapToGrid w:val="0"/>
                    <w:jc w:val="center"/>
                    <w:rPr>
                      <w:kern w:val="18"/>
                      <w:szCs w:val="21"/>
                    </w:rPr>
                  </w:pPr>
                  <w:r>
                    <w:rPr>
                      <w:rFonts w:hint="eastAsia"/>
                      <w:kern w:val="18"/>
                      <w:szCs w:val="21"/>
                    </w:rPr>
                    <w:t>25</w:t>
                  </w:r>
                </w:p>
              </w:tc>
              <w:tc>
                <w:tcPr>
                  <w:tcW w:w="344" w:type="pct"/>
                  <w:vAlign w:val="center"/>
                </w:tcPr>
                <w:p w14:paraId="08883A08">
                  <w:pPr>
                    <w:adjustRightInd w:val="0"/>
                    <w:snapToGrid w:val="0"/>
                    <w:jc w:val="center"/>
                    <w:rPr>
                      <w:kern w:val="18"/>
                      <w:szCs w:val="21"/>
                    </w:rPr>
                  </w:pPr>
                  <w:r>
                    <w:rPr>
                      <w:rFonts w:hint="eastAsia"/>
                      <w:kern w:val="18"/>
                      <w:szCs w:val="21"/>
                    </w:rPr>
                    <w:t>13500</w:t>
                  </w:r>
                </w:p>
              </w:tc>
              <w:tc>
                <w:tcPr>
                  <w:tcW w:w="249" w:type="pct"/>
                  <w:vAlign w:val="center"/>
                </w:tcPr>
                <w:p w14:paraId="1FC9B33D">
                  <w:pPr>
                    <w:adjustRightInd w:val="0"/>
                    <w:snapToGrid w:val="0"/>
                    <w:jc w:val="center"/>
                    <w:rPr>
                      <w:kern w:val="18"/>
                      <w:szCs w:val="21"/>
                    </w:rPr>
                  </w:pPr>
                  <w:r>
                    <w:rPr>
                      <w:rFonts w:hint="eastAsia"/>
                      <w:kern w:val="18"/>
                      <w:szCs w:val="21"/>
                    </w:rPr>
                    <w:t>间歇</w:t>
                  </w:r>
                </w:p>
              </w:tc>
              <w:tc>
                <w:tcPr>
                  <w:tcW w:w="385" w:type="pct"/>
                  <w:vAlign w:val="center"/>
                </w:tcPr>
                <w:p w14:paraId="15DAC357">
                  <w:pPr>
                    <w:pStyle w:val="47"/>
                    <w:adjustRightInd w:val="0"/>
                    <w:snapToGrid w:val="0"/>
                    <w:rPr>
                      <w:rFonts w:eastAsia="宋体"/>
                    </w:rPr>
                  </w:pPr>
                  <w:r>
                    <w:rPr>
                      <w:rFonts w:hint="eastAsia" w:eastAsia="宋体"/>
                    </w:rPr>
                    <w:t>0.007</w:t>
                  </w:r>
                </w:p>
              </w:tc>
              <w:tc>
                <w:tcPr>
                  <w:tcW w:w="471" w:type="pct"/>
                  <w:vAlign w:val="center"/>
                </w:tcPr>
                <w:p w14:paraId="5BC93C7A">
                  <w:pPr>
                    <w:pStyle w:val="47"/>
                    <w:adjustRightInd w:val="0"/>
                    <w:snapToGrid w:val="0"/>
                    <w:rPr>
                      <w:rFonts w:eastAsia="宋体"/>
                    </w:rPr>
                  </w:pPr>
                  <w:r>
                    <w:rPr>
                      <w:rFonts w:hint="eastAsia" w:eastAsia="宋体"/>
                    </w:rPr>
                    <w:t>/</w:t>
                  </w:r>
                </w:p>
              </w:tc>
              <w:tc>
                <w:tcPr>
                  <w:tcW w:w="628" w:type="pct"/>
                  <w:vAlign w:val="center"/>
                </w:tcPr>
                <w:p w14:paraId="7E368D91">
                  <w:pPr>
                    <w:pStyle w:val="47"/>
                    <w:adjustRightInd w:val="0"/>
                    <w:snapToGrid w:val="0"/>
                    <w:rPr>
                      <w:rFonts w:eastAsia="宋体"/>
                    </w:rPr>
                  </w:pPr>
                  <w:r>
                    <w:rPr>
                      <w:rFonts w:hint="eastAsia" w:eastAsia="宋体"/>
                    </w:rPr>
                    <w:t>/</w:t>
                  </w:r>
                </w:p>
              </w:tc>
              <w:tc>
                <w:tcPr>
                  <w:tcW w:w="553" w:type="pct"/>
                  <w:vAlign w:val="center"/>
                </w:tcPr>
                <w:p w14:paraId="0933C680">
                  <w:pPr>
                    <w:pStyle w:val="47"/>
                    <w:adjustRightInd w:val="0"/>
                    <w:snapToGrid w:val="0"/>
                    <w:rPr>
                      <w:rFonts w:eastAsia="宋体"/>
                    </w:rPr>
                  </w:pPr>
                  <w:r>
                    <w:rPr>
                      <w:rFonts w:hint="eastAsia" w:eastAsia="宋体"/>
                    </w:rPr>
                    <w:t>/</w:t>
                  </w:r>
                </w:p>
              </w:tc>
            </w:tr>
            <w:tr w14:paraId="04B95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42DCF18F">
                  <w:pPr>
                    <w:adjustRightInd w:val="0"/>
                    <w:snapToGrid w:val="0"/>
                    <w:jc w:val="center"/>
                    <w:rPr>
                      <w:szCs w:val="21"/>
                    </w:rPr>
                  </w:pPr>
                  <w:r>
                    <w:rPr>
                      <w:rFonts w:hint="eastAsia"/>
                      <w:szCs w:val="21"/>
                    </w:rPr>
                    <w:t>5</w:t>
                  </w:r>
                </w:p>
              </w:tc>
              <w:tc>
                <w:tcPr>
                  <w:tcW w:w="347" w:type="pct"/>
                  <w:vAlign w:val="center"/>
                </w:tcPr>
                <w:p w14:paraId="4DC6FFD4">
                  <w:pPr>
                    <w:adjustRightInd w:val="0"/>
                    <w:snapToGrid w:val="0"/>
                    <w:jc w:val="center"/>
                    <w:rPr>
                      <w:kern w:val="18"/>
                      <w:szCs w:val="21"/>
                    </w:rPr>
                  </w:pPr>
                  <w:r>
                    <w:rPr>
                      <w:kern w:val="18"/>
                      <w:szCs w:val="21"/>
                    </w:rPr>
                    <w:t>6#排气筒</w:t>
                  </w:r>
                </w:p>
              </w:tc>
              <w:tc>
                <w:tcPr>
                  <w:tcW w:w="290" w:type="pct"/>
                  <w:vAlign w:val="center"/>
                </w:tcPr>
                <w:p w14:paraId="3F7CD720">
                  <w:pPr>
                    <w:pStyle w:val="5"/>
                    <w:adjustRightInd w:val="0"/>
                    <w:snapToGrid w:val="0"/>
                    <w:ind w:firstLine="0" w:firstLineChars="0"/>
                    <w:jc w:val="center"/>
                    <w:rPr>
                      <w:szCs w:val="21"/>
                    </w:rPr>
                  </w:pPr>
                  <w:r>
                    <w:rPr>
                      <w:rFonts w:hint="eastAsia"/>
                      <w:szCs w:val="21"/>
                    </w:rPr>
                    <w:t>76</w:t>
                  </w:r>
                </w:p>
              </w:tc>
              <w:tc>
                <w:tcPr>
                  <w:tcW w:w="266" w:type="pct"/>
                  <w:vAlign w:val="center"/>
                </w:tcPr>
                <w:p w14:paraId="4CD6ED6D">
                  <w:pPr>
                    <w:adjustRightInd w:val="0"/>
                    <w:snapToGrid w:val="0"/>
                    <w:jc w:val="center"/>
                    <w:rPr>
                      <w:kern w:val="18"/>
                      <w:szCs w:val="21"/>
                    </w:rPr>
                  </w:pPr>
                  <w:r>
                    <w:rPr>
                      <w:rFonts w:hint="eastAsia"/>
                      <w:kern w:val="18"/>
                      <w:szCs w:val="21"/>
                    </w:rPr>
                    <w:t>44</w:t>
                  </w:r>
                </w:p>
              </w:tc>
              <w:tc>
                <w:tcPr>
                  <w:tcW w:w="257" w:type="pct"/>
                  <w:vAlign w:val="center"/>
                </w:tcPr>
                <w:p w14:paraId="5A45B541">
                  <w:pPr>
                    <w:pStyle w:val="47"/>
                    <w:adjustRightInd w:val="0"/>
                    <w:snapToGrid w:val="0"/>
                    <w:rPr>
                      <w:rFonts w:eastAsia="宋体"/>
                    </w:rPr>
                  </w:pPr>
                  <w:r>
                    <w:rPr>
                      <w:rFonts w:hint="eastAsia" w:eastAsia="宋体"/>
                    </w:rPr>
                    <w:t>15</w:t>
                  </w:r>
                </w:p>
              </w:tc>
              <w:tc>
                <w:tcPr>
                  <w:tcW w:w="340" w:type="pct"/>
                  <w:vAlign w:val="center"/>
                </w:tcPr>
                <w:p w14:paraId="71B12749">
                  <w:pPr>
                    <w:pStyle w:val="47"/>
                    <w:adjustRightInd w:val="0"/>
                    <w:snapToGrid w:val="0"/>
                    <w:rPr>
                      <w:rFonts w:eastAsia="宋体"/>
                    </w:rPr>
                  </w:pPr>
                  <w:r>
                    <w:rPr>
                      <w:rFonts w:hint="eastAsia" w:eastAsia="宋体"/>
                    </w:rPr>
                    <w:t>1.2</w:t>
                  </w:r>
                </w:p>
              </w:tc>
              <w:tc>
                <w:tcPr>
                  <w:tcW w:w="299" w:type="pct"/>
                  <w:vAlign w:val="center"/>
                </w:tcPr>
                <w:p w14:paraId="2CEB3895">
                  <w:pPr>
                    <w:pStyle w:val="47"/>
                    <w:adjustRightInd w:val="0"/>
                    <w:snapToGrid w:val="0"/>
                    <w:rPr>
                      <w:rFonts w:eastAsia="宋体"/>
                    </w:rPr>
                  </w:pPr>
                  <w:r>
                    <w:rPr>
                      <w:rFonts w:hint="eastAsia" w:eastAsia="宋体"/>
                    </w:rPr>
                    <w:t>17.69</w:t>
                  </w:r>
                </w:p>
              </w:tc>
              <w:tc>
                <w:tcPr>
                  <w:tcW w:w="340" w:type="pct"/>
                  <w:vAlign w:val="center"/>
                </w:tcPr>
                <w:p w14:paraId="7C6029CE">
                  <w:pPr>
                    <w:adjustRightInd w:val="0"/>
                    <w:snapToGrid w:val="0"/>
                    <w:jc w:val="center"/>
                    <w:rPr>
                      <w:kern w:val="18"/>
                      <w:szCs w:val="21"/>
                    </w:rPr>
                  </w:pPr>
                  <w:r>
                    <w:rPr>
                      <w:rFonts w:hint="eastAsia"/>
                      <w:kern w:val="18"/>
                      <w:szCs w:val="21"/>
                    </w:rPr>
                    <w:t>40</w:t>
                  </w:r>
                </w:p>
              </w:tc>
              <w:tc>
                <w:tcPr>
                  <w:tcW w:w="344" w:type="pct"/>
                  <w:vAlign w:val="center"/>
                </w:tcPr>
                <w:p w14:paraId="343FE571">
                  <w:pPr>
                    <w:adjustRightInd w:val="0"/>
                    <w:snapToGrid w:val="0"/>
                    <w:jc w:val="center"/>
                    <w:rPr>
                      <w:kern w:val="18"/>
                      <w:szCs w:val="21"/>
                    </w:rPr>
                  </w:pPr>
                  <w:r>
                    <w:rPr>
                      <w:rFonts w:hint="eastAsia"/>
                      <w:kern w:val="18"/>
                      <w:szCs w:val="21"/>
                    </w:rPr>
                    <w:t>50000</w:t>
                  </w:r>
                </w:p>
              </w:tc>
              <w:tc>
                <w:tcPr>
                  <w:tcW w:w="249" w:type="pct"/>
                  <w:vAlign w:val="center"/>
                </w:tcPr>
                <w:p w14:paraId="1A9CC81C">
                  <w:pPr>
                    <w:adjustRightInd w:val="0"/>
                    <w:snapToGrid w:val="0"/>
                    <w:jc w:val="center"/>
                    <w:rPr>
                      <w:kern w:val="18"/>
                      <w:szCs w:val="21"/>
                    </w:rPr>
                  </w:pPr>
                  <w:r>
                    <w:rPr>
                      <w:rFonts w:hint="eastAsia"/>
                      <w:kern w:val="18"/>
                      <w:szCs w:val="21"/>
                    </w:rPr>
                    <w:t>间歇</w:t>
                  </w:r>
                </w:p>
              </w:tc>
              <w:tc>
                <w:tcPr>
                  <w:tcW w:w="385" w:type="pct"/>
                  <w:vAlign w:val="center"/>
                </w:tcPr>
                <w:p w14:paraId="26615983">
                  <w:pPr>
                    <w:pStyle w:val="47"/>
                    <w:adjustRightInd w:val="0"/>
                    <w:snapToGrid w:val="0"/>
                    <w:rPr>
                      <w:rFonts w:eastAsia="宋体"/>
                    </w:rPr>
                  </w:pPr>
                  <w:r>
                    <w:rPr>
                      <w:rFonts w:hint="eastAsia" w:eastAsia="宋体"/>
                    </w:rPr>
                    <w:t>/</w:t>
                  </w:r>
                </w:p>
              </w:tc>
              <w:tc>
                <w:tcPr>
                  <w:tcW w:w="471" w:type="pct"/>
                  <w:vAlign w:val="center"/>
                </w:tcPr>
                <w:p w14:paraId="485851BD">
                  <w:pPr>
                    <w:pStyle w:val="47"/>
                    <w:adjustRightInd w:val="0"/>
                    <w:snapToGrid w:val="0"/>
                    <w:rPr>
                      <w:rFonts w:eastAsia="宋体"/>
                    </w:rPr>
                  </w:pPr>
                  <w:r>
                    <w:rPr>
                      <w:rFonts w:hint="eastAsia" w:eastAsia="宋体"/>
                    </w:rPr>
                    <w:t>/</w:t>
                  </w:r>
                </w:p>
              </w:tc>
              <w:tc>
                <w:tcPr>
                  <w:tcW w:w="628" w:type="pct"/>
                  <w:vAlign w:val="center"/>
                </w:tcPr>
                <w:p w14:paraId="076355EB">
                  <w:pPr>
                    <w:pStyle w:val="47"/>
                    <w:adjustRightInd w:val="0"/>
                    <w:snapToGrid w:val="0"/>
                    <w:rPr>
                      <w:rFonts w:eastAsia="宋体"/>
                    </w:rPr>
                  </w:pPr>
                  <w:r>
                    <w:rPr>
                      <w:rFonts w:hint="eastAsia" w:eastAsia="宋体"/>
                    </w:rPr>
                    <w:t>0.00004</w:t>
                  </w:r>
                </w:p>
              </w:tc>
              <w:tc>
                <w:tcPr>
                  <w:tcW w:w="553" w:type="pct"/>
                  <w:vAlign w:val="center"/>
                </w:tcPr>
                <w:p w14:paraId="6BA6ED5A">
                  <w:pPr>
                    <w:pStyle w:val="47"/>
                    <w:adjustRightInd w:val="0"/>
                    <w:snapToGrid w:val="0"/>
                    <w:rPr>
                      <w:rFonts w:eastAsia="宋体"/>
                    </w:rPr>
                  </w:pPr>
                  <w:r>
                    <w:rPr>
                      <w:rFonts w:hint="eastAsia" w:eastAsia="宋体"/>
                    </w:rPr>
                    <w:t>/</w:t>
                  </w:r>
                </w:p>
              </w:tc>
            </w:tr>
            <w:tr w14:paraId="0C436D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000" w:type="pct"/>
                  <w:gridSpan w:val="14"/>
                  <w:vAlign w:val="center"/>
                </w:tcPr>
                <w:p w14:paraId="746E75F4">
                  <w:pPr>
                    <w:pStyle w:val="47"/>
                    <w:adjustRightInd w:val="0"/>
                    <w:snapToGrid w:val="0"/>
                    <w:jc w:val="left"/>
                    <w:rPr>
                      <w:rFonts w:eastAsia="宋体"/>
                      <w:spacing w:val="-2"/>
                      <w:kern w:val="28"/>
                    </w:rPr>
                  </w:pPr>
                  <w:r>
                    <w:rPr>
                      <w:rFonts w:eastAsia="宋体"/>
                      <w:kern w:val="18"/>
                    </w:rPr>
                    <w:t>以厂区西南角为坐标原点（0，0）</w:t>
                  </w:r>
                </w:p>
              </w:tc>
            </w:tr>
          </w:tbl>
          <w:p w14:paraId="7AAE9172">
            <w:pPr>
              <w:pStyle w:val="5"/>
              <w:adjustRightInd w:val="0"/>
              <w:snapToGrid w:val="0"/>
              <w:spacing w:beforeLines="50"/>
              <w:ind w:firstLine="0" w:firstLineChars="0"/>
              <w:jc w:val="center"/>
              <w:rPr>
                <w:b/>
                <w:bCs/>
                <w:szCs w:val="21"/>
              </w:rPr>
            </w:pPr>
            <w:r>
              <w:rPr>
                <w:b/>
                <w:bCs/>
                <w:szCs w:val="21"/>
              </w:rPr>
              <w:t>表4-5  项目无组织废气面源源强排放参数</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16"/>
              <w:gridCol w:w="627"/>
              <w:gridCol w:w="524"/>
              <w:gridCol w:w="480"/>
              <w:gridCol w:w="464"/>
              <w:gridCol w:w="441"/>
              <w:gridCol w:w="569"/>
              <w:gridCol w:w="554"/>
              <w:gridCol w:w="540"/>
              <w:gridCol w:w="600"/>
              <w:gridCol w:w="692"/>
              <w:gridCol w:w="991"/>
              <w:gridCol w:w="991"/>
              <w:gridCol w:w="1141"/>
            </w:tblGrid>
            <w:tr w14:paraId="3A2E6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Merge w:val="restart"/>
                  <w:vAlign w:val="center"/>
                </w:tcPr>
                <w:p w14:paraId="23C69BF7">
                  <w:pPr>
                    <w:pStyle w:val="62"/>
                    <w:adjustRightInd w:val="0"/>
                    <w:snapToGrid w:val="0"/>
                    <w:rPr>
                      <w:rFonts w:eastAsia="宋体"/>
                    </w:rPr>
                  </w:pPr>
                  <w:r>
                    <w:rPr>
                      <w:rFonts w:eastAsia="宋体"/>
                    </w:rPr>
                    <w:t>编号</w:t>
                  </w:r>
                </w:p>
              </w:tc>
              <w:tc>
                <w:tcPr>
                  <w:tcW w:w="347" w:type="pct"/>
                  <w:vMerge w:val="restart"/>
                  <w:vAlign w:val="center"/>
                </w:tcPr>
                <w:p w14:paraId="5315AF6B">
                  <w:pPr>
                    <w:pStyle w:val="62"/>
                    <w:adjustRightInd w:val="0"/>
                    <w:snapToGrid w:val="0"/>
                    <w:rPr>
                      <w:rFonts w:eastAsia="宋体"/>
                    </w:rPr>
                  </w:pPr>
                  <w:r>
                    <w:rPr>
                      <w:rFonts w:eastAsia="宋体"/>
                    </w:rPr>
                    <w:t>名称</w:t>
                  </w:r>
                </w:p>
              </w:tc>
              <w:tc>
                <w:tcPr>
                  <w:tcW w:w="556" w:type="pct"/>
                  <w:gridSpan w:val="2"/>
                  <w:vAlign w:val="center"/>
                </w:tcPr>
                <w:p w14:paraId="3FE4108F">
                  <w:pPr>
                    <w:pStyle w:val="62"/>
                    <w:adjustRightInd w:val="0"/>
                    <w:snapToGrid w:val="0"/>
                    <w:rPr>
                      <w:rFonts w:eastAsia="宋体"/>
                    </w:rPr>
                  </w:pPr>
                  <w:r>
                    <w:rPr>
                      <w:rFonts w:eastAsia="宋体"/>
                    </w:rPr>
                    <w:t>面源起点坐标/m</w:t>
                  </w:r>
                </w:p>
              </w:tc>
              <w:tc>
                <w:tcPr>
                  <w:tcW w:w="257" w:type="pct"/>
                  <w:vMerge w:val="restart"/>
                  <w:vAlign w:val="center"/>
                </w:tcPr>
                <w:p w14:paraId="3BE36344">
                  <w:pPr>
                    <w:pStyle w:val="62"/>
                    <w:adjustRightInd w:val="0"/>
                    <w:snapToGrid w:val="0"/>
                    <w:rPr>
                      <w:rFonts w:eastAsia="宋体"/>
                    </w:rPr>
                  </w:pPr>
                  <w:r>
                    <w:rPr>
                      <w:rFonts w:eastAsia="宋体"/>
                    </w:rPr>
                    <w:t>面源长度/m</w:t>
                  </w:r>
                </w:p>
              </w:tc>
              <w:tc>
                <w:tcPr>
                  <w:tcW w:w="244" w:type="pct"/>
                  <w:vMerge w:val="restart"/>
                  <w:vAlign w:val="center"/>
                </w:tcPr>
                <w:p w14:paraId="115B6735">
                  <w:pPr>
                    <w:pStyle w:val="62"/>
                    <w:adjustRightInd w:val="0"/>
                    <w:snapToGrid w:val="0"/>
                    <w:rPr>
                      <w:rFonts w:eastAsia="宋体"/>
                    </w:rPr>
                  </w:pPr>
                  <w:r>
                    <w:rPr>
                      <w:rFonts w:eastAsia="宋体"/>
                    </w:rPr>
                    <w:t>面源宽度/m</w:t>
                  </w:r>
                </w:p>
              </w:tc>
              <w:tc>
                <w:tcPr>
                  <w:tcW w:w="315" w:type="pct"/>
                  <w:vMerge w:val="restart"/>
                  <w:vAlign w:val="center"/>
                </w:tcPr>
                <w:p w14:paraId="10642414">
                  <w:pPr>
                    <w:pStyle w:val="62"/>
                    <w:adjustRightInd w:val="0"/>
                    <w:snapToGrid w:val="0"/>
                    <w:rPr>
                      <w:rFonts w:eastAsia="宋体"/>
                    </w:rPr>
                  </w:pPr>
                  <w:r>
                    <w:rPr>
                      <w:rFonts w:eastAsia="宋体"/>
                    </w:rPr>
                    <w:t>与正北向夹角（°）</w:t>
                  </w:r>
                </w:p>
              </w:tc>
              <w:tc>
                <w:tcPr>
                  <w:tcW w:w="307" w:type="pct"/>
                  <w:vMerge w:val="restart"/>
                  <w:vAlign w:val="center"/>
                </w:tcPr>
                <w:p w14:paraId="296D455F">
                  <w:pPr>
                    <w:pStyle w:val="62"/>
                    <w:adjustRightInd w:val="0"/>
                    <w:snapToGrid w:val="0"/>
                    <w:rPr>
                      <w:rFonts w:eastAsia="宋体"/>
                    </w:rPr>
                  </w:pPr>
                  <w:r>
                    <w:rPr>
                      <w:rFonts w:eastAsia="宋体"/>
                    </w:rPr>
                    <w:t>面源有效排放高度/m</w:t>
                  </w:r>
                </w:p>
              </w:tc>
              <w:tc>
                <w:tcPr>
                  <w:tcW w:w="299" w:type="pct"/>
                  <w:vMerge w:val="restart"/>
                  <w:vAlign w:val="center"/>
                </w:tcPr>
                <w:p w14:paraId="602A0FFA">
                  <w:pPr>
                    <w:pStyle w:val="62"/>
                    <w:adjustRightInd w:val="0"/>
                    <w:snapToGrid w:val="0"/>
                    <w:rPr>
                      <w:rFonts w:eastAsia="宋体"/>
                    </w:rPr>
                  </w:pPr>
                  <w:r>
                    <w:rPr>
                      <w:rFonts w:eastAsia="宋体"/>
                    </w:rPr>
                    <w:t>年排放小时数/h</w:t>
                  </w:r>
                </w:p>
              </w:tc>
              <w:tc>
                <w:tcPr>
                  <w:tcW w:w="332" w:type="pct"/>
                  <w:vMerge w:val="restart"/>
                  <w:vAlign w:val="center"/>
                </w:tcPr>
                <w:p w14:paraId="003B940B">
                  <w:pPr>
                    <w:pStyle w:val="62"/>
                    <w:adjustRightInd w:val="0"/>
                    <w:snapToGrid w:val="0"/>
                    <w:rPr>
                      <w:rFonts w:eastAsia="宋体"/>
                    </w:rPr>
                  </w:pPr>
                  <w:r>
                    <w:rPr>
                      <w:rFonts w:eastAsia="宋体"/>
                    </w:rPr>
                    <w:t>排放工况</w:t>
                  </w:r>
                </w:p>
              </w:tc>
              <w:tc>
                <w:tcPr>
                  <w:tcW w:w="2113" w:type="pct"/>
                  <w:gridSpan w:val="4"/>
                  <w:vAlign w:val="center"/>
                </w:tcPr>
                <w:p w14:paraId="77ABC998">
                  <w:pPr>
                    <w:pStyle w:val="62"/>
                    <w:adjustRightInd w:val="0"/>
                    <w:snapToGrid w:val="0"/>
                    <w:rPr>
                      <w:rFonts w:eastAsia="宋体"/>
                    </w:rPr>
                  </w:pPr>
                  <w:r>
                    <w:rPr>
                      <w:rFonts w:eastAsia="宋体"/>
                    </w:rPr>
                    <w:t>污染物排放速率/（kg/h）</w:t>
                  </w:r>
                </w:p>
              </w:tc>
            </w:tr>
            <w:tr w14:paraId="6B123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Merge w:val="continue"/>
                  <w:vAlign w:val="center"/>
                </w:tcPr>
                <w:p w14:paraId="4C2016A6">
                  <w:pPr>
                    <w:pStyle w:val="62"/>
                    <w:adjustRightInd w:val="0"/>
                    <w:snapToGrid w:val="0"/>
                    <w:rPr>
                      <w:rFonts w:eastAsia="宋体"/>
                    </w:rPr>
                  </w:pPr>
                </w:p>
              </w:tc>
              <w:tc>
                <w:tcPr>
                  <w:tcW w:w="347" w:type="pct"/>
                  <w:vMerge w:val="continue"/>
                  <w:vAlign w:val="center"/>
                </w:tcPr>
                <w:p w14:paraId="33CD0F0A">
                  <w:pPr>
                    <w:pStyle w:val="62"/>
                    <w:adjustRightInd w:val="0"/>
                    <w:snapToGrid w:val="0"/>
                    <w:rPr>
                      <w:rFonts w:eastAsia="宋体"/>
                    </w:rPr>
                  </w:pPr>
                </w:p>
              </w:tc>
              <w:tc>
                <w:tcPr>
                  <w:tcW w:w="290" w:type="pct"/>
                  <w:vAlign w:val="center"/>
                </w:tcPr>
                <w:p w14:paraId="3AB153F5">
                  <w:pPr>
                    <w:pStyle w:val="62"/>
                    <w:adjustRightInd w:val="0"/>
                    <w:snapToGrid w:val="0"/>
                    <w:rPr>
                      <w:rFonts w:eastAsia="宋体"/>
                    </w:rPr>
                  </w:pPr>
                  <w:r>
                    <w:rPr>
                      <w:rFonts w:eastAsia="宋体"/>
                    </w:rPr>
                    <w:t>X</w:t>
                  </w:r>
                </w:p>
              </w:tc>
              <w:tc>
                <w:tcPr>
                  <w:tcW w:w="266" w:type="pct"/>
                  <w:vAlign w:val="center"/>
                </w:tcPr>
                <w:p w14:paraId="585842C8">
                  <w:pPr>
                    <w:pStyle w:val="62"/>
                    <w:adjustRightInd w:val="0"/>
                    <w:snapToGrid w:val="0"/>
                    <w:rPr>
                      <w:rFonts w:eastAsia="宋体"/>
                    </w:rPr>
                  </w:pPr>
                  <w:r>
                    <w:rPr>
                      <w:rFonts w:eastAsia="宋体"/>
                    </w:rPr>
                    <w:t>Y</w:t>
                  </w:r>
                </w:p>
              </w:tc>
              <w:tc>
                <w:tcPr>
                  <w:tcW w:w="257" w:type="pct"/>
                  <w:vMerge w:val="continue"/>
                  <w:vAlign w:val="center"/>
                </w:tcPr>
                <w:p w14:paraId="770F11FC">
                  <w:pPr>
                    <w:pStyle w:val="62"/>
                    <w:adjustRightInd w:val="0"/>
                    <w:snapToGrid w:val="0"/>
                    <w:rPr>
                      <w:rFonts w:eastAsia="宋体"/>
                    </w:rPr>
                  </w:pPr>
                </w:p>
              </w:tc>
              <w:tc>
                <w:tcPr>
                  <w:tcW w:w="244" w:type="pct"/>
                  <w:vMerge w:val="continue"/>
                  <w:vAlign w:val="center"/>
                </w:tcPr>
                <w:p w14:paraId="671822EF">
                  <w:pPr>
                    <w:pStyle w:val="62"/>
                    <w:adjustRightInd w:val="0"/>
                    <w:snapToGrid w:val="0"/>
                    <w:rPr>
                      <w:rFonts w:eastAsia="宋体"/>
                    </w:rPr>
                  </w:pPr>
                </w:p>
              </w:tc>
              <w:tc>
                <w:tcPr>
                  <w:tcW w:w="315" w:type="pct"/>
                  <w:vMerge w:val="continue"/>
                  <w:vAlign w:val="center"/>
                </w:tcPr>
                <w:p w14:paraId="6A56669B">
                  <w:pPr>
                    <w:pStyle w:val="62"/>
                    <w:adjustRightInd w:val="0"/>
                    <w:snapToGrid w:val="0"/>
                    <w:rPr>
                      <w:rFonts w:eastAsia="宋体"/>
                    </w:rPr>
                  </w:pPr>
                </w:p>
              </w:tc>
              <w:tc>
                <w:tcPr>
                  <w:tcW w:w="307" w:type="pct"/>
                  <w:vMerge w:val="continue"/>
                  <w:vAlign w:val="center"/>
                </w:tcPr>
                <w:p w14:paraId="2473DE68">
                  <w:pPr>
                    <w:pStyle w:val="62"/>
                    <w:adjustRightInd w:val="0"/>
                    <w:snapToGrid w:val="0"/>
                    <w:rPr>
                      <w:rFonts w:eastAsia="宋体"/>
                    </w:rPr>
                  </w:pPr>
                </w:p>
              </w:tc>
              <w:tc>
                <w:tcPr>
                  <w:tcW w:w="299" w:type="pct"/>
                  <w:vMerge w:val="continue"/>
                  <w:vAlign w:val="center"/>
                </w:tcPr>
                <w:p w14:paraId="5E24C1EB">
                  <w:pPr>
                    <w:pStyle w:val="62"/>
                    <w:adjustRightInd w:val="0"/>
                    <w:snapToGrid w:val="0"/>
                    <w:rPr>
                      <w:rFonts w:eastAsia="宋体"/>
                    </w:rPr>
                  </w:pPr>
                </w:p>
              </w:tc>
              <w:tc>
                <w:tcPr>
                  <w:tcW w:w="332" w:type="pct"/>
                  <w:vMerge w:val="continue"/>
                  <w:vAlign w:val="center"/>
                </w:tcPr>
                <w:p w14:paraId="6B3E9870">
                  <w:pPr>
                    <w:pStyle w:val="62"/>
                    <w:adjustRightInd w:val="0"/>
                    <w:snapToGrid w:val="0"/>
                    <w:rPr>
                      <w:rFonts w:eastAsia="宋体"/>
                    </w:rPr>
                  </w:pPr>
                </w:p>
              </w:tc>
              <w:tc>
                <w:tcPr>
                  <w:tcW w:w="383" w:type="pct"/>
                  <w:vAlign w:val="center"/>
                </w:tcPr>
                <w:p w14:paraId="73BFE112">
                  <w:pPr>
                    <w:pStyle w:val="62"/>
                    <w:adjustRightInd w:val="0"/>
                    <w:snapToGrid w:val="0"/>
                    <w:rPr>
                      <w:rFonts w:eastAsia="宋体"/>
                    </w:rPr>
                  </w:pPr>
                  <w:r>
                    <w:rPr>
                      <w:rFonts w:hint="eastAsia" w:eastAsia="宋体"/>
                    </w:rPr>
                    <w:t>粉尘</w:t>
                  </w:r>
                </w:p>
              </w:tc>
              <w:tc>
                <w:tcPr>
                  <w:tcW w:w="549" w:type="pct"/>
                  <w:vAlign w:val="center"/>
                </w:tcPr>
                <w:p w14:paraId="4DE80990">
                  <w:pPr>
                    <w:pStyle w:val="62"/>
                    <w:adjustRightInd w:val="0"/>
                    <w:snapToGrid w:val="0"/>
                    <w:rPr>
                      <w:rFonts w:eastAsia="宋体"/>
                    </w:rPr>
                  </w:pPr>
                  <w:r>
                    <w:rPr>
                      <w:rFonts w:eastAsia="宋体"/>
                    </w:rPr>
                    <w:t>硫化氢</w:t>
                  </w:r>
                </w:p>
              </w:tc>
              <w:tc>
                <w:tcPr>
                  <w:tcW w:w="549" w:type="pct"/>
                  <w:vAlign w:val="center"/>
                </w:tcPr>
                <w:p w14:paraId="2BFA75ED">
                  <w:pPr>
                    <w:pStyle w:val="62"/>
                    <w:adjustRightInd w:val="0"/>
                    <w:snapToGrid w:val="0"/>
                    <w:rPr>
                      <w:rFonts w:eastAsia="宋体"/>
                    </w:rPr>
                  </w:pPr>
                  <w:r>
                    <w:rPr>
                      <w:rFonts w:hint="eastAsia" w:eastAsia="宋体"/>
                    </w:rPr>
                    <w:t>非甲烷总烃</w:t>
                  </w:r>
                </w:p>
              </w:tc>
              <w:tc>
                <w:tcPr>
                  <w:tcW w:w="632" w:type="pct"/>
                  <w:vAlign w:val="center"/>
                </w:tcPr>
                <w:p w14:paraId="4AE486B8">
                  <w:pPr>
                    <w:pStyle w:val="62"/>
                    <w:adjustRightInd w:val="0"/>
                    <w:snapToGrid w:val="0"/>
                    <w:rPr>
                      <w:rFonts w:eastAsia="宋体"/>
                    </w:rPr>
                  </w:pPr>
                  <w:r>
                    <w:rPr>
                      <w:rFonts w:hint="eastAsia" w:eastAsia="宋体"/>
                    </w:rPr>
                    <w:t>氟化物</w:t>
                  </w:r>
                </w:p>
              </w:tc>
            </w:tr>
            <w:tr w14:paraId="73EA21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71196BB7">
                  <w:pPr>
                    <w:adjustRightInd w:val="0"/>
                    <w:snapToGrid w:val="0"/>
                    <w:jc w:val="center"/>
                    <w:rPr>
                      <w:szCs w:val="21"/>
                    </w:rPr>
                  </w:pPr>
                  <w:r>
                    <w:rPr>
                      <w:szCs w:val="21"/>
                    </w:rPr>
                    <w:t>1</w:t>
                  </w:r>
                </w:p>
              </w:tc>
              <w:tc>
                <w:tcPr>
                  <w:tcW w:w="347" w:type="pct"/>
                  <w:vAlign w:val="center"/>
                </w:tcPr>
                <w:p w14:paraId="2849509F">
                  <w:pPr>
                    <w:pStyle w:val="47"/>
                    <w:adjustRightInd w:val="0"/>
                    <w:snapToGrid w:val="0"/>
                    <w:rPr>
                      <w:rFonts w:eastAsia="宋体"/>
                    </w:rPr>
                  </w:pPr>
                  <w:r>
                    <w:rPr>
                      <w:rFonts w:hint="eastAsia" w:eastAsia="宋体"/>
                    </w:rPr>
                    <w:t>3#车间</w:t>
                  </w:r>
                </w:p>
              </w:tc>
              <w:tc>
                <w:tcPr>
                  <w:tcW w:w="290" w:type="pct"/>
                  <w:vAlign w:val="center"/>
                </w:tcPr>
                <w:p w14:paraId="28DB23EC">
                  <w:pPr>
                    <w:pStyle w:val="62"/>
                    <w:adjustRightInd w:val="0"/>
                    <w:snapToGrid w:val="0"/>
                    <w:rPr>
                      <w:rFonts w:eastAsia="宋体"/>
                      <w:b w:val="0"/>
                      <w:bCs/>
                    </w:rPr>
                  </w:pPr>
                  <w:r>
                    <w:rPr>
                      <w:rFonts w:hint="eastAsia" w:eastAsia="宋体"/>
                      <w:b w:val="0"/>
                      <w:bCs/>
                    </w:rPr>
                    <w:t>109</w:t>
                  </w:r>
                </w:p>
              </w:tc>
              <w:tc>
                <w:tcPr>
                  <w:tcW w:w="266" w:type="pct"/>
                  <w:vAlign w:val="center"/>
                </w:tcPr>
                <w:p w14:paraId="6ABE2FDB">
                  <w:pPr>
                    <w:pStyle w:val="62"/>
                    <w:adjustRightInd w:val="0"/>
                    <w:snapToGrid w:val="0"/>
                    <w:rPr>
                      <w:rFonts w:eastAsia="宋体"/>
                      <w:b w:val="0"/>
                      <w:bCs/>
                    </w:rPr>
                  </w:pPr>
                  <w:r>
                    <w:rPr>
                      <w:rFonts w:hint="eastAsia" w:eastAsia="宋体"/>
                      <w:b w:val="0"/>
                      <w:bCs/>
                    </w:rPr>
                    <w:t>191</w:t>
                  </w:r>
                </w:p>
              </w:tc>
              <w:tc>
                <w:tcPr>
                  <w:tcW w:w="257" w:type="pct"/>
                  <w:vAlign w:val="center"/>
                </w:tcPr>
                <w:p w14:paraId="6CADC28B">
                  <w:pPr>
                    <w:pStyle w:val="47"/>
                    <w:adjustRightInd w:val="0"/>
                    <w:snapToGrid w:val="0"/>
                    <w:rPr>
                      <w:rFonts w:eastAsia="宋体"/>
                    </w:rPr>
                  </w:pPr>
                  <w:r>
                    <w:rPr>
                      <w:rFonts w:hint="eastAsia" w:eastAsia="宋体"/>
                    </w:rPr>
                    <w:t>97</w:t>
                  </w:r>
                </w:p>
              </w:tc>
              <w:tc>
                <w:tcPr>
                  <w:tcW w:w="244" w:type="pct"/>
                  <w:vAlign w:val="center"/>
                </w:tcPr>
                <w:p w14:paraId="387BB087">
                  <w:pPr>
                    <w:pStyle w:val="47"/>
                    <w:adjustRightInd w:val="0"/>
                    <w:snapToGrid w:val="0"/>
                    <w:rPr>
                      <w:rFonts w:eastAsia="宋体"/>
                    </w:rPr>
                  </w:pPr>
                  <w:r>
                    <w:rPr>
                      <w:rFonts w:hint="eastAsia" w:eastAsia="宋体"/>
                    </w:rPr>
                    <w:t>70</w:t>
                  </w:r>
                </w:p>
              </w:tc>
              <w:tc>
                <w:tcPr>
                  <w:tcW w:w="315" w:type="pct"/>
                  <w:vAlign w:val="center"/>
                </w:tcPr>
                <w:p w14:paraId="7C1102D6">
                  <w:pPr>
                    <w:pStyle w:val="47"/>
                    <w:adjustRightInd w:val="0"/>
                    <w:snapToGrid w:val="0"/>
                    <w:rPr>
                      <w:rFonts w:eastAsia="宋体"/>
                    </w:rPr>
                  </w:pPr>
                  <w:r>
                    <w:rPr>
                      <w:rFonts w:hint="eastAsia" w:eastAsia="宋体"/>
                    </w:rPr>
                    <w:t>0</w:t>
                  </w:r>
                </w:p>
              </w:tc>
              <w:tc>
                <w:tcPr>
                  <w:tcW w:w="307" w:type="pct"/>
                  <w:vAlign w:val="center"/>
                </w:tcPr>
                <w:p w14:paraId="20621805">
                  <w:pPr>
                    <w:pStyle w:val="62"/>
                    <w:adjustRightInd w:val="0"/>
                    <w:snapToGrid w:val="0"/>
                    <w:rPr>
                      <w:rFonts w:eastAsia="宋体"/>
                      <w:b w:val="0"/>
                      <w:bCs/>
                    </w:rPr>
                  </w:pPr>
                  <w:r>
                    <w:rPr>
                      <w:rFonts w:hint="eastAsia" w:eastAsia="宋体"/>
                      <w:b w:val="0"/>
                      <w:bCs/>
                    </w:rPr>
                    <w:t>11.95</w:t>
                  </w:r>
                </w:p>
              </w:tc>
              <w:tc>
                <w:tcPr>
                  <w:tcW w:w="299" w:type="pct"/>
                  <w:vAlign w:val="center"/>
                </w:tcPr>
                <w:p w14:paraId="066EE644">
                  <w:pPr>
                    <w:pStyle w:val="62"/>
                    <w:adjustRightInd w:val="0"/>
                    <w:snapToGrid w:val="0"/>
                    <w:rPr>
                      <w:rFonts w:eastAsia="宋体"/>
                      <w:b w:val="0"/>
                      <w:bCs/>
                    </w:rPr>
                  </w:pPr>
                  <w:r>
                    <w:rPr>
                      <w:rFonts w:hint="eastAsia" w:eastAsia="宋体"/>
                      <w:b w:val="0"/>
                      <w:bCs/>
                    </w:rPr>
                    <w:t>7200</w:t>
                  </w:r>
                </w:p>
              </w:tc>
              <w:tc>
                <w:tcPr>
                  <w:tcW w:w="332" w:type="pct"/>
                  <w:vAlign w:val="center"/>
                </w:tcPr>
                <w:p w14:paraId="0A90E13E">
                  <w:pPr>
                    <w:adjustRightInd w:val="0"/>
                    <w:snapToGrid w:val="0"/>
                    <w:jc w:val="center"/>
                    <w:rPr>
                      <w:bCs/>
                    </w:rPr>
                  </w:pPr>
                  <w:r>
                    <w:rPr>
                      <w:rFonts w:hint="eastAsia"/>
                      <w:kern w:val="18"/>
                      <w:szCs w:val="21"/>
                    </w:rPr>
                    <w:t>间歇</w:t>
                  </w:r>
                </w:p>
              </w:tc>
              <w:tc>
                <w:tcPr>
                  <w:tcW w:w="383" w:type="pct"/>
                  <w:vAlign w:val="center"/>
                </w:tcPr>
                <w:p w14:paraId="4314A8C4">
                  <w:pPr>
                    <w:pStyle w:val="47"/>
                    <w:adjustRightInd w:val="0"/>
                    <w:snapToGrid w:val="0"/>
                    <w:rPr>
                      <w:rFonts w:eastAsia="宋体"/>
                      <w:bCs/>
                    </w:rPr>
                  </w:pPr>
                  <w:r>
                    <w:rPr>
                      <w:rFonts w:hint="eastAsia" w:eastAsia="宋体"/>
                      <w:bCs/>
                    </w:rPr>
                    <w:t>0.0172</w:t>
                  </w:r>
                </w:p>
              </w:tc>
              <w:tc>
                <w:tcPr>
                  <w:tcW w:w="549" w:type="pct"/>
                  <w:vAlign w:val="center"/>
                </w:tcPr>
                <w:p w14:paraId="76BBF277">
                  <w:pPr>
                    <w:pStyle w:val="47"/>
                    <w:adjustRightInd w:val="0"/>
                    <w:snapToGrid w:val="0"/>
                    <w:rPr>
                      <w:rFonts w:eastAsia="宋体"/>
                      <w:bCs/>
                    </w:rPr>
                  </w:pPr>
                  <w:r>
                    <w:rPr>
                      <w:rFonts w:hint="eastAsia" w:eastAsia="宋体"/>
                      <w:bCs/>
                    </w:rPr>
                    <w:t>0.0019</w:t>
                  </w:r>
                </w:p>
              </w:tc>
              <w:tc>
                <w:tcPr>
                  <w:tcW w:w="549" w:type="pct"/>
                  <w:vAlign w:val="center"/>
                </w:tcPr>
                <w:p w14:paraId="46990870">
                  <w:pPr>
                    <w:pStyle w:val="47"/>
                    <w:adjustRightInd w:val="0"/>
                    <w:snapToGrid w:val="0"/>
                    <w:rPr>
                      <w:rFonts w:eastAsia="宋体"/>
                      <w:bCs/>
                    </w:rPr>
                  </w:pPr>
                  <w:r>
                    <w:rPr>
                      <w:rFonts w:hint="eastAsia" w:eastAsia="宋体"/>
                      <w:bCs/>
                    </w:rPr>
                    <w:t>0.0199</w:t>
                  </w:r>
                </w:p>
              </w:tc>
              <w:tc>
                <w:tcPr>
                  <w:tcW w:w="632" w:type="pct"/>
                  <w:vAlign w:val="center"/>
                </w:tcPr>
                <w:p w14:paraId="2626332C">
                  <w:pPr>
                    <w:pStyle w:val="47"/>
                    <w:adjustRightInd w:val="0"/>
                    <w:snapToGrid w:val="0"/>
                    <w:rPr>
                      <w:rFonts w:eastAsia="宋体"/>
                      <w:bCs/>
                    </w:rPr>
                  </w:pPr>
                  <w:r>
                    <w:rPr>
                      <w:rFonts w:hint="eastAsia" w:eastAsia="宋体"/>
                      <w:bCs/>
                    </w:rPr>
                    <w:t>/</w:t>
                  </w:r>
                </w:p>
              </w:tc>
            </w:tr>
            <w:tr w14:paraId="65356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3BC82A37">
                  <w:pPr>
                    <w:adjustRightInd w:val="0"/>
                    <w:snapToGrid w:val="0"/>
                    <w:jc w:val="center"/>
                    <w:rPr>
                      <w:szCs w:val="21"/>
                    </w:rPr>
                  </w:pPr>
                  <w:r>
                    <w:rPr>
                      <w:szCs w:val="21"/>
                    </w:rPr>
                    <w:t>2</w:t>
                  </w:r>
                </w:p>
              </w:tc>
              <w:tc>
                <w:tcPr>
                  <w:tcW w:w="347" w:type="pct"/>
                  <w:vAlign w:val="center"/>
                </w:tcPr>
                <w:p w14:paraId="6D4E7790">
                  <w:pPr>
                    <w:pStyle w:val="47"/>
                    <w:adjustRightInd w:val="0"/>
                    <w:snapToGrid w:val="0"/>
                  </w:pPr>
                  <w:r>
                    <w:rPr>
                      <w:rFonts w:hint="eastAsia" w:eastAsia="宋体"/>
                    </w:rPr>
                    <w:t>1#车间</w:t>
                  </w:r>
                </w:p>
              </w:tc>
              <w:tc>
                <w:tcPr>
                  <w:tcW w:w="290" w:type="pct"/>
                  <w:vAlign w:val="center"/>
                </w:tcPr>
                <w:p w14:paraId="50F6DA94">
                  <w:pPr>
                    <w:pStyle w:val="5"/>
                    <w:adjustRightInd w:val="0"/>
                    <w:snapToGrid w:val="0"/>
                    <w:ind w:firstLine="0" w:firstLineChars="0"/>
                    <w:jc w:val="center"/>
                    <w:rPr>
                      <w:szCs w:val="21"/>
                    </w:rPr>
                  </w:pPr>
                  <w:r>
                    <w:rPr>
                      <w:rFonts w:hint="eastAsia"/>
                      <w:szCs w:val="21"/>
                    </w:rPr>
                    <w:t>22</w:t>
                  </w:r>
                </w:p>
              </w:tc>
              <w:tc>
                <w:tcPr>
                  <w:tcW w:w="266" w:type="pct"/>
                  <w:vAlign w:val="center"/>
                </w:tcPr>
                <w:p w14:paraId="20EF27CD">
                  <w:pPr>
                    <w:adjustRightInd w:val="0"/>
                    <w:snapToGrid w:val="0"/>
                    <w:jc w:val="center"/>
                    <w:rPr>
                      <w:kern w:val="18"/>
                      <w:szCs w:val="21"/>
                    </w:rPr>
                  </w:pPr>
                  <w:r>
                    <w:rPr>
                      <w:rFonts w:hint="eastAsia"/>
                      <w:kern w:val="18"/>
                      <w:szCs w:val="21"/>
                    </w:rPr>
                    <w:t>187</w:t>
                  </w:r>
                </w:p>
              </w:tc>
              <w:tc>
                <w:tcPr>
                  <w:tcW w:w="257" w:type="pct"/>
                  <w:vAlign w:val="center"/>
                </w:tcPr>
                <w:p w14:paraId="4EA5CAA2">
                  <w:pPr>
                    <w:pStyle w:val="47"/>
                    <w:adjustRightInd w:val="0"/>
                    <w:snapToGrid w:val="0"/>
                    <w:rPr>
                      <w:rFonts w:eastAsia="宋体"/>
                    </w:rPr>
                  </w:pPr>
                  <w:r>
                    <w:rPr>
                      <w:rFonts w:hint="eastAsia" w:eastAsia="宋体"/>
                    </w:rPr>
                    <w:t>97</w:t>
                  </w:r>
                </w:p>
              </w:tc>
              <w:tc>
                <w:tcPr>
                  <w:tcW w:w="244" w:type="pct"/>
                  <w:vAlign w:val="center"/>
                </w:tcPr>
                <w:p w14:paraId="3763243F">
                  <w:pPr>
                    <w:pStyle w:val="47"/>
                    <w:adjustRightInd w:val="0"/>
                    <w:snapToGrid w:val="0"/>
                    <w:rPr>
                      <w:rFonts w:eastAsia="宋体"/>
                    </w:rPr>
                  </w:pPr>
                  <w:r>
                    <w:rPr>
                      <w:rFonts w:hint="eastAsia" w:eastAsia="宋体"/>
                    </w:rPr>
                    <w:t>70</w:t>
                  </w:r>
                </w:p>
              </w:tc>
              <w:tc>
                <w:tcPr>
                  <w:tcW w:w="315" w:type="pct"/>
                  <w:vAlign w:val="center"/>
                </w:tcPr>
                <w:p w14:paraId="7122EA18">
                  <w:pPr>
                    <w:pStyle w:val="47"/>
                    <w:adjustRightInd w:val="0"/>
                    <w:snapToGrid w:val="0"/>
                    <w:rPr>
                      <w:rFonts w:eastAsia="宋体"/>
                    </w:rPr>
                  </w:pPr>
                  <w:r>
                    <w:rPr>
                      <w:rFonts w:hint="eastAsia" w:eastAsia="宋体"/>
                    </w:rPr>
                    <w:t>0</w:t>
                  </w:r>
                </w:p>
              </w:tc>
              <w:tc>
                <w:tcPr>
                  <w:tcW w:w="307" w:type="pct"/>
                  <w:vAlign w:val="center"/>
                </w:tcPr>
                <w:p w14:paraId="67F46F8C">
                  <w:pPr>
                    <w:adjustRightInd w:val="0"/>
                    <w:snapToGrid w:val="0"/>
                    <w:jc w:val="center"/>
                    <w:rPr>
                      <w:kern w:val="18"/>
                      <w:szCs w:val="21"/>
                    </w:rPr>
                  </w:pPr>
                  <w:r>
                    <w:rPr>
                      <w:rFonts w:hint="eastAsia"/>
                      <w:kern w:val="18"/>
                      <w:szCs w:val="21"/>
                    </w:rPr>
                    <w:t>11.95</w:t>
                  </w:r>
                </w:p>
              </w:tc>
              <w:tc>
                <w:tcPr>
                  <w:tcW w:w="299" w:type="pct"/>
                  <w:vAlign w:val="center"/>
                </w:tcPr>
                <w:p w14:paraId="7DEA0D4C">
                  <w:pPr>
                    <w:adjustRightInd w:val="0"/>
                    <w:snapToGrid w:val="0"/>
                    <w:jc w:val="center"/>
                    <w:rPr>
                      <w:kern w:val="18"/>
                      <w:szCs w:val="21"/>
                    </w:rPr>
                  </w:pPr>
                  <w:r>
                    <w:rPr>
                      <w:rFonts w:hint="eastAsia"/>
                      <w:kern w:val="18"/>
                      <w:szCs w:val="21"/>
                    </w:rPr>
                    <w:t>7200</w:t>
                  </w:r>
                </w:p>
              </w:tc>
              <w:tc>
                <w:tcPr>
                  <w:tcW w:w="332" w:type="pct"/>
                  <w:vAlign w:val="center"/>
                </w:tcPr>
                <w:p w14:paraId="2E90F3FF">
                  <w:pPr>
                    <w:adjustRightInd w:val="0"/>
                    <w:snapToGrid w:val="0"/>
                    <w:jc w:val="center"/>
                    <w:rPr>
                      <w:kern w:val="18"/>
                      <w:szCs w:val="21"/>
                    </w:rPr>
                  </w:pPr>
                  <w:r>
                    <w:rPr>
                      <w:rFonts w:hint="eastAsia"/>
                      <w:kern w:val="18"/>
                      <w:szCs w:val="21"/>
                    </w:rPr>
                    <w:t>间歇</w:t>
                  </w:r>
                </w:p>
              </w:tc>
              <w:tc>
                <w:tcPr>
                  <w:tcW w:w="383" w:type="pct"/>
                  <w:vAlign w:val="center"/>
                </w:tcPr>
                <w:p w14:paraId="2A0B2224">
                  <w:pPr>
                    <w:pStyle w:val="47"/>
                    <w:adjustRightInd w:val="0"/>
                    <w:snapToGrid w:val="0"/>
                    <w:rPr>
                      <w:rFonts w:eastAsia="宋体"/>
                    </w:rPr>
                  </w:pPr>
                  <w:r>
                    <w:rPr>
                      <w:rFonts w:hint="eastAsia" w:eastAsia="宋体"/>
                    </w:rPr>
                    <w:t>/</w:t>
                  </w:r>
                </w:p>
              </w:tc>
              <w:tc>
                <w:tcPr>
                  <w:tcW w:w="549" w:type="pct"/>
                  <w:vAlign w:val="center"/>
                </w:tcPr>
                <w:p w14:paraId="22C026CE">
                  <w:pPr>
                    <w:pStyle w:val="47"/>
                    <w:adjustRightInd w:val="0"/>
                    <w:snapToGrid w:val="0"/>
                    <w:rPr>
                      <w:rFonts w:eastAsia="宋体"/>
                    </w:rPr>
                  </w:pPr>
                  <w:r>
                    <w:rPr>
                      <w:rFonts w:hint="eastAsia" w:eastAsia="宋体"/>
                    </w:rPr>
                    <w:t>0.0024</w:t>
                  </w:r>
                </w:p>
              </w:tc>
              <w:tc>
                <w:tcPr>
                  <w:tcW w:w="549" w:type="pct"/>
                  <w:vAlign w:val="center"/>
                </w:tcPr>
                <w:p w14:paraId="1EF85D52">
                  <w:pPr>
                    <w:pStyle w:val="47"/>
                    <w:adjustRightInd w:val="0"/>
                    <w:snapToGrid w:val="0"/>
                    <w:rPr>
                      <w:rFonts w:eastAsia="宋体"/>
                    </w:rPr>
                  </w:pPr>
                  <w:r>
                    <w:rPr>
                      <w:rFonts w:hint="eastAsia" w:eastAsia="宋体"/>
                    </w:rPr>
                    <w:t>0.0085</w:t>
                  </w:r>
                </w:p>
              </w:tc>
              <w:tc>
                <w:tcPr>
                  <w:tcW w:w="632" w:type="pct"/>
                  <w:vAlign w:val="center"/>
                </w:tcPr>
                <w:p w14:paraId="465ADFBE">
                  <w:pPr>
                    <w:pStyle w:val="47"/>
                    <w:adjustRightInd w:val="0"/>
                    <w:snapToGrid w:val="0"/>
                    <w:rPr>
                      <w:rFonts w:eastAsia="宋体"/>
                    </w:rPr>
                  </w:pPr>
                  <w:r>
                    <w:rPr>
                      <w:rFonts w:hint="eastAsia" w:eastAsia="宋体"/>
                    </w:rPr>
                    <w:t>0.000015</w:t>
                  </w:r>
                </w:p>
              </w:tc>
            </w:tr>
            <w:tr w14:paraId="190403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230" w:type="pct"/>
                  <w:vAlign w:val="center"/>
                </w:tcPr>
                <w:p w14:paraId="2A7A4978">
                  <w:pPr>
                    <w:adjustRightInd w:val="0"/>
                    <w:snapToGrid w:val="0"/>
                    <w:jc w:val="center"/>
                    <w:rPr>
                      <w:szCs w:val="21"/>
                    </w:rPr>
                  </w:pPr>
                  <w:r>
                    <w:rPr>
                      <w:rFonts w:hint="eastAsia"/>
                      <w:szCs w:val="21"/>
                    </w:rPr>
                    <w:t>3</w:t>
                  </w:r>
                </w:p>
              </w:tc>
              <w:tc>
                <w:tcPr>
                  <w:tcW w:w="347" w:type="pct"/>
                  <w:vAlign w:val="center"/>
                </w:tcPr>
                <w:p w14:paraId="502A7FF9">
                  <w:pPr>
                    <w:pStyle w:val="47"/>
                    <w:adjustRightInd w:val="0"/>
                    <w:snapToGrid w:val="0"/>
                    <w:rPr>
                      <w:kern w:val="18"/>
                    </w:rPr>
                  </w:pPr>
                  <w:r>
                    <w:rPr>
                      <w:rFonts w:hint="eastAsia" w:eastAsia="宋体"/>
                    </w:rPr>
                    <w:t>4#车间</w:t>
                  </w:r>
                </w:p>
              </w:tc>
              <w:tc>
                <w:tcPr>
                  <w:tcW w:w="290" w:type="pct"/>
                  <w:vAlign w:val="center"/>
                </w:tcPr>
                <w:p w14:paraId="41227EDE">
                  <w:pPr>
                    <w:pStyle w:val="62"/>
                    <w:adjustRightInd w:val="0"/>
                    <w:snapToGrid w:val="0"/>
                    <w:rPr>
                      <w:rFonts w:eastAsia="宋体"/>
                    </w:rPr>
                  </w:pPr>
                  <w:r>
                    <w:rPr>
                      <w:rFonts w:hint="eastAsia" w:eastAsia="宋体"/>
                      <w:b w:val="0"/>
                      <w:bCs/>
                    </w:rPr>
                    <w:t>113</w:t>
                  </w:r>
                </w:p>
              </w:tc>
              <w:tc>
                <w:tcPr>
                  <w:tcW w:w="266" w:type="pct"/>
                  <w:vAlign w:val="center"/>
                </w:tcPr>
                <w:p w14:paraId="475FD9D2">
                  <w:pPr>
                    <w:pStyle w:val="62"/>
                    <w:adjustRightInd w:val="0"/>
                    <w:snapToGrid w:val="0"/>
                    <w:rPr>
                      <w:rFonts w:eastAsia="宋体"/>
                      <w:kern w:val="18"/>
                    </w:rPr>
                  </w:pPr>
                  <w:r>
                    <w:rPr>
                      <w:rFonts w:hint="eastAsia" w:eastAsia="宋体"/>
                      <w:b w:val="0"/>
                      <w:bCs/>
                    </w:rPr>
                    <w:t>85</w:t>
                  </w:r>
                </w:p>
              </w:tc>
              <w:tc>
                <w:tcPr>
                  <w:tcW w:w="257" w:type="pct"/>
                  <w:vAlign w:val="center"/>
                </w:tcPr>
                <w:p w14:paraId="1656E0E3">
                  <w:pPr>
                    <w:pStyle w:val="47"/>
                    <w:adjustRightInd w:val="0"/>
                    <w:snapToGrid w:val="0"/>
                    <w:rPr>
                      <w:rFonts w:eastAsia="宋体"/>
                    </w:rPr>
                  </w:pPr>
                  <w:r>
                    <w:rPr>
                      <w:rFonts w:hint="eastAsia" w:eastAsia="宋体"/>
                    </w:rPr>
                    <w:t>97</w:t>
                  </w:r>
                </w:p>
              </w:tc>
              <w:tc>
                <w:tcPr>
                  <w:tcW w:w="244" w:type="pct"/>
                  <w:vAlign w:val="center"/>
                </w:tcPr>
                <w:p w14:paraId="789DB219">
                  <w:pPr>
                    <w:pStyle w:val="47"/>
                    <w:adjustRightInd w:val="0"/>
                    <w:snapToGrid w:val="0"/>
                    <w:rPr>
                      <w:rFonts w:eastAsia="宋体"/>
                    </w:rPr>
                  </w:pPr>
                  <w:r>
                    <w:rPr>
                      <w:rFonts w:hint="eastAsia" w:eastAsia="宋体"/>
                    </w:rPr>
                    <w:t>70</w:t>
                  </w:r>
                </w:p>
              </w:tc>
              <w:tc>
                <w:tcPr>
                  <w:tcW w:w="315" w:type="pct"/>
                  <w:vAlign w:val="center"/>
                </w:tcPr>
                <w:p w14:paraId="67DBF77C">
                  <w:pPr>
                    <w:pStyle w:val="47"/>
                    <w:adjustRightInd w:val="0"/>
                    <w:snapToGrid w:val="0"/>
                    <w:rPr>
                      <w:rFonts w:eastAsia="宋体"/>
                    </w:rPr>
                  </w:pPr>
                  <w:r>
                    <w:rPr>
                      <w:rFonts w:hint="eastAsia" w:eastAsia="宋体"/>
                    </w:rPr>
                    <w:t>0</w:t>
                  </w:r>
                </w:p>
              </w:tc>
              <w:tc>
                <w:tcPr>
                  <w:tcW w:w="307" w:type="pct"/>
                  <w:vAlign w:val="center"/>
                </w:tcPr>
                <w:p w14:paraId="1411AA40">
                  <w:pPr>
                    <w:adjustRightInd w:val="0"/>
                    <w:snapToGrid w:val="0"/>
                    <w:jc w:val="center"/>
                    <w:rPr>
                      <w:kern w:val="18"/>
                      <w:szCs w:val="21"/>
                    </w:rPr>
                  </w:pPr>
                  <w:r>
                    <w:rPr>
                      <w:rFonts w:hint="eastAsia"/>
                      <w:kern w:val="18"/>
                      <w:szCs w:val="21"/>
                    </w:rPr>
                    <w:t>11.95</w:t>
                  </w:r>
                </w:p>
              </w:tc>
              <w:tc>
                <w:tcPr>
                  <w:tcW w:w="299" w:type="pct"/>
                  <w:vAlign w:val="center"/>
                </w:tcPr>
                <w:p w14:paraId="250B1559">
                  <w:pPr>
                    <w:adjustRightInd w:val="0"/>
                    <w:snapToGrid w:val="0"/>
                    <w:jc w:val="center"/>
                    <w:rPr>
                      <w:kern w:val="18"/>
                      <w:szCs w:val="21"/>
                    </w:rPr>
                  </w:pPr>
                  <w:r>
                    <w:rPr>
                      <w:rFonts w:hint="eastAsia"/>
                      <w:kern w:val="18"/>
                      <w:szCs w:val="21"/>
                    </w:rPr>
                    <w:t>4800</w:t>
                  </w:r>
                </w:p>
              </w:tc>
              <w:tc>
                <w:tcPr>
                  <w:tcW w:w="332" w:type="pct"/>
                  <w:vAlign w:val="center"/>
                </w:tcPr>
                <w:p w14:paraId="7651DC37">
                  <w:pPr>
                    <w:adjustRightInd w:val="0"/>
                    <w:snapToGrid w:val="0"/>
                    <w:jc w:val="center"/>
                    <w:rPr>
                      <w:kern w:val="18"/>
                      <w:szCs w:val="21"/>
                    </w:rPr>
                  </w:pPr>
                  <w:r>
                    <w:rPr>
                      <w:rFonts w:hint="eastAsia"/>
                      <w:kern w:val="18"/>
                      <w:szCs w:val="21"/>
                    </w:rPr>
                    <w:t>间歇</w:t>
                  </w:r>
                </w:p>
              </w:tc>
              <w:tc>
                <w:tcPr>
                  <w:tcW w:w="383" w:type="pct"/>
                  <w:vAlign w:val="center"/>
                </w:tcPr>
                <w:p w14:paraId="115CD4EC">
                  <w:pPr>
                    <w:pStyle w:val="47"/>
                    <w:adjustRightInd w:val="0"/>
                    <w:snapToGrid w:val="0"/>
                    <w:rPr>
                      <w:rFonts w:eastAsia="宋体"/>
                    </w:rPr>
                  </w:pPr>
                  <w:r>
                    <w:rPr>
                      <w:rFonts w:hint="eastAsia" w:eastAsia="宋体"/>
                    </w:rPr>
                    <w:t>/</w:t>
                  </w:r>
                </w:p>
              </w:tc>
              <w:tc>
                <w:tcPr>
                  <w:tcW w:w="549" w:type="pct"/>
                  <w:vAlign w:val="center"/>
                </w:tcPr>
                <w:p w14:paraId="7A9DB9DC">
                  <w:pPr>
                    <w:pStyle w:val="47"/>
                    <w:adjustRightInd w:val="0"/>
                    <w:snapToGrid w:val="0"/>
                    <w:rPr>
                      <w:rFonts w:eastAsia="宋体"/>
                    </w:rPr>
                  </w:pPr>
                  <w:r>
                    <w:rPr>
                      <w:rFonts w:hint="eastAsia" w:eastAsia="宋体"/>
                    </w:rPr>
                    <w:t>0.0024</w:t>
                  </w:r>
                </w:p>
              </w:tc>
              <w:tc>
                <w:tcPr>
                  <w:tcW w:w="549" w:type="pct"/>
                  <w:vAlign w:val="center"/>
                </w:tcPr>
                <w:p w14:paraId="63D1B3DD">
                  <w:pPr>
                    <w:pStyle w:val="47"/>
                    <w:adjustRightInd w:val="0"/>
                    <w:snapToGrid w:val="0"/>
                    <w:rPr>
                      <w:rFonts w:eastAsia="宋体"/>
                    </w:rPr>
                  </w:pPr>
                  <w:r>
                    <w:rPr>
                      <w:rFonts w:hint="eastAsia" w:eastAsia="宋体"/>
                    </w:rPr>
                    <w:t>0.0085</w:t>
                  </w:r>
                </w:p>
              </w:tc>
              <w:tc>
                <w:tcPr>
                  <w:tcW w:w="632" w:type="pct"/>
                  <w:vAlign w:val="center"/>
                </w:tcPr>
                <w:p w14:paraId="0713D92C">
                  <w:pPr>
                    <w:pStyle w:val="47"/>
                    <w:adjustRightInd w:val="0"/>
                    <w:snapToGrid w:val="0"/>
                    <w:rPr>
                      <w:rFonts w:eastAsia="宋体"/>
                    </w:rPr>
                  </w:pPr>
                  <w:r>
                    <w:rPr>
                      <w:rFonts w:hint="eastAsia" w:eastAsia="宋体"/>
                    </w:rPr>
                    <w:t>0.000015</w:t>
                  </w:r>
                </w:p>
              </w:tc>
            </w:tr>
            <w:tr w14:paraId="670E13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000" w:type="pct"/>
                  <w:gridSpan w:val="14"/>
                  <w:vAlign w:val="center"/>
                </w:tcPr>
                <w:p w14:paraId="615A49C4">
                  <w:pPr>
                    <w:pStyle w:val="47"/>
                    <w:adjustRightInd w:val="0"/>
                    <w:snapToGrid w:val="0"/>
                    <w:jc w:val="left"/>
                    <w:rPr>
                      <w:rFonts w:eastAsia="宋体"/>
                      <w:spacing w:val="-2"/>
                      <w:kern w:val="28"/>
                    </w:rPr>
                  </w:pPr>
                  <w:r>
                    <w:rPr>
                      <w:rFonts w:eastAsia="宋体"/>
                      <w:kern w:val="18"/>
                    </w:rPr>
                    <w:t>以厂区西南角为坐标原点（0，0）</w:t>
                  </w:r>
                </w:p>
              </w:tc>
            </w:tr>
          </w:tbl>
          <w:p w14:paraId="660A6C53">
            <w:pPr>
              <w:pStyle w:val="5"/>
              <w:adjustRightInd w:val="0"/>
              <w:snapToGrid w:val="0"/>
              <w:spacing w:beforeLines="50" w:line="360" w:lineRule="auto"/>
              <w:ind w:firstLine="422"/>
              <w:rPr>
                <w:b/>
                <w:bCs/>
                <w:szCs w:val="21"/>
              </w:rPr>
            </w:pPr>
            <w:r>
              <w:rPr>
                <w:b/>
                <w:bCs/>
                <w:szCs w:val="21"/>
              </w:rPr>
              <w:t>（4）污染治理措施可行性分析</w:t>
            </w:r>
          </w:p>
          <w:p w14:paraId="5C315A8D">
            <w:pPr>
              <w:pStyle w:val="5"/>
              <w:adjustRightInd w:val="0"/>
              <w:snapToGrid w:val="0"/>
              <w:spacing w:line="360" w:lineRule="auto"/>
              <w:ind w:firstLine="422"/>
              <w:rPr>
                <w:b/>
                <w:bCs/>
                <w:szCs w:val="21"/>
              </w:rPr>
            </w:pPr>
            <w:r>
              <w:rPr>
                <w:b/>
                <w:bCs/>
                <w:szCs w:val="21"/>
              </w:rPr>
              <w:t>①技术可行性</w:t>
            </w:r>
          </w:p>
          <w:p w14:paraId="25E4218B">
            <w:pPr>
              <w:pStyle w:val="5"/>
              <w:adjustRightInd w:val="0"/>
              <w:snapToGrid w:val="0"/>
              <w:spacing w:line="360" w:lineRule="auto"/>
              <w:ind w:firstLine="420"/>
              <w:rPr>
                <w:szCs w:val="21"/>
              </w:rPr>
            </w:pPr>
            <w:r>
              <w:rPr>
                <w:szCs w:val="21"/>
              </w:rPr>
              <w:t>本次扩建项</w:t>
            </w:r>
            <w:r>
              <w:rPr>
                <w:rFonts w:hint="eastAsia"/>
                <w:szCs w:val="21"/>
              </w:rPr>
              <w:t>目配料、</w:t>
            </w:r>
            <w:r>
              <w:rPr>
                <w:szCs w:val="21"/>
              </w:rPr>
              <w:t>混炼胶、</w:t>
            </w:r>
            <w:r>
              <w:rPr>
                <w:rFonts w:hint="eastAsia"/>
                <w:szCs w:val="21"/>
              </w:rPr>
              <w:t>返</w:t>
            </w:r>
            <w:r>
              <w:rPr>
                <w:szCs w:val="21"/>
              </w:rPr>
              <w:t>炼、挤出工序产生的</w:t>
            </w:r>
            <w:r>
              <w:rPr>
                <w:rFonts w:hint="eastAsia"/>
                <w:szCs w:val="21"/>
              </w:rPr>
              <w:t>颗粒物、</w:t>
            </w:r>
            <w:r>
              <w:rPr>
                <w:szCs w:val="21"/>
              </w:rPr>
              <w:t>非甲烷总烃、硫化氢、臭气浓度经收集后</w:t>
            </w:r>
            <w:r>
              <w:rPr>
                <w:rFonts w:hint="eastAsia"/>
                <w:szCs w:val="21"/>
              </w:rPr>
              <w:t>一并</w:t>
            </w:r>
            <w:r>
              <w:rPr>
                <w:szCs w:val="21"/>
              </w:rPr>
              <w:t>进入</w:t>
            </w:r>
            <w:r>
              <w:rPr>
                <w:rFonts w:hint="eastAsia"/>
                <w:szCs w:val="21"/>
              </w:rPr>
              <w:t>布袋除尘器+</w:t>
            </w:r>
            <w:r>
              <w:rPr>
                <w:szCs w:val="21"/>
              </w:rPr>
              <w:t>二级活性炭吸附装置处理；硫化、二次硫化工序产生的非甲烷总烃、硫化氢、</w:t>
            </w:r>
            <w:r>
              <w:rPr>
                <w:rFonts w:hint="eastAsia"/>
                <w:szCs w:val="21"/>
              </w:rPr>
              <w:t>氟化物</w:t>
            </w:r>
            <w:r>
              <w:rPr>
                <w:szCs w:val="21"/>
              </w:rPr>
              <w:t>、臭气浓度经收集后一并进入碱液喷淋塔+除雾装置+二级活性炭吸附装置处理；喷砂</w:t>
            </w:r>
            <w:r>
              <w:rPr>
                <w:rFonts w:hint="eastAsia"/>
                <w:szCs w:val="21"/>
              </w:rPr>
              <w:t>/抛丸</w:t>
            </w:r>
            <w:r>
              <w:rPr>
                <w:szCs w:val="21"/>
              </w:rPr>
              <w:t>工序产生的颗粒物经设备自带</w:t>
            </w:r>
            <w:r>
              <w:rPr>
                <w:rFonts w:hint="eastAsia"/>
                <w:szCs w:val="21"/>
              </w:rPr>
              <w:t>滤芯脉冲反吹除尘装置</w:t>
            </w:r>
            <w:r>
              <w:rPr>
                <w:szCs w:val="21"/>
              </w:rPr>
              <w:t>处理；</w:t>
            </w:r>
            <w:r>
              <w:rPr>
                <w:rFonts w:hint="eastAsia"/>
                <w:szCs w:val="21"/>
              </w:rPr>
              <w:t>浸喷涂胶及干燥</w:t>
            </w:r>
            <w:r>
              <w:rPr>
                <w:szCs w:val="21"/>
              </w:rPr>
              <w:t>产生的非甲烷总烃经</w:t>
            </w:r>
            <w:r>
              <w:rPr>
                <w:rFonts w:hint="eastAsia"/>
                <w:szCs w:val="21"/>
              </w:rPr>
              <w:t>二级</w:t>
            </w:r>
            <w:r>
              <w:rPr>
                <w:szCs w:val="21"/>
              </w:rPr>
              <w:t>活性炭吸附装置处理。</w:t>
            </w:r>
          </w:p>
          <w:p w14:paraId="433435E7">
            <w:pPr>
              <w:pStyle w:val="5"/>
              <w:spacing w:line="360" w:lineRule="auto"/>
              <w:ind w:firstLine="420"/>
              <w:rPr>
                <w:szCs w:val="21"/>
              </w:rPr>
            </w:pPr>
            <w:r>
              <w:rPr>
                <w:bCs/>
                <w:szCs w:val="21"/>
              </w:rPr>
              <w:t>根据《排污许可证申请与核发技术规范 橡胶和塑料制品工业》（HJ1122-2020）表A.1橡胶制品工业排污单位废气污染防治可行技术参考表，炼胶、硫化等生产环节产生的臭气浓度、恶臭特征物质采用喷淋、吸附均为可行性技术，颗粒物采用袋式除尘</w:t>
            </w:r>
            <w:r>
              <w:rPr>
                <w:rFonts w:hint="eastAsia"/>
                <w:bCs/>
                <w:szCs w:val="21"/>
              </w:rPr>
              <w:t>、滤芯除尘均</w:t>
            </w:r>
            <w:r>
              <w:rPr>
                <w:bCs/>
                <w:szCs w:val="21"/>
              </w:rPr>
              <w:t>为可行性技术</w:t>
            </w:r>
            <w:r>
              <w:rPr>
                <w:szCs w:val="21"/>
              </w:rPr>
              <w:t>。因此项目采用二级活性炭吸附装置处理</w:t>
            </w:r>
            <w:r>
              <w:rPr>
                <w:rFonts w:hint="eastAsia"/>
                <w:szCs w:val="21"/>
              </w:rPr>
              <w:t>返炼</w:t>
            </w:r>
            <w:r>
              <w:rPr>
                <w:szCs w:val="21"/>
              </w:rPr>
              <w:t>、混炼、挤出等工序产生的非甲烷总烃、硫化氢、臭气浓度为可行性技术，采用碱液喷淋塔+二级活性炭吸附装置处理硫化、二次硫化、清洗、烘干等工序产生的非甲烷总烃、硫化氢、</w:t>
            </w:r>
            <w:r>
              <w:rPr>
                <w:rFonts w:hint="eastAsia"/>
                <w:szCs w:val="21"/>
              </w:rPr>
              <w:t>氟化物、</w:t>
            </w:r>
            <w:r>
              <w:rPr>
                <w:szCs w:val="21"/>
              </w:rPr>
              <w:t>臭气浓度为可行性技术；采用</w:t>
            </w:r>
            <w:r>
              <w:rPr>
                <w:rFonts w:hint="eastAsia"/>
                <w:bCs/>
                <w:szCs w:val="21"/>
              </w:rPr>
              <w:t>滤芯除尘</w:t>
            </w:r>
            <w:r>
              <w:rPr>
                <w:szCs w:val="21"/>
              </w:rPr>
              <w:t>处理喷砂</w:t>
            </w:r>
            <w:r>
              <w:rPr>
                <w:rFonts w:hint="eastAsia"/>
                <w:szCs w:val="21"/>
              </w:rPr>
              <w:t>/抛丸</w:t>
            </w:r>
            <w:r>
              <w:rPr>
                <w:szCs w:val="21"/>
              </w:rPr>
              <w:t>工序产生的颗粒物为可行性技术。</w:t>
            </w:r>
            <w:r>
              <w:rPr>
                <w:rFonts w:hint="eastAsia"/>
                <w:kern w:val="0"/>
                <w:szCs w:val="21"/>
              </w:rPr>
              <w:t>根据《排污许可证申请与核发技术规范 总则》（HJ942-2018）中推荐有机废气治理设施为“焚烧、吸附、催化分解、其他”。本项目</w:t>
            </w:r>
            <w:r>
              <w:rPr>
                <w:rFonts w:hint="eastAsia"/>
                <w:szCs w:val="21"/>
              </w:rPr>
              <w:t>浸喷涂胶及干燥</w:t>
            </w:r>
            <w:r>
              <w:rPr>
                <w:rFonts w:hint="eastAsia"/>
                <w:kern w:val="0"/>
                <w:szCs w:val="21"/>
              </w:rPr>
              <w:t>工序产生的非甲烷总烃采用“两级活性炭吸附”进行处理，属于可行技术</w:t>
            </w:r>
            <w:r>
              <w:rPr>
                <w:rFonts w:hint="eastAsia"/>
              </w:rPr>
              <w:t>。</w:t>
            </w:r>
          </w:p>
          <w:p w14:paraId="7347B7E5">
            <w:pPr>
              <w:adjustRightInd w:val="0"/>
              <w:snapToGrid w:val="0"/>
              <w:spacing w:line="360" w:lineRule="auto"/>
              <w:ind w:firstLine="422" w:firstLineChars="200"/>
            </w:pPr>
            <w:r>
              <w:rPr>
                <w:rFonts w:hint="eastAsia"/>
                <w:b/>
                <w:bCs/>
              </w:rPr>
              <w:t>袋式除尘器废气处理工作原理：</w:t>
            </w:r>
            <w:r>
              <w:rPr>
                <w:rFonts w:hint="eastAsia"/>
              </w:rPr>
              <w:t>是一种干式滤尘装置。滤料使用一段时间后，由于筛滤、碰撞、滞留、扩散、静电等效应，滤袋表面积聚了一层粉尘，这层粉尘称为初层，在此以后的运动过程中，初层成了滤料的主要过滤层，依靠初层的作用，网孔较大的滤料也能获得较高的过滤效率。随着粉尘在滤料表面的积聚，除尘器的效率和阻力都相应地增加，当滤料两侧的压力差很大时，会把有些已附着在滤料上的细小尘粒挤压过去，使除尘器效率下降。另外，除尘器的阻力过高会使除尘系统的风量显著下降。因此，除尘器的阻力达到一定数值后，要及时清灰。清灰时不能破坏初层，以免效率下降。</w:t>
            </w:r>
          </w:p>
          <w:p w14:paraId="115176E7">
            <w:pPr>
              <w:adjustRightInd w:val="0"/>
              <w:snapToGrid w:val="0"/>
              <w:spacing w:line="360" w:lineRule="auto"/>
              <w:ind w:firstLine="420" w:firstLineChars="200"/>
              <w:rPr>
                <w:rFonts w:hint="eastAsia"/>
              </w:rPr>
            </w:pPr>
            <w:r>
              <w:rPr>
                <w:rFonts w:hint="eastAsia"/>
              </w:rPr>
              <w:t>袋式除尘器结构主要由上部箱体、中部箱体、下部箱体（灰斗）、清灰系统和排灰机构等部分组成。其主要结构组成见下图：</w:t>
            </w:r>
          </w:p>
          <w:p w14:paraId="0B642474">
            <w:pPr>
              <w:adjustRightInd w:val="0"/>
              <w:snapToGrid w:val="0"/>
              <w:spacing w:line="360" w:lineRule="auto"/>
              <w:ind w:firstLine="420" w:firstLineChars="200"/>
              <w:rPr>
                <w:rFonts w:hint="eastAsia"/>
              </w:rPr>
            </w:pPr>
          </w:p>
          <w:p w14:paraId="237B6A9B">
            <w:pPr>
              <w:adjustRightInd w:val="0"/>
              <w:snapToGrid w:val="0"/>
              <w:spacing w:line="360" w:lineRule="auto"/>
              <w:ind w:firstLine="420" w:firstLineChars="200"/>
              <w:rPr>
                <w:rFonts w:hint="eastAsia"/>
              </w:rPr>
            </w:pPr>
          </w:p>
          <w:p w14:paraId="428A5C22">
            <w:pPr>
              <w:adjustRightInd w:val="0"/>
              <w:snapToGrid w:val="0"/>
              <w:spacing w:line="360" w:lineRule="auto"/>
              <w:ind w:firstLine="420" w:firstLineChars="200"/>
              <w:rPr>
                <w:rFonts w:hint="eastAsia"/>
              </w:rPr>
            </w:pPr>
          </w:p>
          <w:p w14:paraId="3D194B5F">
            <w:pPr>
              <w:adjustRightInd w:val="0"/>
              <w:snapToGrid w:val="0"/>
              <w:spacing w:line="360" w:lineRule="auto"/>
              <w:ind w:firstLine="420" w:firstLineChars="200"/>
              <w:rPr>
                <w:rFonts w:hint="eastAsia"/>
              </w:rPr>
            </w:pPr>
          </w:p>
          <w:p w14:paraId="4F34A1D2">
            <w:pPr>
              <w:adjustRightInd w:val="0"/>
              <w:snapToGrid w:val="0"/>
              <w:spacing w:line="360" w:lineRule="auto"/>
              <w:ind w:firstLine="420" w:firstLineChars="200"/>
              <w:rPr>
                <w:rFonts w:hint="eastAsia"/>
              </w:rPr>
            </w:pPr>
          </w:p>
          <w:p w14:paraId="42E1ABEF">
            <w:pPr>
              <w:adjustRightInd w:val="0"/>
              <w:snapToGrid w:val="0"/>
              <w:spacing w:line="360" w:lineRule="auto"/>
              <w:ind w:firstLine="420" w:firstLineChars="200"/>
              <w:rPr>
                <w:rFonts w:hint="eastAsia"/>
              </w:rPr>
            </w:pPr>
          </w:p>
          <w:p w14:paraId="4706DD4D">
            <w:pPr>
              <w:adjustRightInd w:val="0"/>
              <w:snapToGrid w:val="0"/>
              <w:spacing w:line="360" w:lineRule="auto"/>
              <w:ind w:firstLine="420" w:firstLineChars="200"/>
              <w:rPr>
                <w:rFonts w:hint="eastAsia"/>
              </w:rPr>
            </w:pPr>
          </w:p>
          <w:p w14:paraId="7F872617">
            <w:pPr>
              <w:adjustRightInd w:val="0"/>
              <w:snapToGrid w:val="0"/>
              <w:spacing w:line="360" w:lineRule="auto"/>
              <w:ind w:firstLine="420" w:firstLineChars="200"/>
              <w:rPr>
                <w:rFonts w:hint="eastAsia"/>
              </w:rPr>
            </w:pPr>
          </w:p>
          <w:p w14:paraId="4EF65685">
            <w:pPr>
              <w:adjustRightInd w:val="0"/>
              <w:snapToGrid w:val="0"/>
              <w:spacing w:line="360" w:lineRule="auto"/>
              <w:ind w:firstLine="420" w:firstLineChars="200"/>
              <w:rPr>
                <w:rFonts w:hint="eastAsia"/>
              </w:rPr>
            </w:pPr>
          </w:p>
          <w:p w14:paraId="1152F8A0">
            <w:pPr>
              <w:adjustRightInd w:val="0"/>
              <w:snapToGrid w:val="0"/>
              <w:jc w:val="center"/>
            </w:pPr>
            <w:r>
              <w:drawing>
                <wp:inline distT="0" distB="0" distL="114300" distR="114300">
                  <wp:extent cx="3775710" cy="3133090"/>
                  <wp:effectExtent l="0" t="0" r="15240" b="10160"/>
                  <wp:docPr id="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9"/>
                          <pic:cNvPicPr>
                            <a:picLocks noChangeAspect="1"/>
                          </pic:cNvPicPr>
                        </pic:nvPicPr>
                        <pic:blipFill>
                          <a:blip r:embed="rId11"/>
                          <a:stretch>
                            <a:fillRect/>
                          </a:stretch>
                        </pic:blipFill>
                        <pic:spPr>
                          <a:xfrm>
                            <a:off x="0" y="0"/>
                            <a:ext cx="3775710" cy="3133090"/>
                          </a:xfrm>
                          <a:prstGeom prst="rect">
                            <a:avLst/>
                          </a:prstGeom>
                          <a:noFill/>
                          <a:ln>
                            <a:noFill/>
                          </a:ln>
                        </pic:spPr>
                      </pic:pic>
                    </a:graphicData>
                  </a:graphic>
                </wp:inline>
              </w:drawing>
            </w:r>
          </w:p>
          <w:p w14:paraId="4BF5F0BA">
            <w:pPr>
              <w:adjustRightInd w:val="0"/>
              <w:snapToGrid w:val="0"/>
              <w:jc w:val="center"/>
              <w:rPr>
                <w:szCs w:val="21"/>
              </w:rPr>
            </w:pPr>
            <w:r>
              <w:rPr>
                <w:rFonts w:hint="eastAsia"/>
                <w:b/>
                <w:bCs/>
                <w:szCs w:val="21"/>
              </w:rPr>
              <w:t>图4-2  袋式除尘器结构组成图</w:t>
            </w:r>
          </w:p>
          <w:p w14:paraId="50D60C0D">
            <w:pPr>
              <w:adjustRightInd w:val="0"/>
              <w:snapToGrid w:val="0"/>
              <w:spacing w:line="360" w:lineRule="auto"/>
              <w:ind w:firstLine="422" w:firstLineChars="200"/>
            </w:pPr>
            <w:r>
              <w:rPr>
                <w:rFonts w:hint="eastAsia"/>
                <w:b/>
                <w:bCs/>
              </w:rPr>
              <w:t>滤芯脉冲除尘器工作原理</w:t>
            </w:r>
            <w:r>
              <w:rPr>
                <w:rFonts w:hint="eastAsia"/>
              </w:rPr>
              <w:t>：正常工作时，含尘气体由进风口进入灰斗，由于气体体积的急速膨胀，一部分较粗的尘粒受惯性或自然沉降等原因落入灰斗，其余大部分尘粒随气流上升进入袋室，经滤袋过滤后，尘粒被滞留在滤袋的外侧，净化后的气体由滤袋内部进入上箱体，再由阀板孔、排风口排入大气，从而达到除尘的目的。脉冲除尘器的工作原理与袋式除尘原理类似。</w:t>
            </w:r>
          </w:p>
          <w:p w14:paraId="3208D40C">
            <w:pPr>
              <w:adjustRightInd w:val="0"/>
              <w:snapToGrid w:val="0"/>
              <w:spacing w:line="360" w:lineRule="auto"/>
              <w:ind w:firstLine="422" w:firstLineChars="200"/>
            </w:pPr>
            <w:r>
              <w:rPr>
                <w:rFonts w:hint="eastAsia"/>
                <w:b/>
                <w:bCs/>
              </w:rPr>
              <w:t>水喷淋+除雾器工作原理：</w:t>
            </w:r>
            <w:r>
              <w:rPr>
                <w:rFonts w:hint="eastAsia"/>
              </w:rPr>
              <w:t>水喷淋塔的工作原理是将废气中的颗粒物和部分溶于水的有机物分离出来，以达到净化气体的作用。废气进入塔内后，气体进入填料层，填料层上有来自顶部的喷淋液体及前面的喷淋液体，并在填料上形成一层液膜，气体流经填料空隙时，与填料液膜接触，气体中的颗粒物和部分溶于水的有机物融合进水中，上升气流中流质的浓度越来越低，到塔顶时达到排放要求。液膜上的液体在重力作用下流入贮液箱，并由循环泵抽出循环。喷淋除尘塔为圆筒形结构形式，喷淋吸收系统主要由填料、喷淋装置、除雾装置、循环泵、吸收塔组成。</w:t>
            </w:r>
          </w:p>
          <w:p w14:paraId="5ECED17A">
            <w:pPr>
              <w:adjustRightInd w:val="0"/>
              <w:snapToGrid w:val="0"/>
              <w:spacing w:line="360" w:lineRule="auto"/>
              <w:ind w:firstLine="420" w:firstLineChars="200"/>
            </w:pPr>
            <w:r>
              <w:rPr>
                <w:rFonts w:hint="eastAsia"/>
              </w:rPr>
              <w:t>填料：填料主要作为布风装置，布置于吸收塔喷淋区下部的托盘内，废气通过托盘后，被均匀分布到整个吸收塔截面。这种填料对于提高接触面积是必要的，除了使主喷淋区废气分布均匀外，填料还使得废气与托盘上的液膜得到充分接触。托盘结构为带分隔围堰的多孔板，托盘被分割成便于从吸收塔人孔进出的板片，水平搁置在托盘支撑的结构上。</w:t>
            </w:r>
          </w:p>
          <w:p w14:paraId="67DB8AF7">
            <w:pPr>
              <w:adjustRightInd w:val="0"/>
              <w:snapToGrid w:val="0"/>
              <w:spacing w:line="360" w:lineRule="auto"/>
              <w:ind w:firstLine="420" w:firstLineChars="200"/>
            </w:pPr>
            <w:r>
              <w:rPr>
                <w:rFonts w:hint="eastAsia"/>
              </w:rPr>
              <w:t>喷淋装置：吸收塔内部喷淋系统是由分配母管和喷嘴组成的网状系统。每台吸收塔再循环泵均对应一个喷淋层，喷淋层上安装空心锥喷嘴，其作用是将喷淋液雾化。喷淋液由吸收塔再循环泵输送到喷嘴，喷入废气中。喷淋系统能使水液在吸收塔内均匀分布，流经每个喷淋层的流量相等。</w:t>
            </w:r>
          </w:p>
          <w:p w14:paraId="1B0D0801">
            <w:pPr>
              <w:adjustRightInd w:val="0"/>
              <w:snapToGrid w:val="0"/>
              <w:spacing w:line="360" w:lineRule="auto"/>
              <w:ind w:firstLine="420" w:firstLineChars="200"/>
            </w:pPr>
            <w:r>
              <w:rPr>
                <w:rFonts w:hint="eastAsia"/>
              </w:rPr>
              <w:t>除雾装置：用于分离废气携带的液滴。吸收塔除雾器布置于吸收塔顶部最后一个喷淋组件的上部。废气通过液喷淋层后，再连续流经除雾器时，液滴由于惯性作用，留在挡板上。</w:t>
            </w:r>
          </w:p>
          <w:p w14:paraId="5C0F3B53">
            <w:pPr>
              <w:adjustRightInd w:val="0"/>
              <w:snapToGrid w:val="0"/>
              <w:spacing w:line="360" w:lineRule="auto"/>
              <w:ind w:firstLine="420" w:firstLineChars="200"/>
            </w:pPr>
            <w:r>
              <w:rPr>
                <w:rFonts w:hint="eastAsia"/>
              </w:rPr>
              <w:t>循环水泵：循环泵安装在喷淋塔旁，用于喷淋塔内的水循环。采用单流和单级卧式离心泵，包括泵壳、叶轮、轴、导轴承、出口弯头、底板、进口、密封盒、轴封、基础框架、地脚螺栓、机械密封和所有的管道、阀门和电机。工作原理是叶轮高速旋转时产生的离心力使流体获得能量，即流体通过叶轮后，压能和动能都能得到提高，从而能够被输送到高处或远处。同时在泵的入口形成负压，使流体能够被不断吸入。</w:t>
            </w:r>
          </w:p>
          <w:p w14:paraId="3D515506">
            <w:pPr>
              <w:adjustRightInd w:val="0"/>
              <w:snapToGrid w:val="0"/>
              <w:spacing w:line="360" w:lineRule="auto"/>
              <w:ind w:firstLine="420" w:firstLineChars="200"/>
            </w:pPr>
            <w:r>
              <w:t>喷淋塔主体：塔体采用PP材料制作，喷淋塔体采用热焊接工艺生产制作，强度高，质量可信，性能良好。</w:t>
            </w:r>
          </w:p>
          <w:p w14:paraId="19A747B3">
            <w:pPr>
              <w:adjustRightInd w:val="0"/>
              <w:snapToGrid w:val="0"/>
              <w:spacing w:line="360" w:lineRule="auto"/>
              <w:ind w:firstLine="420" w:firstLineChars="200"/>
            </w:pPr>
            <w:r>
              <w:t>水喷淋装置后设置除雾器，主要是对水喷淋处理后的废气进行干燥，去除废气</w:t>
            </w:r>
            <w:r>
              <w:rPr>
                <w:rFonts w:hint="eastAsia"/>
              </w:rPr>
              <w:t>中的水分</w:t>
            </w:r>
            <w:r>
              <w:t>，减少对后续活性炭吸附装置的影响。</w:t>
            </w:r>
          </w:p>
          <w:p w14:paraId="598F80AA">
            <w:pPr>
              <w:adjustRightInd w:val="0"/>
              <w:snapToGrid w:val="0"/>
              <w:spacing w:line="360" w:lineRule="auto"/>
              <w:ind w:firstLine="422" w:firstLineChars="200"/>
            </w:pPr>
            <w:r>
              <w:rPr>
                <w:rFonts w:hint="eastAsia"/>
                <w:b/>
                <w:bCs/>
              </w:rPr>
              <w:t>活性炭吸附装置废气处理工作原理：</w:t>
            </w:r>
            <w:r>
              <w:rPr>
                <w:rFonts w:hint="eastAsia"/>
              </w:rPr>
              <w:t>活性炭是一种多孔性质的含炭物质，它具有高度发达的孔隙结构，活性炭的多孔结构为其提供了大量的表面积，能与气体（杂质）充分接触，从而赋予了活性炭所特有的吸附功能，使其非常容易达到吸收收集杂质的目的，就像磁力一样，所有的分子间都具有相互引力。正因为如此，活性炭孔壁上的大量的分子可以产生强大的引力，从而达到将有害的杂质吸引到孔径中的目的。</w:t>
            </w:r>
          </w:p>
          <w:p w14:paraId="3A563C65">
            <w:pPr>
              <w:adjustRightInd w:val="0"/>
              <w:snapToGrid w:val="0"/>
              <w:spacing w:line="360" w:lineRule="auto"/>
              <w:ind w:firstLine="420" w:firstLineChars="200"/>
            </w:pPr>
            <w:r>
              <w:rPr>
                <w:rFonts w:hint="eastAsia"/>
              </w:rPr>
              <w:t>活性炭具有微晶结构，微晶排列完全不规则，晶体中有微孔、过渡孔（半径20～1000）、大孔（半径1000～100000），使它具有很大的内表面，比表面积为500～1700m</w:t>
            </w:r>
            <w:r>
              <w:rPr>
                <w:rFonts w:hint="eastAsia"/>
                <w:vertAlign w:val="superscript"/>
              </w:rPr>
              <w:t>2</w:t>
            </w:r>
            <w:r>
              <w:rPr>
                <w:rFonts w:hint="eastAsia"/>
              </w:rPr>
              <w:t>/g。这决定了活性炭具有良好的吸附性，可以吸附废水和废气中的金属离子、有害气体、有机污染物、色素等。工业上应用活性炭还要求机械强度大、耐磨性能好，它的结构力求稳定，吸附所需能量小，以有利于再生。活性炭吸附的实质是利用活性炭吸附的特性把低浓度大风量废气中的有机溶剂吸附到活性炭中并浓缩，经活性炭吸附净化后的气体直接排空。</w:t>
            </w:r>
          </w:p>
          <w:p w14:paraId="1CBBF6A7">
            <w:pPr>
              <w:pStyle w:val="5"/>
              <w:adjustRightInd w:val="0"/>
              <w:snapToGrid w:val="0"/>
              <w:spacing w:line="360" w:lineRule="auto"/>
              <w:ind w:firstLine="422"/>
              <w:rPr>
                <w:szCs w:val="21"/>
              </w:rPr>
            </w:pPr>
            <w:r>
              <w:rPr>
                <w:b/>
                <w:bCs/>
                <w:szCs w:val="21"/>
              </w:rPr>
              <w:t>②效率可行性</w:t>
            </w:r>
          </w:p>
          <w:p w14:paraId="60183A66">
            <w:pPr>
              <w:pStyle w:val="5"/>
              <w:adjustRightInd w:val="0"/>
              <w:snapToGrid w:val="0"/>
              <w:spacing w:line="360" w:lineRule="auto"/>
              <w:ind w:firstLine="420"/>
              <w:rPr>
                <w:szCs w:val="21"/>
              </w:rPr>
            </w:pPr>
            <w:r>
              <w:rPr>
                <w:szCs w:val="21"/>
              </w:rPr>
              <w:t>根据</w:t>
            </w:r>
            <w:r>
              <w:rPr>
                <w:rFonts w:hint="eastAsia"/>
                <w:szCs w:val="21"/>
              </w:rPr>
              <w:t>常州市致远橡胶制品厂（报告编号：JSY17K20203F）及例行监测报告（RW-2023-07-019B01、RW-2024-07-051B01），</w:t>
            </w:r>
            <w:r>
              <w:rPr>
                <w:szCs w:val="21"/>
              </w:rPr>
              <w:t>混炼废气、硫化废气、二次硫化废气</w:t>
            </w:r>
            <w:r>
              <w:rPr>
                <w:rFonts w:hint="eastAsia"/>
                <w:szCs w:val="21"/>
              </w:rPr>
              <w:t>及微波硫化废气经</w:t>
            </w:r>
            <w:r>
              <w:rPr>
                <w:szCs w:val="21"/>
              </w:rPr>
              <w:t>二级活性炭吸附装置处理后均能达标排放，二级活性炭吸附装置对有机废气处理效率可达90%以上、对硫化氢处理效率可达80%以上。</w:t>
            </w:r>
          </w:p>
          <w:p w14:paraId="398C26D1">
            <w:pPr>
              <w:pStyle w:val="5"/>
              <w:spacing w:line="360" w:lineRule="auto"/>
              <w:ind w:firstLine="420"/>
              <w:rPr>
                <w:szCs w:val="21"/>
              </w:rPr>
            </w:pPr>
            <w:r>
              <w:rPr>
                <w:szCs w:val="21"/>
              </w:rPr>
              <w:t>项目拟采取的污染防治措施均为可行性技术、处理效率能够满足污染物达标排放要求、设计参数满足处理要求，污染防治措施将按照相关管理规定进行规范化建设及管理。</w:t>
            </w:r>
          </w:p>
          <w:p w14:paraId="16676BF2">
            <w:pPr>
              <w:pStyle w:val="5"/>
              <w:spacing w:line="360" w:lineRule="auto"/>
              <w:ind w:firstLine="422"/>
              <w:rPr>
                <w:b/>
                <w:bCs/>
                <w:szCs w:val="21"/>
              </w:rPr>
            </w:pPr>
            <w:r>
              <w:rPr>
                <w:b/>
                <w:bCs/>
                <w:szCs w:val="21"/>
              </w:rPr>
              <w:t>（5）废气收集设计参数合理性</w:t>
            </w:r>
          </w:p>
          <w:p w14:paraId="6CE3277F">
            <w:pPr>
              <w:adjustRightInd w:val="0"/>
              <w:snapToGrid w:val="0"/>
              <w:spacing w:line="360" w:lineRule="auto"/>
              <w:ind w:firstLine="420" w:firstLineChars="200"/>
              <w:rPr>
                <w:bCs/>
                <w:szCs w:val="21"/>
              </w:rPr>
            </w:pPr>
            <w:r>
              <w:rPr>
                <w:bCs/>
                <w:szCs w:val="21"/>
              </w:rPr>
              <w:t>①集气罩安装需符合《排风罩的分类及技术条件》（GB/11675-2008）要求，同时参考《工业通风设计手册》中相关内容，按照以下经验公式可计算得出各设备所需风量L：</w:t>
            </w:r>
          </w:p>
          <w:p w14:paraId="5E6C5E8F">
            <w:pPr>
              <w:adjustRightInd w:val="0"/>
              <w:snapToGrid w:val="0"/>
              <w:spacing w:line="360" w:lineRule="auto"/>
              <w:ind w:firstLine="420" w:firstLineChars="200"/>
              <w:rPr>
                <w:bCs/>
                <w:szCs w:val="21"/>
              </w:rPr>
            </w:pPr>
            <w:r>
              <w:rPr>
                <w:bCs/>
                <w:szCs w:val="21"/>
              </w:rPr>
              <w:t>L=3600(5X²+F)*V</w:t>
            </w:r>
            <w:r>
              <w:rPr>
                <w:bCs/>
                <w:szCs w:val="21"/>
                <w:vertAlign w:val="subscript"/>
              </w:rPr>
              <w:t>X</w:t>
            </w:r>
          </w:p>
          <w:p w14:paraId="0C175F98">
            <w:pPr>
              <w:adjustRightInd w:val="0"/>
              <w:snapToGrid w:val="0"/>
              <w:spacing w:line="360" w:lineRule="auto"/>
              <w:ind w:firstLine="420" w:firstLineChars="200"/>
              <w:rPr>
                <w:bCs/>
                <w:szCs w:val="21"/>
              </w:rPr>
            </w:pPr>
            <w:r>
              <w:rPr>
                <w:bCs/>
                <w:szCs w:val="21"/>
              </w:rPr>
              <w:t>其中：X—集气罩至污染源的距离；</w:t>
            </w:r>
          </w:p>
          <w:p w14:paraId="5DB4C78C">
            <w:pPr>
              <w:adjustRightInd w:val="0"/>
              <w:snapToGrid w:val="0"/>
              <w:spacing w:line="360" w:lineRule="auto"/>
              <w:ind w:firstLine="1050" w:firstLineChars="500"/>
              <w:rPr>
                <w:bCs/>
                <w:szCs w:val="21"/>
              </w:rPr>
            </w:pPr>
            <w:r>
              <w:rPr>
                <w:bCs/>
                <w:szCs w:val="21"/>
              </w:rPr>
              <w:t>F—集气罩口面积；</w:t>
            </w:r>
          </w:p>
          <w:p w14:paraId="65E93600">
            <w:pPr>
              <w:adjustRightInd w:val="0"/>
              <w:snapToGrid w:val="0"/>
              <w:spacing w:line="360" w:lineRule="auto"/>
              <w:ind w:firstLine="1050" w:firstLineChars="500"/>
              <w:rPr>
                <w:bCs/>
                <w:szCs w:val="21"/>
              </w:rPr>
            </w:pPr>
            <w:r>
              <w:rPr>
                <w:bCs/>
                <w:szCs w:val="21"/>
              </w:rPr>
              <w:t>V</w:t>
            </w:r>
            <w:r>
              <w:rPr>
                <w:bCs/>
                <w:szCs w:val="21"/>
                <w:vertAlign w:val="subscript"/>
              </w:rPr>
              <w:t>X</w:t>
            </w:r>
            <w:r>
              <w:rPr>
                <w:bCs/>
                <w:szCs w:val="21"/>
              </w:rPr>
              <w:t>—控制风速。</w:t>
            </w:r>
          </w:p>
          <w:p w14:paraId="41C95CB0">
            <w:pPr>
              <w:adjustRightInd w:val="0"/>
              <w:snapToGrid w:val="0"/>
              <w:spacing w:line="360" w:lineRule="auto"/>
              <w:ind w:firstLine="420" w:firstLineChars="200"/>
              <w:rPr>
                <w:bCs/>
                <w:szCs w:val="21"/>
              </w:rPr>
            </w:pPr>
            <w:r>
              <w:rPr>
                <w:bCs/>
                <w:szCs w:val="21"/>
              </w:rPr>
              <w:t>根据《2020年挥发性有机物治理攻坚方案》（环大气〔2020〕33号）要求：按照“应收尽收”的原则提升废气收集率。对于采用局部集气罩的，应根据废气排放特点合理选择收集点位，距集气罩开口面最远处的VOCs无组织排放位置，控制风速不低于0.3米/秒，本次Vx取0.5m/s。</w:t>
            </w:r>
          </w:p>
          <w:p w14:paraId="484C41E0">
            <w:pPr>
              <w:pStyle w:val="24"/>
              <w:adjustRightInd w:val="0"/>
              <w:spacing w:before="0"/>
              <w:rPr>
                <w:bCs/>
                <w:szCs w:val="21"/>
              </w:rPr>
            </w:pPr>
            <w:r>
              <w:rPr>
                <w:bCs/>
                <w:szCs w:val="21"/>
              </w:rPr>
              <w:t>②根据《三废处理工程技术手册》中，集气管的集风量的公式为：</w:t>
            </w:r>
          </w:p>
          <w:p w14:paraId="717A0D65">
            <w:pPr>
              <w:pStyle w:val="24"/>
              <w:adjustRightInd w:val="0"/>
              <w:spacing w:before="0"/>
              <w:rPr>
                <w:bCs/>
                <w:szCs w:val="21"/>
              </w:rPr>
            </w:pPr>
            <w:r>
              <w:rPr>
                <w:bCs/>
                <w:szCs w:val="21"/>
              </w:rPr>
              <w:t>Q=3600FVβ</w:t>
            </w:r>
          </w:p>
          <w:p w14:paraId="503B9A97">
            <w:pPr>
              <w:pStyle w:val="24"/>
              <w:adjustRightInd w:val="0"/>
              <w:spacing w:before="0"/>
              <w:rPr>
                <w:bCs/>
                <w:szCs w:val="21"/>
              </w:rPr>
            </w:pPr>
            <w:r>
              <w:rPr>
                <w:bCs/>
                <w:szCs w:val="21"/>
              </w:rPr>
              <w:t>式中：F——集气口面积；</w:t>
            </w:r>
          </w:p>
          <w:p w14:paraId="1697A8B4">
            <w:pPr>
              <w:pStyle w:val="24"/>
              <w:adjustRightInd w:val="0"/>
              <w:spacing w:before="0"/>
              <w:rPr>
                <w:bCs/>
                <w:szCs w:val="21"/>
              </w:rPr>
            </w:pPr>
            <w:r>
              <w:rPr>
                <w:bCs/>
                <w:szCs w:val="21"/>
              </w:rPr>
              <w:t>V——风速，支管2-8m/s，本项目断面风速取4m/s；</w:t>
            </w:r>
          </w:p>
          <w:p w14:paraId="236A479B">
            <w:pPr>
              <w:pStyle w:val="24"/>
              <w:adjustRightInd w:val="0"/>
              <w:spacing w:before="0"/>
            </w:pPr>
            <w:r>
              <w:rPr>
                <w:bCs/>
                <w:szCs w:val="21"/>
              </w:rPr>
              <w:t>β一安全系数，取1.05-1.1，本项目取1.1。</w:t>
            </w:r>
          </w:p>
          <w:p w14:paraId="7DAA97C2">
            <w:pPr>
              <w:pStyle w:val="5"/>
              <w:spacing w:line="360" w:lineRule="auto"/>
              <w:ind w:firstLine="420"/>
              <w:rPr>
                <w:b/>
                <w:bCs/>
                <w:szCs w:val="21"/>
              </w:rPr>
            </w:pPr>
            <w:r>
              <w:rPr>
                <w:bCs/>
                <w:szCs w:val="21"/>
              </w:rPr>
              <w:t>本项目废气收集相关设计参数如下表：</w:t>
            </w:r>
          </w:p>
          <w:p w14:paraId="20A5B534">
            <w:pPr>
              <w:jc w:val="center"/>
              <w:rPr>
                <w:b/>
                <w:szCs w:val="21"/>
              </w:rPr>
            </w:pPr>
            <w:r>
              <w:rPr>
                <w:b/>
                <w:szCs w:val="21"/>
              </w:rPr>
              <w:t>表4-6  项目废气收集设计参数</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04"/>
              <w:gridCol w:w="1094"/>
              <w:gridCol w:w="2554"/>
              <w:gridCol w:w="858"/>
              <w:gridCol w:w="887"/>
              <w:gridCol w:w="777"/>
              <w:gridCol w:w="1149"/>
              <w:gridCol w:w="600"/>
              <w:gridCol w:w="607"/>
            </w:tblGrid>
            <w:tr w14:paraId="07D62A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5" w:type="pct"/>
                  <w:gridSpan w:val="2"/>
                  <w:tcMar>
                    <w:top w:w="0" w:type="dxa"/>
                    <w:left w:w="0" w:type="dxa"/>
                    <w:bottom w:w="0" w:type="dxa"/>
                    <w:right w:w="0" w:type="dxa"/>
                  </w:tcMar>
                  <w:vAlign w:val="center"/>
                </w:tcPr>
                <w:p w14:paraId="233E7C1D">
                  <w:pPr>
                    <w:jc w:val="center"/>
                    <w:rPr>
                      <w:b/>
                      <w:bCs/>
                      <w:szCs w:val="21"/>
                    </w:rPr>
                  </w:pPr>
                  <w:r>
                    <w:rPr>
                      <w:b/>
                      <w:bCs/>
                      <w:szCs w:val="21"/>
                    </w:rPr>
                    <w:t>废气来源</w:t>
                  </w:r>
                </w:p>
              </w:tc>
              <w:tc>
                <w:tcPr>
                  <w:tcW w:w="1413" w:type="pct"/>
                  <w:tcMar>
                    <w:top w:w="0" w:type="dxa"/>
                    <w:left w:w="0" w:type="dxa"/>
                    <w:bottom w:w="0" w:type="dxa"/>
                    <w:right w:w="0" w:type="dxa"/>
                  </w:tcMar>
                  <w:vAlign w:val="center"/>
                </w:tcPr>
                <w:p w14:paraId="07D453C2">
                  <w:pPr>
                    <w:jc w:val="center"/>
                    <w:rPr>
                      <w:b/>
                      <w:bCs/>
                      <w:szCs w:val="21"/>
                    </w:rPr>
                  </w:pPr>
                  <w:r>
                    <w:rPr>
                      <w:b/>
                      <w:bCs/>
                      <w:szCs w:val="21"/>
                    </w:rPr>
                    <w:t>收集参数</w:t>
                  </w:r>
                </w:p>
              </w:tc>
              <w:tc>
                <w:tcPr>
                  <w:tcW w:w="475" w:type="pct"/>
                  <w:tcMar>
                    <w:top w:w="0" w:type="dxa"/>
                    <w:left w:w="0" w:type="dxa"/>
                    <w:bottom w:w="0" w:type="dxa"/>
                    <w:right w:w="0" w:type="dxa"/>
                  </w:tcMar>
                  <w:vAlign w:val="center"/>
                </w:tcPr>
                <w:p w14:paraId="1465A279">
                  <w:pPr>
                    <w:jc w:val="center"/>
                    <w:rPr>
                      <w:b/>
                      <w:bCs/>
                      <w:szCs w:val="21"/>
                    </w:rPr>
                  </w:pPr>
                  <w:r>
                    <w:rPr>
                      <w:b/>
                      <w:bCs/>
                      <w:szCs w:val="21"/>
                    </w:rPr>
                    <w:t>单个节点废气量（m</w:t>
                  </w:r>
                  <w:r>
                    <w:rPr>
                      <w:b/>
                      <w:bCs/>
                      <w:szCs w:val="21"/>
                      <w:vertAlign w:val="superscript"/>
                    </w:rPr>
                    <w:t>3</w:t>
                  </w:r>
                  <w:r>
                    <w:rPr>
                      <w:b/>
                      <w:bCs/>
                      <w:szCs w:val="21"/>
                    </w:rPr>
                    <w:t>/h）</w:t>
                  </w:r>
                </w:p>
              </w:tc>
              <w:tc>
                <w:tcPr>
                  <w:tcW w:w="491" w:type="pct"/>
                  <w:tcMar>
                    <w:top w:w="0" w:type="dxa"/>
                    <w:left w:w="0" w:type="dxa"/>
                    <w:bottom w:w="0" w:type="dxa"/>
                    <w:right w:w="0" w:type="dxa"/>
                  </w:tcMar>
                  <w:vAlign w:val="center"/>
                </w:tcPr>
                <w:p w14:paraId="124F5648">
                  <w:pPr>
                    <w:jc w:val="center"/>
                    <w:rPr>
                      <w:b/>
                      <w:bCs/>
                      <w:szCs w:val="21"/>
                    </w:rPr>
                  </w:pPr>
                  <w:r>
                    <w:rPr>
                      <w:b/>
                      <w:bCs/>
                      <w:szCs w:val="21"/>
                    </w:rPr>
                    <w:t>产污环节废气量（m</w:t>
                  </w:r>
                  <w:r>
                    <w:rPr>
                      <w:b/>
                      <w:bCs/>
                      <w:szCs w:val="21"/>
                      <w:vertAlign w:val="superscript"/>
                    </w:rPr>
                    <w:t>3</w:t>
                  </w:r>
                  <w:r>
                    <w:rPr>
                      <w:b/>
                      <w:bCs/>
                      <w:szCs w:val="21"/>
                    </w:rPr>
                    <w:t>/h）</w:t>
                  </w:r>
                </w:p>
              </w:tc>
              <w:tc>
                <w:tcPr>
                  <w:tcW w:w="430" w:type="pct"/>
                  <w:tcMar>
                    <w:top w:w="0" w:type="dxa"/>
                    <w:left w:w="0" w:type="dxa"/>
                    <w:bottom w:w="0" w:type="dxa"/>
                    <w:right w:w="0" w:type="dxa"/>
                  </w:tcMar>
                  <w:vAlign w:val="center"/>
                </w:tcPr>
                <w:p w14:paraId="0F8A187E">
                  <w:pPr>
                    <w:jc w:val="center"/>
                    <w:rPr>
                      <w:b/>
                      <w:bCs/>
                      <w:szCs w:val="21"/>
                    </w:rPr>
                  </w:pPr>
                  <w:r>
                    <w:rPr>
                      <w:b/>
                      <w:bCs/>
                      <w:szCs w:val="21"/>
                    </w:rPr>
                    <w:t>废气量合计（m</w:t>
                  </w:r>
                  <w:r>
                    <w:rPr>
                      <w:b/>
                      <w:bCs/>
                      <w:szCs w:val="21"/>
                      <w:vertAlign w:val="superscript"/>
                    </w:rPr>
                    <w:t>3</w:t>
                  </w:r>
                  <w:r>
                    <w:rPr>
                      <w:b/>
                      <w:bCs/>
                      <w:szCs w:val="21"/>
                    </w:rPr>
                    <w:t>/h）</w:t>
                  </w:r>
                </w:p>
              </w:tc>
              <w:tc>
                <w:tcPr>
                  <w:tcW w:w="636" w:type="pct"/>
                  <w:tcMar>
                    <w:top w:w="0" w:type="dxa"/>
                    <w:left w:w="0" w:type="dxa"/>
                    <w:bottom w:w="0" w:type="dxa"/>
                    <w:right w:w="0" w:type="dxa"/>
                  </w:tcMar>
                  <w:vAlign w:val="center"/>
                </w:tcPr>
                <w:p w14:paraId="41C8BDC1">
                  <w:pPr>
                    <w:jc w:val="center"/>
                    <w:rPr>
                      <w:b/>
                      <w:bCs/>
                      <w:szCs w:val="21"/>
                    </w:rPr>
                  </w:pPr>
                  <w:r>
                    <w:rPr>
                      <w:b/>
                      <w:bCs/>
                      <w:szCs w:val="21"/>
                    </w:rPr>
                    <w:t>备注</w:t>
                  </w:r>
                </w:p>
              </w:tc>
              <w:tc>
                <w:tcPr>
                  <w:tcW w:w="332" w:type="pct"/>
                  <w:tcMar>
                    <w:top w:w="0" w:type="dxa"/>
                    <w:left w:w="0" w:type="dxa"/>
                    <w:bottom w:w="0" w:type="dxa"/>
                    <w:right w:w="0" w:type="dxa"/>
                  </w:tcMar>
                  <w:vAlign w:val="center"/>
                </w:tcPr>
                <w:p w14:paraId="6615B188">
                  <w:pPr>
                    <w:jc w:val="center"/>
                    <w:rPr>
                      <w:b/>
                      <w:bCs/>
                      <w:szCs w:val="21"/>
                    </w:rPr>
                  </w:pPr>
                  <w:r>
                    <w:rPr>
                      <w:b/>
                      <w:bCs/>
                      <w:szCs w:val="21"/>
                    </w:rPr>
                    <w:t>处理措施</w:t>
                  </w:r>
                </w:p>
              </w:tc>
              <w:tc>
                <w:tcPr>
                  <w:tcW w:w="336" w:type="pct"/>
                  <w:tcMar>
                    <w:top w:w="0" w:type="dxa"/>
                    <w:left w:w="0" w:type="dxa"/>
                    <w:bottom w:w="0" w:type="dxa"/>
                    <w:right w:w="0" w:type="dxa"/>
                  </w:tcMar>
                  <w:vAlign w:val="center"/>
                </w:tcPr>
                <w:p w14:paraId="6138BDA4">
                  <w:pPr>
                    <w:jc w:val="center"/>
                    <w:rPr>
                      <w:b/>
                      <w:bCs/>
                      <w:szCs w:val="21"/>
                    </w:rPr>
                  </w:pPr>
                  <w:r>
                    <w:rPr>
                      <w:b/>
                      <w:bCs/>
                      <w:szCs w:val="21"/>
                    </w:rPr>
                    <w:t>排放口编号</w:t>
                  </w:r>
                </w:p>
              </w:tc>
            </w:tr>
            <w:tr w14:paraId="6F09F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01E0A345">
                  <w:pPr>
                    <w:jc w:val="center"/>
                    <w:rPr>
                      <w:szCs w:val="21"/>
                    </w:rPr>
                  </w:pPr>
                  <w:r>
                    <w:rPr>
                      <w:szCs w:val="21"/>
                    </w:rPr>
                    <w:t>拟扩建项目</w:t>
                  </w:r>
                </w:p>
              </w:tc>
              <w:tc>
                <w:tcPr>
                  <w:tcW w:w="606" w:type="pct"/>
                  <w:tcMar>
                    <w:top w:w="0" w:type="dxa"/>
                    <w:left w:w="0" w:type="dxa"/>
                    <w:bottom w:w="0" w:type="dxa"/>
                    <w:right w:w="0" w:type="dxa"/>
                  </w:tcMar>
                  <w:vAlign w:val="center"/>
                </w:tcPr>
                <w:p w14:paraId="182EC864">
                  <w:pPr>
                    <w:jc w:val="center"/>
                    <w:rPr>
                      <w:szCs w:val="21"/>
                    </w:rPr>
                  </w:pPr>
                  <w:r>
                    <w:rPr>
                      <w:rFonts w:hint="eastAsia"/>
                      <w:szCs w:val="21"/>
                    </w:rPr>
                    <w:t>配料粉尘、</w:t>
                  </w:r>
                  <w:r>
                    <w:rPr>
                      <w:szCs w:val="21"/>
                    </w:rPr>
                    <w:t>混炼废气</w:t>
                  </w:r>
                  <w:r>
                    <w:rPr>
                      <w:rFonts w:hint="eastAsia"/>
                      <w:szCs w:val="21"/>
                    </w:rPr>
                    <w:t>、密炼废气、返炼废气、挤出废气</w:t>
                  </w:r>
                </w:p>
              </w:tc>
              <w:tc>
                <w:tcPr>
                  <w:tcW w:w="1413" w:type="pct"/>
                  <w:tcMar>
                    <w:top w:w="0" w:type="dxa"/>
                    <w:left w:w="0" w:type="dxa"/>
                    <w:bottom w:w="0" w:type="dxa"/>
                    <w:right w:w="0" w:type="dxa"/>
                  </w:tcMar>
                  <w:vAlign w:val="center"/>
                </w:tcPr>
                <w:p w14:paraId="34F5BE2D">
                  <w:pPr>
                    <w:jc w:val="center"/>
                    <w:rPr>
                      <w:szCs w:val="21"/>
                    </w:rPr>
                  </w:pPr>
                  <w:r>
                    <w:rPr>
                      <w:szCs w:val="21"/>
                    </w:rPr>
                    <w:t>在每台</w:t>
                  </w:r>
                  <w:r>
                    <w:rPr>
                      <w:rFonts w:hint="eastAsia"/>
                      <w:szCs w:val="21"/>
                    </w:rPr>
                    <w:t>密炼线、滤胶机、预成型机、配料工段</w:t>
                  </w:r>
                  <w:r>
                    <w:rPr>
                      <w:szCs w:val="21"/>
                    </w:rPr>
                    <w:t>上方设置集气罩，集气罩规格为0.4×0.4m</w:t>
                  </w:r>
                </w:p>
              </w:tc>
              <w:tc>
                <w:tcPr>
                  <w:tcW w:w="475" w:type="pct"/>
                  <w:tcMar>
                    <w:top w:w="0" w:type="dxa"/>
                    <w:left w:w="0" w:type="dxa"/>
                    <w:bottom w:w="0" w:type="dxa"/>
                    <w:right w:w="0" w:type="dxa"/>
                  </w:tcMar>
                  <w:vAlign w:val="center"/>
                </w:tcPr>
                <w:p w14:paraId="15FC258D">
                  <w:pPr>
                    <w:jc w:val="center"/>
                    <w:rPr>
                      <w:szCs w:val="21"/>
                    </w:rPr>
                  </w:pPr>
                  <w:r>
                    <w:rPr>
                      <w:rFonts w:hint="eastAsia"/>
                      <w:szCs w:val="21"/>
                    </w:rPr>
                    <w:t>2275</w:t>
                  </w:r>
                </w:p>
              </w:tc>
              <w:tc>
                <w:tcPr>
                  <w:tcW w:w="491" w:type="pct"/>
                  <w:tcMar>
                    <w:top w:w="0" w:type="dxa"/>
                    <w:left w:w="0" w:type="dxa"/>
                    <w:bottom w:w="0" w:type="dxa"/>
                    <w:right w:w="0" w:type="dxa"/>
                  </w:tcMar>
                  <w:vAlign w:val="center"/>
                </w:tcPr>
                <w:p w14:paraId="27C74837">
                  <w:pPr>
                    <w:jc w:val="center"/>
                    <w:rPr>
                      <w:szCs w:val="21"/>
                    </w:rPr>
                  </w:pPr>
                  <w:r>
                    <w:rPr>
                      <w:rFonts w:hint="eastAsia"/>
                      <w:szCs w:val="21"/>
                    </w:rPr>
                    <w:t>18200</w:t>
                  </w:r>
                </w:p>
              </w:tc>
              <w:tc>
                <w:tcPr>
                  <w:tcW w:w="430" w:type="pct"/>
                  <w:tcMar>
                    <w:top w:w="0" w:type="dxa"/>
                    <w:left w:w="0" w:type="dxa"/>
                    <w:bottom w:w="0" w:type="dxa"/>
                    <w:right w:w="0" w:type="dxa"/>
                  </w:tcMar>
                  <w:vAlign w:val="center"/>
                </w:tcPr>
                <w:p w14:paraId="2D443B10">
                  <w:pPr>
                    <w:jc w:val="center"/>
                    <w:rPr>
                      <w:szCs w:val="21"/>
                    </w:rPr>
                  </w:pPr>
                  <w:r>
                    <w:rPr>
                      <w:rFonts w:hint="eastAsia"/>
                      <w:szCs w:val="21"/>
                    </w:rPr>
                    <w:t>18200</w:t>
                  </w:r>
                </w:p>
              </w:tc>
              <w:tc>
                <w:tcPr>
                  <w:tcW w:w="636" w:type="pct"/>
                  <w:tcMar>
                    <w:top w:w="0" w:type="dxa"/>
                    <w:left w:w="0" w:type="dxa"/>
                    <w:bottom w:w="0" w:type="dxa"/>
                    <w:right w:w="0" w:type="dxa"/>
                  </w:tcMar>
                  <w:vAlign w:val="center"/>
                </w:tcPr>
                <w:p w14:paraId="38C61B37">
                  <w:pPr>
                    <w:adjustRightInd w:val="0"/>
                    <w:snapToGrid w:val="0"/>
                    <w:jc w:val="center"/>
                    <w:rPr>
                      <w:b/>
                      <w:bCs/>
                      <w:szCs w:val="21"/>
                    </w:rPr>
                  </w:pPr>
                  <w:r>
                    <w:rPr>
                      <w:rFonts w:hint="eastAsia"/>
                      <w:bCs/>
                      <w:szCs w:val="21"/>
                    </w:rPr>
                    <w:t>新增，风量20</w:t>
                  </w:r>
                  <w:r>
                    <w:rPr>
                      <w:bCs/>
                      <w:szCs w:val="21"/>
                    </w:rPr>
                    <w:t>000</w:t>
                  </w:r>
                  <w:r>
                    <w:rPr>
                      <w:szCs w:val="21"/>
                    </w:rPr>
                    <w:t>m</w:t>
                  </w:r>
                  <w:r>
                    <w:rPr>
                      <w:szCs w:val="21"/>
                      <w:vertAlign w:val="superscript"/>
                    </w:rPr>
                    <w:t>3</w:t>
                  </w:r>
                  <w:r>
                    <w:rPr>
                      <w:szCs w:val="21"/>
                    </w:rPr>
                    <w:t>/h，能够满足使用</w:t>
                  </w:r>
                </w:p>
              </w:tc>
              <w:tc>
                <w:tcPr>
                  <w:tcW w:w="332" w:type="pct"/>
                  <w:tcMar>
                    <w:top w:w="0" w:type="dxa"/>
                    <w:left w:w="0" w:type="dxa"/>
                    <w:bottom w:w="0" w:type="dxa"/>
                    <w:right w:w="0" w:type="dxa"/>
                  </w:tcMar>
                  <w:vAlign w:val="center"/>
                </w:tcPr>
                <w:p w14:paraId="7DF49E25">
                  <w:pPr>
                    <w:jc w:val="center"/>
                    <w:rPr>
                      <w:szCs w:val="21"/>
                    </w:rPr>
                  </w:pPr>
                  <w:r>
                    <w:rPr>
                      <w:szCs w:val="21"/>
                    </w:rPr>
                    <w:t>布袋除尘器+二级活性炭吸附装置</w:t>
                  </w:r>
                </w:p>
              </w:tc>
              <w:tc>
                <w:tcPr>
                  <w:tcW w:w="336" w:type="pct"/>
                  <w:tcMar>
                    <w:top w:w="0" w:type="dxa"/>
                    <w:left w:w="0" w:type="dxa"/>
                    <w:bottom w:w="0" w:type="dxa"/>
                    <w:right w:w="0" w:type="dxa"/>
                  </w:tcMar>
                  <w:vAlign w:val="center"/>
                </w:tcPr>
                <w:p w14:paraId="11CB538C">
                  <w:pPr>
                    <w:jc w:val="center"/>
                    <w:rPr>
                      <w:szCs w:val="21"/>
                    </w:rPr>
                  </w:pPr>
                  <w:r>
                    <w:rPr>
                      <w:rFonts w:hint="eastAsia"/>
                      <w:szCs w:val="21"/>
                    </w:rPr>
                    <w:t>8</w:t>
                  </w:r>
                  <w:r>
                    <w:rPr>
                      <w:szCs w:val="21"/>
                    </w:rPr>
                    <w:t>#排气筒</w:t>
                  </w:r>
                </w:p>
              </w:tc>
            </w:tr>
            <w:tr w14:paraId="4DA22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75207A78">
                  <w:pPr>
                    <w:jc w:val="center"/>
                    <w:rPr>
                      <w:szCs w:val="21"/>
                    </w:rPr>
                  </w:pPr>
                  <w:r>
                    <w:rPr>
                      <w:rFonts w:hint="eastAsia"/>
                      <w:szCs w:val="21"/>
                    </w:rPr>
                    <w:t>现有项目</w:t>
                  </w:r>
                </w:p>
              </w:tc>
              <w:tc>
                <w:tcPr>
                  <w:tcW w:w="606" w:type="pct"/>
                  <w:tcMar>
                    <w:top w:w="0" w:type="dxa"/>
                    <w:left w:w="0" w:type="dxa"/>
                    <w:bottom w:w="0" w:type="dxa"/>
                    <w:right w:w="0" w:type="dxa"/>
                  </w:tcMar>
                  <w:vAlign w:val="center"/>
                </w:tcPr>
                <w:p w14:paraId="7B382E78">
                  <w:pPr>
                    <w:jc w:val="center"/>
                    <w:rPr>
                      <w:szCs w:val="21"/>
                    </w:rPr>
                  </w:pPr>
                  <w:r>
                    <w:rPr>
                      <w:rFonts w:hint="eastAsia"/>
                      <w:szCs w:val="21"/>
                    </w:rPr>
                    <w:t>挤出废气、硫化废气</w:t>
                  </w:r>
                </w:p>
              </w:tc>
              <w:tc>
                <w:tcPr>
                  <w:tcW w:w="1413" w:type="pct"/>
                  <w:tcMar>
                    <w:top w:w="0" w:type="dxa"/>
                    <w:left w:w="0" w:type="dxa"/>
                    <w:bottom w:w="0" w:type="dxa"/>
                    <w:right w:w="0" w:type="dxa"/>
                  </w:tcMar>
                  <w:vAlign w:val="center"/>
                </w:tcPr>
                <w:p w14:paraId="63AC685E">
                  <w:pPr>
                    <w:jc w:val="center"/>
                    <w:rPr>
                      <w:szCs w:val="21"/>
                    </w:rPr>
                  </w:pPr>
                  <w:r>
                    <w:rPr>
                      <w:rFonts w:hint="eastAsia"/>
                      <w:szCs w:val="21"/>
                    </w:rPr>
                    <w:t>在硫化机上方设置集气罩，尺寸约800*800mm；挤出机设置抽风管道，管道直径为∅150的抽风接口</w:t>
                  </w:r>
                </w:p>
              </w:tc>
              <w:tc>
                <w:tcPr>
                  <w:tcW w:w="475" w:type="pct"/>
                  <w:tcMar>
                    <w:top w:w="0" w:type="dxa"/>
                    <w:left w:w="0" w:type="dxa"/>
                    <w:bottom w:w="0" w:type="dxa"/>
                    <w:right w:w="0" w:type="dxa"/>
                  </w:tcMar>
                  <w:vAlign w:val="center"/>
                </w:tcPr>
                <w:p w14:paraId="61C18F88">
                  <w:pPr>
                    <w:jc w:val="center"/>
                    <w:rPr>
                      <w:szCs w:val="21"/>
                    </w:rPr>
                  </w:pPr>
                  <w:r>
                    <w:rPr>
                      <w:rFonts w:hint="eastAsia"/>
                      <w:szCs w:val="21"/>
                    </w:rPr>
                    <w:t>300</w:t>
                  </w:r>
                </w:p>
              </w:tc>
              <w:tc>
                <w:tcPr>
                  <w:tcW w:w="491" w:type="pct"/>
                  <w:tcMar>
                    <w:top w:w="0" w:type="dxa"/>
                    <w:left w:w="0" w:type="dxa"/>
                    <w:bottom w:w="0" w:type="dxa"/>
                    <w:right w:w="0" w:type="dxa"/>
                  </w:tcMar>
                  <w:vAlign w:val="center"/>
                </w:tcPr>
                <w:p w14:paraId="279884E6">
                  <w:pPr>
                    <w:jc w:val="center"/>
                    <w:rPr>
                      <w:szCs w:val="21"/>
                    </w:rPr>
                  </w:pPr>
                  <w:r>
                    <w:rPr>
                      <w:rFonts w:hint="eastAsia"/>
                      <w:szCs w:val="21"/>
                    </w:rPr>
                    <w:t>31200</w:t>
                  </w:r>
                </w:p>
              </w:tc>
              <w:tc>
                <w:tcPr>
                  <w:tcW w:w="430" w:type="pct"/>
                  <w:vMerge w:val="restart"/>
                  <w:tcMar>
                    <w:top w:w="0" w:type="dxa"/>
                    <w:left w:w="0" w:type="dxa"/>
                    <w:bottom w:w="0" w:type="dxa"/>
                    <w:right w:w="0" w:type="dxa"/>
                  </w:tcMar>
                  <w:vAlign w:val="center"/>
                </w:tcPr>
                <w:p w14:paraId="3F2A9F43">
                  <w:pPr>
                    <w:jc w:val="center"/>
                    <w:rPr>
                      <w:szCs w:val="21"/>
                    </w:rPr>
                  </w:pPr>
                  <w:r>
                    <w:rPr>
                      <w:rFonts w:hint="eastAsia"/>
                      <w:szCs w:val="21"/>
                    </w:rPr>
                    <w:t>43800</w:t>
                  </w:r>
                </w:p>
              </w:tc>
              <w:tc>
                <w:tcPr>
                  <w:tcW w:w="636" w:type="pct"/>
                  <w:vMerge w:val="restart"/>
                  <w:tcMar>
                    <w:top w:w="0" w:type="dxa"/>
                    <w:left w:w="0" w:type="dxa"/>
                    <w:bottom w:w="0" w:type="dxa"/>
                    <w:right w:w="0" w:type="dxa"/>
                  </w:tcMar>
                  <w:vAlign w:val="center"/>
                </w:tcPr>
                <w:p w14:paraId="6C2DEED6">
                  <w:pPr>
                    <w:jc w:val="center"/>
                    <w:rPr>
                      <w:b/>
                      <w:bCs/>
                      <w:szCs w:val="21"/>
                    </w:rPr>
                  </w:pPr>
                  <w:r>
                    <w:rPr>
                      <w:rFonts w:hint="eastAsia"/>
                      <w:szCs w:val="21"/>
                    </w:rPr>
                    <w:t>现有风机45000</w:t>
                  </w:r>
                  <w:r>
                    <w:rPr>
                      <w:szCs w:val="21"/>
                    </w:rPr>
                    <w:t>m</w:t>
                  </w:r>
                  <w:r>
                    <w:rPr>
                      <w:szCs w:val="21"/>
                      <w:vertAlign w:val="superscript"/>
                    </w:rPr>
                    <w:t>3</w:t>
                  </w:r>
                  <w:r>
                    <w:rPr>
                      <w:szCs w:val="21"/>
                    </w:rPr>
                    <w:t>/h，</w:t>
                  </w:r>
                  <w:r>
                    <w:rPr>
                      <w:rFonts w:hint="eastAsia"/>
                      <w:szCs w:val="21"/>
                    </w:rPr>
                    <w:t>能够满足使用</w:t>
                  </w:r>
                </w:p>
              </w:tc>
              <w:tc>
                <w:tcPr>
                  <w:tcW w:w="332" w:type="pct"/>
                  <w:vMerge w:val="restart"/>
                  <w:tcMar>
                    <w:top w:w="0" w:type="dxa"/>
                    <w:left w:w="0" w:type="dxa"/>
                    <w:bottom w:w="0" w:type="dxa"/>
                    <w:right w:w="0" w:type="dxa"/>
                  </w:tcMar>
                  <w:vAlign w:val="center"/>
                </w:tcPr>
                <w:p w14:paraId="566C6546">
                  <w:pPr>
                    <w:jc w:val="center"/>
                    <w:rPr>
                      <w:b/>
                      <w:bCs/>
                      <w:szCs w:val="21"/>
                    </w:rPr>
                  </w:pPr>
                  <w:r>
                    <w:rPr>
                      <w:szCs w:val="21"/>
                    </w:rPr>
                    <w:t>碱液喷淋塔+除雾装置+二级活性炭吸附装置</w:t>
                  </w:r>
                </w:p>
              </w:tc>
              <w:tc>
                <w:tcPr>
                  <w:tcW w:w="336" w:type="pct"/>
                  <w:vMerge w:val="restart"/>
                  <w:tcMar>
                    <w:top w:w="0" w:type="dxa"/>
                    <w:left w:w="0" w:type="dxa"/>
                    <w:bottom w:w="0" w:type="dxa"/>
                    <w:right w:w="0" w:type="dxa"/>
                  </w:tcMar>
                  <w:vAlign w:val="center"/>
                </w:tcPr>
                <w:p w14:paraId="7D691161">
                  <w:pPr>
                    <w:jc w:val="center"/>
                    <w:rPr>
                      <w:b/>
                      <w:bCs/>
                      <w:szCs w:val="21"/>
                    </w:rPr>
                  </w:pPr>
                  <w:r>
                    <w:rPr>
                      <w:rFonts w:hint="eastAsia"/>
                      <w:szCs w:val="21"/>
                    </w:rPr>
                    <w:t>合并至</w:t>
                  </w:r>
                  <w:r>
                    <w:rPr>
                      <w:szCs w:val="21"/>
                    </w:rPr>
                    <w:t>1#排气筒</w:t>
                  </w:r>
                </w:p>
              </w:tc>
            </w:tr>
            <w:tr w14:paraId="2491C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49DFE0E6">
                  <w:pPr>
                    <w:jc w:val="center"/>
                    <w:rPr>
                      <w:szCs w:val="21"/>
                    </w:rPr>
                  </w:pPr>
                  <w:r>
                    <w:rPr>
                      <w:szCs w:val="21"/>
                    </w:rPr>
                    <w:t>拟扩建项目</w:t>
                  </w:r>
                </w:p>
              </w:tc>
              <w:tc>
                <w:tcPr>
                  <w:tcW w:w="606" w:type="pct"/>
                  <w:tcMar>
                    <w:top w:w="0" w:type="dxa"/>
                    <w:left w:w="0" w:type="dxa"/>
                    <w:bottom w:w="0" w:type="dxa"/>
                    <w:right w:w="0" w:type="dxa"/>
                  </w:tcMar>
                  <w:vAlign w:val="center"/>
                </w:tcPr>
                <w:p w14:paraId="3C61034A">
                  <w:pPr>
                    <w:jc w:val="center"/>
                    <w:rPr>
                      <w:szCs w:val="21"/>
                    </w:rPr>
                  </w:pPr>
                  <w:r>
                    <w:rPr>
                      <w:rFonts w:hint="eastAsia"/>
                      <w:szCs w:val="21"/>
                    </w:rPr>
                    <w:t>挤出废气、硫化废气</w:t>
                  </w:r>
                </w:p>
              </w:tc>
              <w:tc>
                <w:tcPr>
                  <w:tcW w:w="1413" w:type="pct"/>
                  <w:tcMar>
                    <w:top w:w="0" w:type="dxa"/>
                    <w:left w:w="0" w:type="dxa"/>
                    <w:bottom w:w="0" w:type="dxa"/>
                    <w:right w:w="0" w:type="dxa"/>
                  </w:tcMar>
                  <w:vAlign w:val="center"/>
                </w:tcPr>
                <w:p w14:paraId="01D1CB53">
                  <w:pPr>
                    <w:jc w:val="center"/>
                    <w:rPr>
                      <w:szCs w:val="21"/>
                    </w:rPr>
                  </w:pPr>
                  <w:r>
                    <w:rPr>
                      <w:rFonts w:hint="eastAsia"/>
                      <w:szCs w:val="21"/>
                    </w:rPr>
                    <w:t>在硫化机上方设置集气罩，尺寸约800*800mm；挤出机设置抽风管道，管道直径为∅150的抽风接口</w:t>
                  </w:r>
                </w:p>
              </w:tc>
              <w:tc>
                <w:tcPr>
                  <w:tcW w:w="475" w:type="pct"/>
                  <w:tcMar>
                    <w:top w:w="0" w:type="dxa"/>
                    <w:left w:w="0" w:type="dxa"/>
                    <w:bottom w:w="0" w:type="dxa"/>
                    <w:right w:w="0" w:type="dxa"/>
                  </w:tcMar>
                  <w:vAlign w:val="center"/>
                </w:tcPr>
                <w:p w14:paraId="777AAF65">
                  <w:pPr>
                    <w:jc w:val="center"/>
                    <w:rPr>
                      <w:szCs w:val="21"/>
                    </w:rPr>
                  </w:pPr>
                  <w:r>
                    <w:rPr>
                      <w:rFonts w:hint="eastAsia"/>
                      <w:szCs w:val="21"/>
                    </w:rPr>
                    <w:t>600</w:t>
                  </w:r>
                </w:p>
              </w:tc>
              <w:tc>
                <w:tcPr>
                  <w:tcW w:w="491" w:type="pct"/>
                  <w:tcMar>
                    <w:top w:w="0" w:type="dxa"/>
                    <w:left w:w="0" w:type="dxa"/>
                    <w:bottom w:w="0" w:type="dxa"/>
                    <w:right w:w="0" w:type="dxa"/>
                  </w:tcMar>
                  <w:vAlign w:val="center"/>
                </w:tcPr>
                <w:p w14:paraId="63427952">
                  <w:pPr>
                    <w:jc w:val="center"/>
                    <w:rPr>
                      <w:szCs w:val="21"/>
                    </w:rPr>
                  </w:pPr>
                  <w:r>
                    <w:rPr>
                      <w:rFonts w:hint="eastAsia"/>
                      <w:szCs w:val="21"/>
                    </w:rPr>
                    <w:t>12600</w:t>
                  </w:r>
                </w:p>
              </w:tc>
              <w:tc>
                <w:tcPr>
                  <w:tcW w:w="430" w:type="pct"/>
                  <w:vMerge w:val="continue"/>
                  <w:tcMar>
                    <w:top w:w="0" w:type="dxa"/>
                    <w:left w:w="0" w:type="dxa"/>
                    <w:bottom w:w="0" w:type="dxa"/>
                    <w:right w:w="0" w:type="dxa"/>
                  </w:tcMar>
                  <w:vAlign w:val="center"/>
                </w:tcPr>
                <w:p w14:paraId="4D884A28">
                  <w:pPr>
                    <w:jc w:val="center"/>
                    <w:rPr>
                      <w:szCs w:val="21"/>
                    </w:rPr>
                  </w:pPr>
                </w:p>
              </w:tc>
              <w:tc>
                <w:tcPr>
                  <w:tcW w:w="636" w:type="pct"/>
                  <w:vMerge w:val="continue"/>
                  <w:tcMar>
                    <w:top w:w="0" w:type="dxa"/>
                    <w:left w:w="0" w:type="dxa"/>
                    <w:bottom w:w="0" w:type="dxa"/>
                    <w:right w:w="0" w:type="dxa"/>
                  </w:tcMar>
                  <w:vAlign w:val="center"/>
                </w:tcPr>
                <w:p w14:paraId="538384F3">
                  <w:pPr>
                    <w:jc w:val="center"/>
                    <w:rPr>
                      <w:b/>
                      <w:bCs/>
                      <w:szCs w:val="21"/>
                    </w:rPr>
                  </w:pPr>
                </w:p>
              </w:tc>
              <w:tc>
                <w:tcPr>
                  <w:tcW w:w="332" w:type="pct"/>
                  <w:vMerge w:val="continue"/>
                  <w:tcMar>
                    <w:top w:w="0" w:type="dxa"/>
                    <w:left w:w="0" w:type="dxa"/>
                    <w:bottom w:w="0" w:type="dxa"/>
                    <w:right w:w="0" w:type="dxa"/>
                  </w:tcMar>
                  <w:vAlign w:val="center"/>
                </w:tcPr>
                <w:p w14:paraId="7C7576EB">
                  <w:pPr>
                    <w:jc w:val="center"/>
                    <w:rPr>
                      <w:b/>
                      <w:bCs/>
                      <w:szCs w:val="21"/>
                    </w:rPr>
                  </w:pPr>
                </w:p>
              </w:tc>
              <w:tc>
                <w:tcPr>
                  <w:tcW w:w="336" w:type="pct"/>
                  <w:vMerge w:val="continue"/>
                  <w:tcMar>
                    <w:top w:w="0" w:type="dxa"/>
                    <w:left w:w="0" w:type="dxa"/>
                    <w:bottom w:w="0" w:type="dxa"/>
                    <w:right w:w="0" w:type="dxa"/>
                  </w:tcMar>
                  <w:vAlign w:val="center"/>
                </w:tcPr>
                <w:p w14:paraId="078FEA13">
                  <w:pPr>
                    <w:jc w:val="center"/>
                    <w:rPr>
                      <w:b/>
                      <w:bCs/>
                      <w:szCs w:val="21"/>
                    </w:rPr>
                  </w:pPr>
                </w:p>
              </w:tc>
            </w:tr>
            <w:tr w14:paraId="60D149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4D8E116B">
                  <w:pPr>
                    <w:jc w:val="center"/>
                    <w:rPr>
                      <w:szCs w:val="21"/>
                    </w:rPr>
                  </w:pPr>
                  <w:r>
                    <w:rPr>
                      <w:szCs w:val="21"/>
                    </w:rPr>
                    <w:t>现有项目</w:t>
                  </w:r>
                </w:p>
              </w:tc>
              <w:tc>
                <w:tcPr>
                  <w:tcW w:w="606" w:type="pct"/>
                  <w:tcMar>
                    <w:top w:w="0" w:type="dxa"/>
                    <w:left w:w="0" w:type="dxa"/>
                    <w:bottom w:w="0" w:type="dxa"/>
                    <w:right w:w="0" w:type="dxa"/>
                  </w:tcMar>
                  <w:vAlign w:val="center"/>
                </w:tcPr>
                <w:p w14:paraId="6BBC0021">
                  <w:pPr>
                    <w:jc w:val="center"/>
                    <w:rPr>
                      <w:szCs w:val="21"/>
                    </w:rPr>
                  </w:pPr>
                  <w:r>
                    <w:rPr>
                      <w:rFonts w:hint="eastAsia"/>
                      <w:szCs w:val="21"/>
                    </w:rPr>
                    <w:t>二次硫化废气</w:t>
                  </w:r>
                </w:p>
              </w:tc>
              <w:tc>
                <w:tcPr>
                  <w:tcW w:w="1413" w:type="pct"/>
                  <w:tcMar>
                    <w:top w:w="0" w:type="dxa"/>
                    <w:left w:w="0" w:type="dxa"/>
                    <w:bottom w:w="0" w:type="dxa"/>
                    <w:right w:w="0" w:type="dxa"/>
                  </w:tcMar>
                  <w:vAlign w:val="center"/>
                </w:tcPr>
                <w:p w14:paraId="06241049">
                  <w:pPr>
                    <w:jc w:val="center"/>
                    <w:rPr>
                      <w:szCs w:val="21"/>
                    </w:rPr>
                  </w:pPr>
                  <w:r>
                    <w:rPr>
                      <w:rFonts w:hint="eastAsia"/>
                      <w:szCs w:val="21"/>
                    </w:rPr>
                    <w:t>二次加硫机/烘箱设置抽风管道，管道直径为∅150的抽风接口</w:t>
                  </w:r>
                </w:p>
              </w:tc>
              <w:tc>
                <w:tcPr>
                  <w:tcW w:w="475" w:type="pct"/>
                  <w:tcMar>
                    <w:top w:w="0" w:type="dxa"/>
                    <w:left w:w="0" w:type="dxa"/>
                    <w:bottom w:w="0" w:type="dxa"/>
                    <w:right w:w="0" w:type="dxa"/>
                  </w:tcMar>
                  <w:vAlign w:val="center"/>
                </w:tcPr>
                <w:p w14:paraId="5B0C7A9F">
                  <w:pPr>
                    <w:jc w:val="center"/>
                    <w:rPr>
                      <w:szCs w:val="21"/>
                    </w:rPr>
                  </w:pPr>
                  <w:r>
                    <w:rPr>
                      <w:rFonts w:hint="eastAsia"/>
                      <w:szCs w:val="21"/>
                    </w:rPr>
                    <w:t>500</w:t>
                  </w:r>
                </w:p>
              </w:tc>
              <w:tc>
                <w:tcPr>
                  <w:tcW w:w="491" w:type="pct"/>
                  <w:tcMar>
                    <w:top w:w="0" w:type="dxa"/>
                    <w:left w:w="0" w:type="dxa"/>
                    <w:bottom w:w="0" w:type="dxa"/>
                    <w:right w:w="0" w:type="dxa"/>
                  </w:tcMar>
                  <w:vAlign w:val="center"/>
                </w:tcPr>
                <w:p w14:paraId="69850AF5">
                  <w:pPr>
                    <w:jc w:val="center"/>
                    <w:rPr>
                      <w:szCs w:val="21"/>
                    </w:rPr>
                  </w:pPr>
                  <w:r>
                    <w:rPr>
                      <w:rFonts w:hint="eastAsia"/>
                      <w:szCs w:val="21"/>
                    </w:rPr>
                    <w:t>8500</w:t>
                  </w:r>
                </w:p>
              </w:tc>
              <w:tc>
                <w:tcPr>
                  <w:tcW w:w="430" w:type="pct"/>
                  <w:vMerge w:val="restart"/>
                  <w:tcMar>
                    <w:top w:w="0" w:type="dxa"/>
                    <w:left w:w="0" w:type="dxa"/>
                    <w:bottom w:w="0" w:type="dxa"/>
                    <w:right w:w="0" w:type="dxa"/>
                  </w:tcMar>
                  <w:vAlign w:val="center"/>
                </w:tcPr>
                <w:p w14:paraId="1B622CBE">
                  <w:pPr>
                    <w:jc w:val="center"/>
                    <w:rPr>
                      <w:szCs w:val="21"/>
                    </w:rPr>
                  </w:pPr>
                  <w:r>
                    <w:rPr>
                      <w:rFonts w:hint="eastAsia"/>
                      <w:szCs w:val="21"/>
                    </w:rPr>
                    <w:t>12500</w:t>
                  </w:r>
                </w:p>
              </w:tc>
              <w:tc>
                <w:tcPr>
                  <w:tcW w:w="636" w:type="pct"/>
                  <w:vMerge w:val="restart"/>
                  <w:tcMar>
                    <w:top w:w="0" w:type="dxa"/>
                    <w:left w:w="0" w:type="dxa"/>
                    <w:bottom w:w="0" w:type="dxa"/>
                    <w:right w:w="0" w:type="dxa"/>
                  </w:tcMar>
                  <w:vAlign w:val="center"/>
                </w:tcPr>
                <w:p w14:paraId="0672B5B1">
                  <w:pPr>
                    <w:jc w:val="center"/>
                    <w:rPr>
                      <w:b/>
                      <w:bCs/>
                      <w:szCs w:val="21"/>
                    </w:rPr>
                  </w:pPr>
                  <w:r>
                    <w:rPr>
                      <w:rFonts w:hint="eastAsia"/>
                      <w:szCs w:val="21"/>
                    </w:rPr>
                    <w:t>现有风机18000</w:t>
                  </w:r>
                  <w:r>
                    <w:rPr>
                      <w:szCs w:val="21"/>
                    </w:rPr>
                    <w:t>m</w:t>
                  </w:r>
                  <w:r>
                    <w:rPr>
                      <w:szCs w:val="21"/>
                      <w:vertAlign w:val="superscript"/>
                    </w:rPr>
                    <w:t>3</w:t>
                  </w:r>
                  <w:r>
                    <w:rPr>
                      <w:szCs w:val="21"/>
                    </w:rPr>
                    <w:t>/h，</w:t>
                  </w:r>
                  <w:r>
                    <w:rPr>
                      <w:rFonts w:hint="eastAsia"/>
                      <w:szCs w:val="21"/>
                    </w:rPr>
                    <w:t>能够满足使用</w:t>
                  </w:r>
                </w:p>
              </w:tc>
              <w:tc>
                <w:tcPr>
                  <w:tcW w:w="332" w:type="pct"/>
                  <w:vMerge w:val="restart"/>
                  <w:tcMar>
                    <w:top w:w="0" w:type="dxa"/>
                    <w:left w:w="0" w:type="dxa"/>
                    <w:bottom w:w="0" w:type="dxa"/>
                    <w:right w:w="0" w:type="dxa"/>
                  </w:tcMar>
                  <w:vAlign w:val="center"/>
                </w:tcPr>
                <w:p w14:paraId="133CDD6E">
                  <w:pPr>
                    <w:jc w:val="center"/>
                    <w:rPr>
                      <w:b/>
                      <w:bCs/>
                      <w:szCs w:val="21"/>
                    </w:rPr>
                  </w:pPr>
                  <w:r>
                    <w:rPr>
                      <w:szCs w:val="21"/>
                    </w:rPr>
                    <w:t>碱液喷淋塔+除雾装置+二级活性炭吸附装置</w:t>
                  </w:r>
                </w:p>
              </w:tc>
              <w:tc>
                <w:tcPr>
                  <w:tcW w:w="336" w:type="pct"/>
                  <w:vMerge w:val="continue"/>
                  <w:tcMar>
                    <w:top w:w="0" w:type="dxa"/>
                    <w:left w:w="0" w:type="dxa"/>
                    <w:bottom w:w="0" w:type="dxa"/>
                    <w:right w:w="0" w:type="dxa"/>
                  </w:tcMar>
                  <w:vAlign w:val="center"/>
                </w:tcPr>
                <w:p w14:paraId="37F63E75">
                  <w:pPr>
                    <w:jc w:val="center"/>
                    <w:rPr>
                      <w:b/>
                      <w:bCs/>
                      <w:szCs w:val="21"/>
                    </w:rPr>
                  </w:pPr>
                </w:p>
              </w:tc>
            </w:tr>
            <w:tr w14:paraId="2D81F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6489624E">
                  <w:pPr>
                    <w:jc w:val="center"/>
                    <w:rPr>
                      <w:szCs w:val="21"/>
                    </w:rPr>
                  </w:pPr>
                  <w:r>
                    <w:rPr>
                      <w:bCs/>
                      <w:szCs w:val="21"/>
                    </w:rPr>
                    <w:t>拟扩建项目</w:t>
                  </w:r>
                </w:p>
              </w:tc>
              <w:tc>
                <w:tcPr>
                  <w:tcW w:w="606" w:type="pct"/>
                  <w:shd w:val="clear" w:color="auto" w:fill="auto"/>
                  <w:tcMar>
                    <w:top w:w="0" w:type="dxa"/>
                    <w:left w:w="0" w:type="dxa"/>
                    <w:bottom w:w="0" w:type="dxa"/>
                    <w:right w:w="0" w:type="dxa"/>
                  </w:tcMar>
                  <w:vAlign w:val="center"/>
                </w:tcPr>
                <w:p w14:paraId="0DCECBCC">
                  <w:pPr>
                    <w:jc w:val="center"/>
                    <w:rPr>
                      <w:szCs w:val="21"/>
                    </w:rPr>
                  </w:pPr>
                  <w:r>
                    <w:rPr>
                      <w:rFonts w:hint="eastAsia"/>
                      <w:szCs w:val="21"/>
                    </w:rPr>
                    <w:t>二次硫化废气</w:t>
                  </w:r>
                </w:p>
              </w:tc>
              <w:tc>
                <w:tcPr>
                  <w:tcW w:w="1413" w:type="pct"/>
                  <w:shd w:val="clear" w:color="auto" w:fill="auto"/>
                  <w:tcMar>
                    <w:top w:w="0" w:type="dxa"/>
                    <w:left w:w="0" w:type="dxa"/>
                    <w:bottom w:w="0" w:type="dxa"/>
                    <w:right w:w="0" w:type="dxa"/>
                  </w:tcMar>
                  <w:vAlign w:val="center"/>
                </w:tcPr>
                <w:p w14:paraId="33F501B6">
                  <w:pPr>
                    <w:jc w:val="center"/>
                    <w:rPr>
                      <w:szCs w:val="21"/>
                    </w:rPr>
                  </w:pPr>
                  <w:r>
                    <w:rPr>
                      <w:rFonts w:hint="eastAsia"/>
                      <w:szCs w:val="21"/>
                    </w:rPr>
                    <w:t>二次加硫机/烘箱设置抽风管道，管道直径为∅150的抽风接口</w:t>
                  </w:r>
                </w:p>
              </w:tc>
              <w:tc>
                <w:tcPr>
                  <w:tcW w:w="475" w:type="pct"/>
                  <w:shd w:val="clear" w:color="auto" w:fill="auto"/>
                  <w:tcMar>
                    <w:top w:w="0" w:type="dxa"/>
                    <w:left w:w="0" w:type="dxa"/>
                    <w:bottom w:w="0" w:type="dxa"/>
                    <w:right w:w="0" w:type="dxa"/>
                  </w:tcMar>
                  <w:vAlign w:val="center"/>
                </w:tcPr>
                <w:p w14:paraId="2D515486">
                  <w:pPr>
                    <w:jc w:val="center"/>
                    <w:rPr>
                      <w:szCs w:val="21"/>
                    </w:rPr>
                  </w:pPr>
                  <w:r>
                    <w:rPr>
                      <w:rFonts w:hint="eastAsia"/>
                      <w:szCs w:val="21"/>
                    </w:rPr>
                    <w:t>500</w:t>
                  </w:r>
                </w:p>
              </w:tc>
              <w:tc>
                <w:tcPr>
                  <w:tcW w:w="491" w:type="pct"/>
                  <w:shd w:val="clear" w:color="auto" w:fill="auto"/>
                  <w:tcMar>
                    <w:top w:w="0" w:type="dxa"/>
                    <w:left w:w="0" w:type="dxa"/>
                    <w:bottom w:w="0" w:type="dxa"/>
                    <w:right w:w="0" w:type="dxa"/>
                  </w:tcMar>
                  <w:vAlign w:val="center"/>
                </w:tcPr>
                <w:p w14:paraId="0C9A3BAA">
                  <w:pPr>
                    <w:jc w:val="center"/>
                    <w:rPr>
                      <w:szCs w:val="21"/>
                    </w:rPr>
                  </w:pPr>
                  <w:r>
                    <w:rPr>
                      <w:rFonts w:hint="eastAsia"/>
                      <w:szCs w:val="21"/>
                    </w:rPr>
                    <w:t>4000</w:t>
                  </w:r>
                </w:p>
              </w:tc>
              <w:tc>
                <w:tcPr>
                  <w:tcW w:w="430" w:type="pct"/>
                  <w:vMerge w:val="continue"/>
                  <w:tcMar>
                    <w:top w:w="0" w:type="dxa"/>
                    <w:left w:w="0" w:type="dxa"/>
                    <w:bottom w:w="0" w:type="dxa"/>
                    <w:right w:w="0" w:type="dxa"/>
                  </w:tcMar>
                  <w:vAlign w:val="center"/>
                </w:tcPr>
                <w:p w14:paraId="26C36418">
                  <w:pPr>
                    <w:jc w:val="center"/>
                    <w:rPr>
                      <w:szCs w:val="21"/>
                    </w:rPr>
                  </w:pPr>
                </w:p>
              </w:tc>
              <w:tc>
                <w:tcPr>
                  <w:tcW w:w="636" w:type="pct"/>
                  <w:vMerge w:val="continue"/>
                  <w:tcMar>
                    <w:top w:w="0" w:type="dxa"/>
                    <w:left w:w="0" w:type="dxa"/>
                    <w:bottom w:w="0" w:type="dxa"/>
                    <w:right w:w="0" w:type="dxa"/>
                  </w:tcMar>
                  <w:vAlign w:val="center"/>
                </w:tcPr>
                <w:p w14:paraId="21C9E41E">
                  <w:pPr>
                    <w:jc w:val="center"/>
                    <w:rPr>
                      <w:b/>
                      <w:bCs/>
                      <w:szCs w:val="21"/>
                    </w:rPr>
                  </w:pPr>
                </w:p>
              </w:tc>
              <w:tc>
                <w:tcPr>
                  <w:tcW w:w="332" w:type="pct"/>
                  <w:vMerge w:val="continue"/>
                  <w:tcMar>
                    <w:top w:w="0" w:type="dxa"/>
                    <w:left w:w="0" w:type="dxa"/>
                    <w:bottom w:w="0" w:type="dxa"/>
                    <w:right w:w="0" w:type="dxa"/>
                  </w:tcMar>
                  <w:vAlign w:val="center"/>
                </w:tcPr>
                <w:p w14:paraId="7F9B7D0D">
                  <w:pPr>
                    <w:jc w:val="center"/>
                    <w:rPr>
                      <w:b/>
                      <w:bCs/>
                      <w:szCs w:val="21"/>
                    </w:rPr>
                  </w:pPr>
                </w:p>
              </w:tc>
              <w:tc>
                <w:tcPr>
                  <w:tcW w:w="336" w:type="pct"/>
                  <w:vMerge w:val="continue"/>
                  <w:tcMar>
                    <w:top w:w="0" w:type="dxa"/>
                    <w:left w:w="0" w:type="dxa"/>
                    <w:bottom w:w="0" w:type="dxa"/>
                    <w:right w:w="0" w:type="dxa"/>
                  </w:tcMar>
                  <w:vAlign w:val="center"/>
                </w:tcPr>
                <w:p w14:paraId="0BE6B037">
                  <w:pPr>
                    <w:jc w:val="center"/>
                    <w:rPr>
                      <w:b/>
                      <w:bCs/>
                      <w:szCs w:val="21"/>
                    </w:rPr>
                  </w:pPr>
                </w:p>
              </w:tc>
            </w:tr>
            <w:tr w14:paraId="1953C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2A649369">
                  <w:pPr>
                    <w:jc w:val="center"/>
                    <w:rPr>
                      <w:bCs/>
                      <w:szCs w:val="21"/>
                    </w:rPr>
                  </w:pPr>
                  <w:r>
                    <w:rPr>
                      <w:rFonts w:hint="eastAsia"/>
                      <w:bCs/>
                      <w:szCs w:val="21"/>
                    </w:rPr>
                    <w:t>现有项目</w:t>
                  </w:r>
                </w:p>
              </w:tc>
              <w:tc>
                <w:tcPr>
                  <w:tcW w:w="606" w:type="pct"/>
                  <w:tcMar>
                    <w:top w:w="0" w:type="dxa"/>
                    <w:left w:w="0" w:type="dxa"/>
                    <w:bottom w:w="0" w:type="dxa"/>
                    <w:right w:w="0" w:type="dxa"/>
                  </w:tcMar>
                  <w:vAlign w:val="center"/>
                </w:tcPr>
                <w:p w14:paraId="2CF029B4">
                  <w:pPr>
                    <w:jc w:val="center"/>
                    <w:rPr>
                      <w:bCs/>
                      <w:szCs w:val="21"/>
                    </w:rPr>
                  </w:pPr>
                  <w:r>
                    <w:rPr>
                      <w:bCs/>
                      <w:szCs w:val="21"/>
                    </w:rPr>
                    <w:t>硫化废气</w:t>
                  </w:r>
                </w:p>
              </w:tc>
              <w:tc>
                <w:tcPr>
                  <w:tcW w:w="2552" w:type="dxa"/>
                  <w:tcMar>
                    <w:top w:w="0" w:type="dxa"/>
                    <w:left w:w="0" w:type="dxa"/>
                    <w:bottom w:w="0" w:type="dxa"/>
                    <w:right w:w="0" w:type="dxa"/>
                  </w:tcMar>
                  <w:vAlign w:val="center"/>
                </w:tcPr>
                <w:p w14:paraId="2B43680B">
                  <w:pPr>
                    <w:jc w:val="center"/>
                    <w:rPr>
                      <w:bCs/>
                      <w:szCs w:val="21"/>
                    </w:rPr>
                  </w:pPr>
                  <w:r>
                    <w:rPr>
                      <w:rFonts w:hint="eastAsia"/>
                      <w:szCs w:val="21"/>
                    </w:rPr>
                    <w:t>在硫化机上方设置集气罩，尺寸约800*800mm；挤出机设置抽风管道，管道直径为∅150的抽风接口</w:t>
                  </w:r>
                </w:p>
              </w:tc>
              <w:tc>
                <w:tcPr>
                  <w:tcW w:w="858" w:type="dxa"/>
                  <w:tcMar>
                    <w:top w:w="0" w:type="dxa"/>
                    <w:left w:w="0" w:type="dxa"/>
                    <w:bottom w:w="0" w:type="dxa"/>
                    <w:right w:w="0" w:type="dxa"/>
                  </w:tcMar>
                  <w:vAlign w:val="center"/>
                </w:tcPr>
                <w:p w14:paraId="4EA1A78C">
                  <w:pPr>
                    <w:jc w:val="center"/>
                    <w:rPr>
                      <w:bCs/>
                      <w:szCs w:val="21"/>
                    </w:rPr>
                  </w:pPr>
                  <w:r>
                    <w:rPr>
                      <w:rFonts w:hint="eastAsia"/>
                      <w:szCs w:val="21"/>
                    </w:rPr>
                    <w:t>300</w:t>
                  </w:r>
                </w:p>
              </w:tc>
              <w:tc>
                <w:tcPr>
                  <w:tcW w:w="491" w:type="pct"/>
                  <w:tcMar>
                    <w:top w:w="0" w:type="dxa"/>
                    <w:left w:w="0" w:type="dxa"/>
                    <w:bottom w:w="0" w:type="dxa"/>
                    <w:right w:w="0" w:type="dxa"/>
                  </w:tcMar>
                  <w:vAlign w:val="center"/>
                </w:tcPr>
                <w:p w14:paraId="0C77ECE2">
                  <w:pPr>
                    <w:jc w:val="center"/>
                    <w:rPr>
                      <w:bCs/>
                      <w:szCs w:val="21"/>
                    </w:rPr>
                  </w:pPr>
                  <w:r>
                    <w:rPr>
                      <w:rFonts w:hint="eastAsia"/>
                      <w:bCs/>
                      <w:szCs w:val="21"/>
                    </w:rPr>
                    <w:t>34800</w:t>
                  </w:r>
                </w:p>
              </w:tc>
              <w:tc>
                <w:tcPr>
                  <w:tcW w:w="430" w:type="pct"/>
                  <w:vMerge w:val="restart"/>
                  <w:tcMar>
                    <w:top w:w="0" w:type="dxa"/>
                    <w:left w:w="0" w:type="dxa"/>
                    <w:bottom w:w="0" w:type="dxa"/>
                    <w:right w:w="0" w:type="dxa"/>
                  </w:tcMar>
                  <w:vAlign w:val="center"/>
                </w:tcPr>
                <w:p w14:paraId="430DEB30">
                  <w:pPr>
                    <w:jc w:val="center"/>
                    <w:rPr>
                      <w:bCs/>
                      <w:szCs w:val="21"/>
                    </w:rPr>
                  </w:pPr>
                  <w:r>
                    <w:rPr>
                      <w:rFonts w:hint="eastAsia"/>
                      <w:bCs/>
                      <w:szCs w:val="21"/>
                    </w:rPr>
                    <w:t>42000</w:t>
                  </w:r>
                </w:p>
              </w:tc>
              <w:tc>
                <w:tcPr>
                  <w:tcW w:w="636" w:type="pct"/>
                  <w:vMerge w:val="restart"/>
                  <w:tcMar>
                    <w:top w:w="0" w:type="dxa"/>
                    <w:left w:w="0" w:type="dxa"/>
                    <w:bottom w:w="0" w:type="dxa"/>
                    <w:right w:w="0" w:type="dxa"/>
                  </w:tcMar>
                  <w:vAlign w:val="center"/>
                </w:tcPr>
                <w:p w14:paraId="3FBAF582">
                  <w:pPr>
                    <w:jc w:val="center"/>
                    <w:rPr>
                      <w:bCs/>
                      <w:szCs w:val="21"/>
                    </w:rPr>
                  </w:pPr>
                  <w:r>
                    <w:rPr>
                      <w:rFonts w:hint="eastAsia"/>
                      <w:szCs w:val="21"/>
                    </w:rPr>
                    <w:t>现有风机45000</w:t>
                  </w:r>
                  <w:r>
                    <w:rPr>
                      <w:szCs w:val="21"/>
                    </w:rPr>
                    <w:t>m</w:t>
                  </w:r>
                  <w:r>
                    <w:rPr>
                      <w:szCs w:val="21"/>
                      <w:vertAlign w:val="superscript"/>
                    </w:rPr>
                    <w:t>3</w:t>
                  </w:r>
                  <w:r>
                    <w:rPr>
                      <w:szCs w:val="21"/>
                    </w:rPr>
                    <w:t>/h，</w:t>
                  </w:r>
                  <w:r>
                    <w:rPr>
                      <w:rFonts w:hint="eastAsia"/>
                      <w:szCs w:val="21"/>
                    </w:rPr>
                    <w:t>能够满足使用</w:t>
                  </w:r>
                </w:p>
              </w:tc>
              <w:tc>
                <w:tcPr>
                  <w:tcW w:w="332" w:type="pct"/>
                  <w:vMerge w:val="restart"/>
                  <w:tcMar>
                    <w:top w:w="0" w:type="dxa"/>
                    <w:left w:w="0" w:type="dxa"/>
                    <w:bottom w:w="0" w:type="dxa"/>
                    <w:right w:w="0" w:type="dxa"/>
                  </w:tcMar>
                  <w:vAlign w:val="center"/>
                </w:tcPr>
                <w:p w14:paraId="4C2DF15B">
                  <w:pPr>
                    <w:jc w:val="center"/>
                    <w:rPr>
                      <w:bCs/>
                      <w:szCs w:val="21"/>
                    </w:rPr>
                  </w:pPr>
                  <w:r>
                    <w:rPr>
                      <w:szCs w:val="21"/>
                    </w:rPr>
                    <w:t>碱液喷淋塔+除雾装置+二级活性炭吸附装置</w:t>
                  </w:r>
                </w:p>
              </w:tc>
              <w:tc>
                <w:tcPr>
                  <w:tcW w:w="336" w:type="pct"/>
                  <w:vMerge w:val="restart"/>
                  <w:tcMar>
                    <w:top w:w="0" w:type="dxa"/>
                    <w:left w:w="0" w:type="dxa"/>
                    <w:bottom w:w="0" w:type="dxa"/>
                    <w:right w:w="0" w:type="dxa"/>
                  </w:tcMar>
                  <w:vAlign w:val="center"/>
                </w:tcPr>
                <w:p w14:paraId="2441667A">
                  <w:pPr>
                    <w:jc w:val="center"/>
                    <w:rPr>
                      <w:bCs/>
                      <w:szCs w:val="21"/>
                    </w:rPr>
                  </w:pPr>
                  <w:r>
                    <w:rPr>
                      <w:rFonts w:hint="eastAsia"/>
                      <w:szCs w:val="21"/>
                    </w:rPr>
                    <w:t>合并至3</w:t>
                  </w:r>
                  <w:r>
                    <w:rPr>
                      <w:szCs w:val="21"/>
                    </w:rPr>
                    <w:t>#排气筒</w:t>
                  </w:r>
                </w:p>
              </w:tc>
            </w:tr>
            <w:tr w14:paraId="0F696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7BDCF636">
                  <w:pPr>
                    <w:jc w:val="center"/>
                    <w:rPr>
                      <w:bCs/>
                      <w:szCs w:val="21"/>
                    </w:rPr>
                  </w:pPr>
                  <w:r>
                    <w:rPr>
                      <w:bCs/>
                      <w:szCs w:val="21"/>
                    </w:rPr>
                    <w:t>拟扩建项目</w:t>
                  </w:r>
                </w:p>
              </w:tc>
              <w:tc>
                <w:tcPr>
                  <w:tcW w:w="606" w:type="pct"/>
                  <w:tcMar>
                    <w:top w:w="0" w:type="dxa"/>
                    <w:left w:w="0" w:type="dxa"/>
                    <w:bottom w:w="0" w:type="dxa"/>
                    <w:right w:w="0" w:type="dxa"/>
                  </w:tcMar>
                  <w:vAlign w:val="center"/>
                </w:tcPr>
                <w:p w14:paraId="45318208">
                  <w:pPr>
                    <w:jc w:val="center"/>
                    <w:rPr>
                      <w:bCs/>
                      <w:szCs w:val="21"/>
                    </w:rPr>
                  </w:pPr>
                  <w:r>
                    <w:rPr>
                      <w:bCs/>
                      <w:szCs w:val="21"/>
                    </w:rPr>
                    <w:t>硫化废气</w:t>
                  </w:r>
                </w:p>
              </w:tc>
              <w:tc>
                <w:tcPr>
                  <w:tcW w:w="2552" w:type="dxa"/>
                  <w:tcMar>
                    <w:top w:w="0" w:type="dxa"/>
                    <w:left w:w="0" w:type="dxa"/>
                    <w:bottom w:w="0" w:type="dxa"/>
                    <w:right w:w="0" w:type="dxa"/>
                  </w:tcMar>
                  <w:vAlign w:val="center"/>
                </w:tcPr>
                <w:p w14:paraId="0B73EC81">
                  <w:pPr>
                    <w:jc w:val="center"/>
                    <w:rPr>
                      <w:bCs/>
                      <w:szCs w:val="21"/>
                    </w:rPr>
                  </w:pPr>
                  <w:r>
                    <w:rPr>
                      <w:rFonts w:hint="eastAsia"/>
                      <w:szCs w:val="21"/>
                    </w:rPr>
                    <w:t>在硫化机上方设置集气罩，尺寸约800*800mm；挤出机设置抽风管道，管道直径为∅150的抽风接口</w:t>
                  </w:r>
                </w:p>
              </w:tc>
              <w:tc>
                <w:tcPr>
                  <w:tcW w:w="858" w:type="dxa"/>
                  <w:tcMar>
                    <w:top w:w="0" w:type="dxa"/>
                    <w:left w:w="0" w:type="dxa"/>
                    <w:bottom w:w="0" w:type="dxa"/>
                    <w:right w:w="0" w:type="dxa"/>
                  </w:tcMar>
                  <w:vAlign w:val="center"/>
                </w:tcPr>
                <w:p w14:paraId="6819BE91">
                  <w:pPr>
                    <w:jc w:val="center"/>
                    <w:rPr>
                      <w:bCs/>
                      <w:szCs w:val="21"/>
                    </w:rPr>
                  </w:pPr>
                  <w:r>
                    <w:rPr>
                      <w:rFonts w:hint="eastAsia"/>
                      <w:szCs w:val="21"/>
                    </w:rPr>
                    <w:t>600</w:t>
                  </w:r>
                </w:p>
              </w:tc>
              <w:tc>
                <w:tcPr>
                  <w:tcW w:w="491" w:type="pct"/>
                  <w:tcMar>
                    <w:top w:w="0" w:type="dxa"/>
                    <w:left w:w="0" w:type="dxa"/>
                    <w:bottom w:w="0" w:type="dxa"/>
                    <w:right w:w="0" w:type="dxa"/>
                  </w:tcMar>
                  <w:vAlign w:val="center"/>
                </w:tcPr>
                <w:p w14:paraId="0C399520">
                  <w:pPr>
                    <w:jc w:val="center"/>
                    <w:rPr>
                      <w:bCs/>
                      <w:szCs w:val="21"/>
                    </w:rPr>
                  </w:pPr>
                  <w:r>
                    <w:rPr>
                      <w:rFonts w:hint="eastAsia"/>
                      <w:bCs/>
                      <w:szCs w:val="21"/>
                    </w:rPr>
                    <w:t>7200</w:t>
                  </w:r>
                </w:p>
              </w:tc>
              <w:tc>
                <w:tcPr>
                  <w:tcW w:w="430" w:type="pct"/>
                  <w:vMerge w:val="continue"/>
                  <w:tcMar>
                    <w:top w:w="0" w:type="dxa"/>
                    <w:left w:w="0" w:type="dxa"/>
                    <w:bottom w:w="0" w:type="dxa"/>
                    <w:right w:w="0" w:type="dxa"/>
                  </w:tcMar>
                  <w:vAlign w:val="center"/>
                </w:tcPr>
                <w:p w14:paraId="6A1D17EB">
                  <w:pPr>
                    <w:jc w:val="center"/>
                    <w:rPr>
                      <w:bCs/>
                      <w:szCs w:val="21"/>
                    </w:rPr>
                  </w:pPr>
                </w:p>
              </w:tc>
              <w:tc>
                <w:tcPr>
                  <w:tcW w:w="636" w:type="pct"/>
                  <w:vMerge w:val="continue"/>
                  <w:tcMar>
                    <w:top w:w="0" w:type="dxa"/>
                    <w:left w:w="0" w:type="dxa"/>
                    <w:bottom w:w="0" w:type="dxa"/>
                    <w:right w:w="0" w:type="dxa"/>
                  </w:tcMar>
                  <w:vAlign w:val="center"/>
                </w:tcPr>
                <w:p w14:paraId="59CD1340">
                  <w:pPr>
                    <w:jc w:val="center"/>
                    <w:rPr>
                      <w:bCs/>
                      <w:szCs w:val="21"/>
                    </w:rPr>
                  </w:pPr>
                </w:p>
              </w:tc>
              <w:tc>
                <w:tcPr>
                  <w:tcW w:w="332" w:type="pct"/>
                  <w:vMerge w:val="continue"/>
                  <w:tcMar>
                    <w:top w:w="0" w:type="dxa"/>
                    <w:left w:w="0" w:type="dxa"/>
                    <w:bottom w:w="0" w:type="dxa"/>
                    <w:right w:w="0" w:type="dxa"/>
                  </w:tcMar>
                  <w:vAlign w:val="center"/>
                </w:tcPr>
                <w:p w14:paraId="70EAA0FD">
                  <w:pPr>
                    <w:jc w:val="center"/>
                    <w:rPr>
                      <w:bCs/>
                      <w:szCs w:val="21"/>
                    </w:rPr>
                  </w:pPr>
                </w:p>
              </w:tc>
              <w:tc>
                <w:tcPr>
                  <w:tcW w:w="336" w:type="pct"/>
                  <w:vMerge w:val="continue"/>
                  <w:tcMar>
                    <w:top w:w="0" w:type="dxa"/>
                    <w:left w:w="0" w:type="dxa"/>
                    <w:bottom w:w="0" w:type="dxa"/>
                    <w:right w:w="0" w:type="dxa"/>
                  </w:tcMar>
                  <w:vAlign w:val="center"/>
                </w:tcPr>
                <w:p w14:paraId="2EBCE19E">
                  <w:pPr>
                    <w:jc w:val="center"/>
                    <w:rPr>
                      <w:bCs/>
                      <w:szCs w:val="21"/>
                    </w:rPr>
                  </w:pPr>
                </w:p>
              </w:tc>
            </w:tr>
            <w:tr w14:paraId="695208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038FF23D">
                  <w:pPr>
                    <w:jc w:val="center"/>
                    <w:rPr>
                      <w:bCs/>
                      <w:szCs w:val="21"/>
                    </w:rPr>
                  </w:pPr>
                  <w:r>
                    <w:rPr>
                      <w:rFonts w:hint="eastAsia"/>
                      <w:bCs/>
                      <w:szCs w:val="21"/>
                    </w:rPr>
                    <w:t>现有项目</w:t>
                  </w:r>
                </w:p>
              </w:tc>
              <w:tc>
                <w:tcPr>
                  <w:tcW w:w="606" w:type="pct"/>
                  <w:shd w:val="clear" w:color="auto" w:fill="auto"/>
                  <w:tcMar>
                    <w:top w:w="0" w:type="dxa"/>
                    <w:left w:w="0" w:type="dxa"/>
                    <w:bottom w:w="0" w:type="dxa"/>
                    <w:right w:w="0" w:type="dxa"/>
                  </w:tcMar>
                  <w:vAlign w:val="center"/>
                </w:tcPr>
                <w:p w14:paraId="612398A7">
                  <w:pPr>
                    <w:jc w:val="center"/>
                    <w:rPr>
                      <w:bCs/>
                      <w:szCs w:val="21"/>
                    </w:rPr>
                  </w:pPr>
                  <w:r>
                    <w:rPr>
                      <w:rFonts w:hint="eastAsia"/>
                      <w:bCs/>
                      <w:szCs w:val="21"/>
                    </w:rPr>
                    <w:t>二次硫化废气</w:t>
                  </w:r>
                </w:p>
              </w:tc>
              <w:tc>
                <w:tcPr>
                  <w:tcW w:w="2552" w:type="dxa"/>
                  <w:shd w:val="clear" w:color="auto" w:fill="auto"/>
                  <w:tcMar>
                    <w:top w:w="0" w:type="dxa"/>
                    <w:left w:w="0" w:type="dxa"/>
                    <w:bottom w:w="0" w:type="dxa"/>
                    <w:right w:w="0" w:type="dxa"/>
                  </w:tcMar>
                  <w:vAlign w:val="center"/>
                </w:tcPr>
                <w:p w14:paraId="4FFA2101">
                  <w:pPr>
                    <w:jc w:val="center"/>
                    <w:rPr>
                      <w:bCs/>
                      <w:szCs w:val="21"/>
                    </w:rPr>
                  </w:pPr>
                  <w:r>
                    <w:rPr>
                      <w:rFonts w:hint="eastAsia"/>
                      <w:szCs w:val="21"/>
                    </w:rPr>
                    <w:t>二次加硫机/烘箱设置抽风管道，管道直径为∅150的抽风接口</w:t>
                  </w:r>
                </w:p>
              </w:tc>
              <w:tc>
                <w:tcPr>
                  <w:tcW w:w="858" w:type="dxa"/>
                  <w:tcMar>
                    <w:top w:w="0" w:type="dxa"/>
                    <w:left w:w="0" w:type="dxa"/>
                    <w:bottom w:w="0" w:type="dxa"/>
                    <w:right w:w="0" w:type="dxa"/>
                  </w:tcMar>
                  <w:vAlign w:val="center"/>
                </w:tcPr>
                <w:p w14:paraId="44631F2D">
                  <w:pPr>
                    <w:jc w:val="center"/>
                    <w:rPr>
                      <w:bCs/>
                      <w:szCs w:val="21"/>
                    </w:rPr>
                  </w:pPr>
                  <w:r>
                    <w:rPr>
                      <w:rFonts w:hint="eastAsia"/>
                      <w:szCs w:val="21"/>
                    </w:rPr>
                    <w:t>1200</w:t>
                  </w:r>
                </w:p>
              </w:tc>
              <w:tc>
                <w:tcPr>
                  <w:tcW w:w="491" w:type="pct"/>
                  <w:tcMar>
                    <w:top w:w="0" w:type="dxa"/>
                    <w:left w:w="0" w:type="dxa"/>
                    <w:bottom w:w="0" w:type="dxa"/>
                    <w:right w:w="0" w:type="dxa"/>
                  </w:tcMar>
                  <w:vAlign w:val="center"/>
                </w:tcPr>
                <w:p w14:paraId="18CC09B0">
                  <w:pPr>
                    <w:jc w:val="center"/>
                    <w:rPr>
                      <w:bCs/>
                      <w:szCs w:val="21"/>
                    </w:rPr>
                  </w:pPr>
                  <w:r>
                    <w:rPr>
                      <w:rFonts w:hint="eastAsia"/>
                      <w:bCs/>
                      <w:szCs w:val="21"/>
                    </w:rPr>
                    <w:t>7200</w:t>
                  </w:r>
                </w:p>
              </w:tc>
              <w:tc>
                <w:tcPr>
                  <w:tcW w:w="430" w:type="pct"/>
                  <w:vMerge w:val="restart"/>
                  <w:tcMar>
                    <w:top w:w="0" w:type="dxa"/>
                    <w:left w:w="0" w:type="dxa"/>
                    <w:bottom w:w="0" w:type="dxa"/>
                    <w:right w:w="0" w:type="dxa"/>
                  </w:tcMar>
                  <w:vAlign w:val="center"/>
                </w:tcPr>
                <w:p w14:paraId="6F3E06B5">
                  <w:pPr>
                    <w:jc w:val="center"/>
                    <w:rPr>
                      <w:bCs/>
                      <w:szCs w:val="21"/>
                    </w:rPr>
                  </w:pPr>
                  <w:r>
                    <w:rPr>
                      <w:rFonts w:hint="eastAsia"/>
                      <w:bCs/>
                      <w:szCs w:val="21"/>
                    </w:rPr>
                    <w:t>9600</w:t>
                  </w:r>
                </w:p>
              </w:tc>
              <w:tc>
                <w:tcPr>
                  <w:tcW w:w="636" w:type="pct"/>
                  <w:vMerge w:val="restart"/>
                  <w:tcMar>
                    <w:top w:w="0" w:type="dxa"/>
                    <w:left w:w="0" w:type="dxa"/>
                    <w:bottom w:w="0" w:type="dxa"/>
                    <w:right w:w="0" w:type="dxa"/>
                  </w:tcMar>
                  <w:vAlign w:val="center"/>
                </w:tcPr>
                <w:p w14:paraId="0D1354EA">
                  <w:pPr>
                    <w:jc w:val="center"/>
                    <w:rPr>
                      <w:bCs/>
                      <w:szCs w:val="21"/>
                    </w:rPr>
                  </w:pPr>
                  <w:r>
                    <w:rPr>
                      <w:rFonts w:hint="eastAsia"/>
                      <w:szCs w:val="21"/>
                    </w:rPr>
                    <w:t>现有风机18000</w:t>
                  </w:r>
                  <w:r>
                    <w:rPr>
                      <w:szCs w:val="21"/>
                    </w:rPr>
                    <w:t>m</w:t>
                  </w:r>
                  <w:r>
                    <w:rPr>
                      <w:szCs w:val="21"/>
                      <w:vertAlign w:val="superscript"/>
                    </w:rPr>
                    <w:t>3</w:t>
                  </w:r>
                  <w:r>
                    <w:rPr>
                      <w:szCs w:val="21"/>
                    </w:rPr>
                    <w:t>/h，</w:t>
                  </w:r>
                  <w:r>
                    <w:rPr>
                      <w:rFonts w:hint="eastAsia"/>
                      <w:szCs w:val="21"/>
                    </w:rPr>
                    <w:t>能够满足使用</w:t>
                  </w:r>
                </w:p>
              </w:tc>
              <w:tc>
                <w:tcPr>
                  <w:tcW w:w="332" w:type="pct"/>
                  <w:vMerge w:val="restart"/>
                  <w:tcMar>
                    <w:top w:w="0" w:type="dxa"/>
                    <w:left w:w="0" w:type="dxa"/>
                    <w:bottom w:w="0" w:type="dxa"/>
                    <w:right w:w="0" w:type="dxa"/>
                  </w:tcMar>
                  <w:vAlign w:val="center"/>
                </w:tcPr>
                <w:p w14:paraId="7D6FAD89">
                  <w:pPr>
                    <w:jc w:val="center"/>
                    <w:rPr>
                      <w:bCs/>
                      <w:szCs w:val="21"/>
                    </w:rPr>
                  </w:pPr>
                  <w:r>
                    <w:rPr>
                      <w:szCs w:val="21"/>
                    </w:rPr>
                    <w:t>碱液喷淋塔+除雾装置+二级活性炭吸附装置</w:t>
                  </w:r>
                </w:p>
              </w:tc>
              <w:tc>
                <w:tcPr>
                  <w:tcW w:w="336" w:type="pct"/>
                  <w:vMerge w:val="continue"/>
                  <w:tcMar>
                    <w:top w:w="0" w:type="dxa"/>
                    <w:left w:w="0" w:type="dxa"/>
                    <w:bottom w:w="0" w:type="dxa"/>
                    <w:right w:w="0" w:type="dxa"/>
                  </w:tcMar>
                  <w:vAlign w:val="center"/>
                </w:tcPr>
                <w:p w14:paraId="13FE93B3">
                  <w:pPr>
                    <w:jc w:val="center"/>
                    <w:rPr>
                      <w:bCs/>
                      <w:szCs w:val="21"/>
                    </w:rPr>
                  </w:pPr>
                </w:p>
              </w:tc>
            </w:tr>
            <w:tr w14:paraId="32AB0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6C43B651">
                  <w:pPr>
                    <w:jc w:val="center"/>
                    <w:rPr>
                      <w:bCs/>
                      <w:szCs w:val="21"/>
                    </w:rPr>
                  </w:pPr>
                  <w:r>
                    <w:rPr>
                      <w:bCs/>
                      <w:szCs w:val="21"/>
                    </w:rPr>
                    <w:t>拟扩建项目</w:t>
                  </w:r>
                </w:p>
              </w:tc>
              <w:tc>
                <w:tcPr>
                  <w:tcW w:w="606" w:type="pct"/>
                  <w:tcMar>
                    <w:top w:w="0" w:type="dxa"/>
                    <w:left w:w="0" w:type="dxa"/>
                    <w:bottom w:w="0" w:type="dxa"/>
                    <w:right w:w="0" w:type="dxa"/>
                  </w:tcMar>
                  <w:vAlign w:val="center"/>
                </w:tcPr>
                <w:p w14:paraId="7FCE5E1D">
                  <w:pPr>
                    <w:jc w:val="center"/>
                    <w:rPr>
                      <w:bCs/>
                      <w:szCs w:val="21"/>
                    </w:rPr>
                  </w:pPr>
                  <w:r>
                    <w:rPr>
                      <w:rFonts w:hint="eastAsia"/>
                      <w:bCs/>
                      <w:szCs w:val="21"/>
                    </w:rPr>
                    <w:t>二次硫化废气</w:t>
                  </w:r>
                </w:p>
              </w:tc>
              <w:tc>
                <w:tcPr>
                  <w:tcW w:w="2552" w:type="dxa"/>
                  <w:tcMar>
                    <w:top w:w="0" w:type="dxa"/>
                    <w:left w:w="0" w:type="dxa"/>
                    <w:bottom w:w="0" w:type="dxa"/>
                    <w:right w:w="0" w:type="dxa"/>
                  </w:tcMar>
                  <w:vAlign w:val="center"/>
                </w:tcPr>
                <w:p w14:paraId="5EF3EA93">
                  <w:pPr>
                    <w:jc w:val="center"/>
                    <w:rPr>
                      <w:bCs/>
                      <w:szCs w:val="21"/>
                    </w:rPr>
                  </w:pPr>
                  <w:r>
                    <w:rPr>
                      <w:rFonts w:hint="eastAsia"/>
                      <w:szCs w:val="21"/>
                    </w:rPr>
                    <w:t>二次加硫机/烘箱设置抽风管道，管道直径为∅150的抽风接口</w:t>
                  </w:r>
                </w:p>
              </w:tc>
              <w:tc>
                <w:tcPr>
                  <w:tcW w:w="858" w:type="dxa"/>
                  <w:tcMar>
                    <w:top w:w="0" w:type="dxa"/>
                    <w:left w:w="0" w:type="dxa"/>
                    <w:bottom w:w="0" w:type="dxa"/>
                    <w:right w:w="0" w:type="dxa"/>
                  </w:tcMar>
                  <w:vAlign w:val="center"/>
                </w:tcPr>
                <w:p w14:paraId="076D4370">
                  <w:pPr>
                    <w:jc w:val="center"/>
                    <w:rPr>
                      <w:bCs/>
                      <w:szCs w:val="21"/>
                    </w:rPr>
                  </w:pPr>
                  <w:r>
                    <w:rPr>
                      <w:rFonts w:hint="eastAsia"/>
                      <w:szCs w:val="21"/>
                    </w:rPr>
                    <w:t>1200</w:t>
                  </w:r>
                </w:p>
              </w:tc>
              <w:tc>
                <w:tcPr>
                  <w:tcW w:w="491" w:type="pct"/>
                  <w:tcMar>
                    <w:top w:w="0" w:type="dxa"/>
                    <w:left w:w="0" w:type="dxa"/>
                    <w:bottom w:w="0" w:type="dxa"/>
                    <w:right w:w="0" w:type="dxa"/>
                  </w:tcMar>
                  <w:vAlign w:val="center"/>
                </w:tcPr>
                <w:p w14:paraId="40F88DA3">
                  <w:pPr>
                    <w:jc w:val="center"/>
                    <w:rPr>
                      <w:bCs/>
                      <w:szCs w:val="21"/>
                    </w:rPr>
                  </w:pPr>
                  <w:r>
                    <w:rPr>
                      <w:rFonts w:hint="eastAsia"/>
                      <w:bCs/>
                      <w:szCs w:val="21"/>
                    </w:rPr>
                    <w:t>2400</w:t>
                  </w:r>
                </w:p>
              </w:tc>
              <w:tc>
                <w:tcPr>
                  <w:tcW w:w="430" w:type="pct"/>
                  <w:vMerge w:val="continue"/>
                  <w:tcMar>
                    <w:top w:w="0" w:type="dxa"/>
                    <w:left w:w="0" w:type="dxa"/>
                    <w:bottom w:w="0" w:type="dxa"/>
                    <w:right w:w="0" w:type="dxa"/>
                  </w:tcMar>
                  <w:vAlign w:val="center"/>
                </w:tcPr>
                <w:p w14:paraId="7C0CDC2D">
                  <w:pPr>
                    <w:jc w:val="center"/>
                    <w:rPr>
                      <w:bCs/>
                      <w:szCs w:val="21"/>
                    </w:rPr>
                  </w:pPr>
                </w:p>
              </w:tc>
              <w:tc>
                <w:tcPr>
                  <w:tcW w:w="636" w:type="pct"/>
                  <w:vMerge w:val="continue"/>
                  <w:tcMar>
                    <w:top w:w="0" w:type="dxa"/>
                    <w:left w:w="0" w:type="dxa"/>
                    <w:bottom w:w="0" w:type="dxa"/>
                    <w:right w:w="0" w:type="dxa"/>
                  </w:tcMar>
                  <w:vAlign w:val="center"/>
                </w:tcPr>
                <w:p w14:paraId="24AB9A81">
                  <w:pPr>
                    <w:jc w:val="center"/>
                    <w:rPr>
                      <w:bCs/>
                      <w:szCs w:val="21"/>
                    </w:rPr>
                  </w:pPr>
                </w:p>
              </w:tc>
              <w:tc>
                <w:tcPr>
                  <w:tcW w:w="332" w:type="pct"/>
                  <w:vMerge w:val="continue"/>
                  <w:tcMar>
                    <w:top w:w="0" w:type="dxa"/>
                    <w:left w:w="0" w:type="dxa"/>
                    <w:bottom w:w="0" w:type="dxa"/>
                    <w:right w:w="0" w:type="dxa"/>
                  </w:tcMar>
                  <w:vAlign w:val="center"/>
                </w:tcPr>
                <w:p w14:paraId="171D343E">
                  <w:pPr>
                    <w:jc w:val="center"/>
                    <w:rPr>
                      <w:bCs/>
                      <w:szCs w:val="21"/>
                    </w:rPr>
                  </w:pPr>
                </w:p>
              </w:tc>
              <w:tc>
                <w:tcPr>
                  <w:tcW w:w="336" w:type="pct"/>
                  <w:vMerge w:val="continue"/>
                  <w:tcMar>
                    <w:top w:w="0" w:type="dxa"/>
                    <w:left w:w="0" w:type="dxa"/>
                    <w:bottom w:w="0" w:type="dxa"/>
                    <w:right w:w="0" w:type="dxa"/>
                  </w:tcMar>
                  <w:vAlign w:val="center"/>
                </w:tcPr>
                <w:p w14:paraId="26E45CAF">
                  <w:pPr>
                    <w:jc w:val="center"/>
                    <w:rPr>
                      <w:bCs/>
                      <w:szCs w:val="21"/>
                    </w:rPr>
                  </w:pPr>
                </w:p>
              </w:tc>
            </w:tr>
            <w:tr w14:paraId="3E7F5C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vMerge w:val="restart"/>
                  <w:tcMar>
                    <w:top w:w="0" w:type="dxa"/>
                    <w:left w:w="0" w:type="dxa"/>
                    <w:bottom w:w="0" w:type="dxa"/>
                    <w:right w:w="0" w:type="dxa"/>
                  </w:tcMar>
                  <w:vAlign w:val="center"/>
                </w:tcPr>
                <w:p w14:paraId="4E99CBF8">
                  <w:pPr>
                    <w:jc w:val="center"/>
                    <w:rPr>
                      <w:bCs/>
                      <w:szCs w:val="21"/>
                    </w:rPr>
                  </w:pPr>
                  <w:r>
                    <w:rPr>
                      <w:rFonts w:hint="eastAsia"/>
                      <w:bCs/>
                      <w:szCs w:val="21"/>
                    </w:rPr>
                    <w:t>现有项目</w:t>
                  </w:r>
                </w:p>
              </w:tc>
              <w:tc>
                <w:tcPr>
                  <w:tcW w:w="606" w:type="pct"/>
                  <w:tcMar>
                    <w:top w:w="0" w:type="dxa"/>
                    <w:left w:w="0" w:type="dxa"/>
                    <w:bottom w:w="0" w:type="dxa"/>
                    <w:right w:w="0" w:type="dxa"/>
                  </w:tcMar>
                  <w:vAlign w:val="center"/>
                </w:tcPr>
                <w:p w14:paraId="3EA5CE7F">
                  <w:pPr>
                    <w:jc w:val="center"/>
                    <w:rPr>
                      <w:bCs/>
                      <w:szCs w:val="21"/>
                    </w:rPr>
                  </w:pPr>
                  <w:r>
                    <w:rPr>
                      <w:rFonts w:hint="eastAsia"/>
                      <w:bCs/>
                      <w:szCs w:val="21"/>
                    </w:rPr>
                    <w:t>浸喷涂胶废气、干燥废气</w:t>
                  </w:r>
                </w:p>
              </w:tc>
              <w:tc>
                <w:tcPr>
                  <w:tcW w:w="1413" w:type="pct"/>
                  <w:tcMar>
                    <w:top w:w="0" w:type="dxa"/>
                    <w:left w:w="0" w:type="dxa"/>
                    <w:bottom w:w="0" w:type="dxa"/>
                    <w:right w:w="0" w:type="dxa"/>
                  </w:tcMar>
                  <w:vAlign w:val="center"/>
                </w:tcPr>
                <w:p w14:paraId="7AAB5616">
                  <w:pPr>
                    <w:jc w:val="center"/>
                    <w:rPr>
                      <w:bCs/>
                      <w:szCs w:val="21"/>
                    </w:rPr>
                  </w:pPr>
                  <w:r>
                    <w:rPr>
                      <w:rFonts w:hint="eastAsia"/>
                      <w:bCs/>
                      <w:szCs w:val="21"/>
                    </w:rPr>
                    <w:t>在每台自动涂胶机/手动涂胶机/</w:t>
                  </w:r>
                  <w:r>
                    <w:rPr>
                      <w:szCs w:val="21"/>
                    </w:rPr>
                    <w:t>滚筒式浸渍机</w:t>
                  </w:r>
                  <w:r>
                    <w:rPr>
                      <w:rFonts w:hint="eastAsia"/>
                      <w:szCs w:val="21"/>
                    </w:rPr>
                    <w:t>上方设置集气罩，集气罩规格为</w:t>
                  </w:r>
                  <w:r>
                    <w:rPr>
                      <w:bCs/>
                      <w:szCs w:val="21"/>
                    </w:rPr>
                    <w:t>0.5×0.5m</w:t>
                  </w:r>
                </w:p>
              </w:tc>
              <w:tc>
                <w:tcPr>
                  <w:tcW w:w="475" w:type="pct"/>
                  <w:tcMar>
                    <w:top w:w="0" w:type="dxa"/>
                    <w:left w:w="0" w:type="dxa"/>
                    <w:bottom w:w="0" w:type="dxa"/>
                    <w:right w:w="0" w:type="dxa"/>
                  </w:tcMar>
                  <w:vAlign w:val="center"/>
                </w:tcPr>
                <w:p w14:paraId="03296812">
                  <w:pPr>
                    <w:jc w:val="center"/>
                    <w:rPr>
                      <w:bCs/>
                      <w:szCs w:val="21"/>
                    </w:rPr>
                  </w:pPr>
                  <w:r>
                    <w:rPr>
                      <w:rFonts w:hint="eastAsia"/>
                      <w:bCs/>
                      <w:szCs w:val="21"/>
                    </w:rPr>
                    <w:t>2500</w:t>
                  </w:r>
                </w:p>
              </w:tc>
              <w:tc>
                <w:tcPr>
                  <w:tcW w:w="491" w:type="pct"/>
                  <w:tcMar>
                    <w:top w:w="0" w:type="dxa"/>
                    <w:left w:w="0" w:type="dxa"/>
                    <w:bottom w:w="0" w:type="dxa"/>
                    <w:right w:w="0" w:type="dxa"/>
                  </w:tcMar>
                  <w:vAlign w:val="center"/>
                </w:tcPr>
                <w:p w14:paraId="7D5B61FD">
                  <w:pPr>
                    <w:jc w:val="center"/>
                    <w:rPr>
                      <w:bCs/>
                      <w:szCs w:val="21"/>
                    </w:rPr>
                  </w:pPr>
                  <w:r>
                    <w:rPr>
                      <w:rFonts w:hint="eastAsia"/>
                      <w:bCs/>
                      <w:szCs w:val="21"/>
                    </w:rPr>
                    <w:t>15000</w:t>
                  </w:r>
                </w:p>
              </w:tc>
              <w:tc>
                <w:tcPr>
                  <w:tcW w:w="430" w:type="pct"/>
                  <w:vMerge w:val="restart"/>
                  <w:tcMar>
                    <w:top w:w="0" w:type="dxa"/>
                    <w:left w:w="0" w:type="dxa"/>
                    <w:bottom w:w="0" w:type="dxa"/>
                    <w:right w:w="0" w:type="dxa"/>
                  </w:tcMar>
                  <w:vAlign w:val="center"/>
                </w:tcPr>
                <w:p w14:paraId="3CF6BF2F">
                  <w:pPr>
                    <w:jc w:val="center"/>
                    <w:rPr>
                      <w:bCs/>
                      <w:szCs w:val="21"/>
                    </w:rPr>
                  </w:pPr>
                  <w:r>
                    <w:rPr>
                      <w:rFonts w:hint="eastAsia"/>
                      <w:bCs/>
                      <w:szCs w:val="21"/>
                    </w:rPr>
                    <w:t>42500</w:t>
                  </w:r>
                </w:p>
              </w:tc>
              <w:tc>
                <w:tcPr>
                  <w:tcW w:w="636" w:type="pct"/>
                  <w:vMerge w:val="restart"/>
                  <w:tcMar>
                    <w:top w:w="0" w:type="dxa"/>
                    <w:left w:w="0" w:type="dxa"/>
                    <w:bottom w:w="0" w:type="dxa"/>
                    <w:right w:w="0" w:type="dxa"/>
                  </w:tcMar>
                  <w:vAlign w:val="center"/>
                </w:tcPr>
                <w:p w14:paraId="03106C30">
                  <w:pPr>
                    <w:jc w:val="center"/>
                    <w:rPr>
                      <w:bCs/>
                      <w:szCs w:val="21"/>
                    </w:rPr>
                  </w:pPr>
                  <w:r>
                    <w:rPr>
                      <w:bCs/>
                      <w:szCs w:val="21"/>
                    </w:rPr>
                    <w:t>现有</w:t>
                  </w:r>
                  <w:r>
                    <w:rPr>
                      <w:rFonts w:hint="eastAsia"/>
                      <w:bCs/>
                      <w:szCs w:val="21"/>
                    </w:rPr>
                    <w:t>6</w:t>
                  </w:r>
                  <w:r>
                    <w:rPr>
                      <w:bCs/>
                      <w:szCs w:val="21"/>
                    </w:rPr>
                    <w:t>#排气筒风量</w:t>
                  </w:r>
                  <w:r>
                    <w:rPr>
                      <w:rFonts w:hint="eastAsia"/>
                      <w:bCs/>
                      <w:szCs w:val="21"/>
                    </w:rPr>
                    <w:t>50000</w:t>
                  </w:r>
                  <w:r>
                    <w:rPr>
                      <w:szCs w:val="21"/>
                    </w:rPr>
                    <w:t>m</w:t>
                  </w:r>
                  <w:r>
                    <w:rPr>
                      <w:szCs w:val="21"/>
                      <w:vertAlign w:val="superscript"/>
                    </w:rPr>
                    <w:t>3</w:t>
                  </w:r>
                  <w:r>
                    <w:rPr>
                      <w:szCs w:val="21"/>
                    </w:rPr>
                    <w:t>/h，能够满足使用</w:t>
                  </w:r>
                </w:p>
              </w:tc>
              <w:tc>
                <w:tcPr>
                  <w:tcW w:w="332" w:type="pct"/>
                  <w:vMerge w:val="restart"/>
                  <w:tcMar>
                    <w:top w:w="0" w:type="dxa"/>
                    <w:left w:w="0" w:type="dxa"/>
                    <w:bottom w:w="0" w:type="dxa"/>
                    <w:right w:w="0" w:type="dxa"/>
                  </w:tcMar>
                  <w:vAlign w:val="center"/>
                </w:tcPr>
                <w:p w14:paraId="308AD19F">
                  <w:pPr>
                    <w:jc w:val="center"/>
                    <w:rPr>
                      <w:bCs/>
                      <w:szCs w:val="21"/>
                    </w:rPr>
                  </w:pPr>
                  <w:r>
                    <w:rPr>
                      <w:szCs w:val="21"/>
                    </w:rPr>
                    <w:t>二级活性炭吸附装置</w:t>
                  </w:r>
                </w:p>
              </w:tc>
              <w:tc>
                <w:tcPr>
                  <w:tcW w:w="336" w:type="pct"/>
                  <w:vMerge w:val="restart"/>
                  <w:tcMar>
                    <w:top w:w="0" w:type="dxa"/>
                    <w:left w:w="0" w:type="dxa"/>
                    <w:bottom w:w="0" w:type="dxa"/>
                    <w:right w:w="0" w:type="dxa"/>
                  </w:tcMar>
                  <w:vAlign w:val="center"/>
                </w:tcPr>
                <w:p w14:paraId="26631E6A">
                  <w:pPr>
                    <w:jc w:val="center"/>
                    <w:rPr>
                      <w:bCs/>
                      <w:szCs w:val="21"/>
                    </w:rPr>
                  </w:pPr>
                  <w:r>
                    <w:rPr>
                      <w:rFonts w:hint="eastAsia"/>
                      <w:bCs/>
                      <w:szCs w:val="21"/>
                    </w:rPr>
                    <w:t>6#15m高排气筒</w:t>
                  </w:r>
                </w:p>
              </w:tc>
            </w:tr>
            <w:tr w14:paraId="4E364E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vMerge w:val="continue"/>
                  <w:tcMar>
                    <w:top w:w="0" w:type="dxa"/>
                    <w:left w:w="0" w:type="dxa"/>
                    <w:bottom w:w="0" w:type="dxa"/>
                    <w:right w:w="0" w:type="dxa"/>
                  </w:tcMar>
                  <w:vAlign w:val="center"/>
                </w:tcPr>
                <w:p w14:paraId="0485E2AC">
                  <w:pPr>
                    <w:jc w:val="center"/>
                    <w:rPr>
                      <w:bCs/>
                      <w:szCs w:val="21"/>
                    </w:rPr>
                  </w:pPr>
                </w:p>
              </w:tc>
              <w:tc>
                <w:tcPr>
                  <w:tcW w:w="606" w:type="pct"/>
                  <w:tcMar>
                    <w:top w:w="0" w:type="dxa"/>
                    <w:left w:w="0" w:type="dxa"/>
                    <w:bottom w:w="0" w:type="dxa"/>
                    <w:right w:w="0" w:type="dxa"/>
                  </w:tcMar>
                  <w:vAlign w:val="center"/>
                </w:tcPr>
                <w:p w14:paraId="14C5E6EB">
                  <w:pPr>
                    <w:jc w:val="center"/>
                    <w:rPr>
                      <w:bCs/>
                      <w:szCs w:val="21"/>
                    </w:rPr>
                  </w:pPr>
                  <w:r>
                    <w:rPr>
                      <w:rFonts w:hint="eastAsia"/>
                      <w:bCs/>
                      <w:szCs w:val="21"/>
                    </w:rPr>
                    <w:t>干燥废气</w:t>
                  </w:r>
                </w:p>
              </w:tc>
              <w:tc>
                <w:tcPr>
                  <w:tcW w:w="1413" w:type="pct"/>
                  <w:tcMar>
                    <w:top w:w="0" w:type="dxa"/>
                    <w:left w:w="0" w:type="dxa"/>
                    <w:bottom w:w="0" w:type="dxa"/>
                    <w:right w:w="0" w:type="dxa"/>
                  </w:tcMar>
                  <w:vAlign w:val="center"/>
                </w:tcPr>
                <w:p w14:paraId="460166BD">
                  <w:pPr>
                    <w:jc w:val="center"/>
                    <w:rPr>
                      <w:bCs/>
                      <w:szCs w:val="21"/>
                    </w:rPr>
                  </w:pPr>
                  <w:r>
                    <w:rPr>
                      <w:rFonts w:hint="eastAsia"/>
                      <w:bCs/>
                      <w:szCs w:val="21"/>
                    </w:rPr>
                    <w:t>烘炉/烘干线/</w:t>
                  </w:r>
                  <w:r>
                    <w:rPr>
                      <w:szCs w:val="21"/>
                    </w:rPr>
                    <w:t>烧付机</w:t>
                  </w:r>
                  <w:r>
                    <w:rPr>
                      <w:rFonts w:hint="eastAsia"/>
                      <w:szCs w:val="21"/>
                    </w:rPr>
                    <w:t>设置，抽风管道，管道直径为∅150的抽风接口</w:t>
                  </w:r>
                </w:p>
              </w:tc>
              <w:tc>
                <w:tcPr>
                  <w:tcW w:w="475" w:type="pct"/>
                  <w:tcMar>
                    <w:top w:w="0" w:type="dxa"/>
                    <w:left w:w="0" w:type="dxa"/>
                    <w:bottom w:w="0" w:type="dxa"/>
                    <w:right w:w="0" w:type="dxa"/>
                  </w:tcMar>
                  <w:vAlign w:val="center"/>
                </w:tcPr>
                <w:p w14:paraId="1946E2FB">
                  <w:pPr>
                    <w:jc w:val="center"/>
                    <w:rPr>
                      <w:bCs/>
                      <w:szCs w:val="21"/>
                    </w:rPr>
                  </w:pPr>
                  <w:r>
                    <w:rPr>
                      <w:rFonts w:hint="eastAsia"/>
                      <w:bCs/>
                      <w:szCs w:val="21"/>
                    </w:rPr>
                    <w:t>5000</w:t>
                  </w:r>
                </w:p>
              </w:tc>
              <w:tc>
                <w:tcPr>
                  <w:tcW w:w="491" w:type="pct"/>
                  <w:tcMar>
                    <w:top w:w="0" w:type="dxa"/>
                    <w:left w:w="0" w:type="dxa"/>
                    <w:bottom w:w="0" w:type="dxa"/>
                    <w:right w:w="0" w:type="dxa"/>
                  </w:tcMar>
                  <w:vAlign w:val="center"/>
                </w:tcPr>
                <w:p w14:paraId="339D5E64">
                  <w:pPr>
                    <w:jc w:val="center"/>
                    <w:rPr>
                      <w:bCs/>
                      <w:szCs w:val="21"/>
                    </w:rPr>
                  </w:pPr>
                  <w:r>
                    <w:rPr>
                      <w:rFonts w:hint="eastAsia"/>
                      <w:bCs/>
                      <w:szCs w:val="21"/>
                    </w:rPr>
                    <w:t>20000</w:t>
                  </w:r>
                </w:p>
              </w:tc>
              <w:tc>
                <w:tcPr>
                  <w:tcW w:w="430" w:type="pct"/>
                  <w:vMerge w:val="continue"/>
                  <w:tcMar>
                    <w:top w:w="0" w:type="dxa"/>
                    <w:left w:w="0" w:type="dxa"/>
                    <w:bottom w:w="0" w:type="dxa"/>
                    <w:right w:w="0" w:type="dxa"/>
                  </w:tcMar>
                  <w:vAlign w:val="center"/>
                </w:tcPr>
                <w:p w14:paraId="2F715C14">
                  <w:pPr>
                    <w:jc w:val="center"/>
                    <w:rPr>
                      <w:bCs/>
                      <w:szCs w:val="21"/>
                    </w:rPr>
                  </w:pPr>
                </w:p>
              </w:tc>
              <w:tc>
                <w:tcPr>
                  <w:tcW w:w="636" w:type="pct"/>
                  <w:vMerge w:val="continue"/>
                  <w:tcMar>
                    <w:top w:w="0" w:type="dxa"/>
                    <w:left w:w="0" w:type="dxa"/>
                    <w:bottom w:w="0" w:type="dxa"/>
                    <w:right w:w="0" w:type="dxa"/>
                  </w:tcMar>
                  <w:vAlign w:val="center"/>
                </w:tcPr>
                <w:p w14:paraId="26D54172">
                  <w:pPr>
                    <w:jc w:val="center"/>
                    <w:rPr>
                      <w:bCs/>
                      <w:szCs w:val="21"/>
                    </w:rPr>
                  </w:pPr>
                </w:p>
              </w:tc>
              <w:tc>
                <w:tcPr>
                  <w:tcW w:w="332" w:type="pct"/>
                  <w:vMerge w:val="continue"/>
                  <w:tcMar>
                    <w:top w:w="0" w:type="dxa"/>
                    <w:left w:w="0" w:type="dxa"/>
                    <w:bottom w:w="0" w:type="dxa"/>
                    <w:right w:w="0" w:type="dxa"/>
                  </w:tcMar>
                  <w:vAlign w:val="center"/>
                </w:tcPr>
                <w:p w14:paraId="2A536449">
                  <w:pPr>
                    <w:jc w:val="center"/>
                    <w:rPr>
                      <w:bCs/>
                      <w:szCs w:val="21"/>
                    </w:rPr>
                  </w:pPr>
                </w:p>
              </w:tc>
              <w:tc>
                <w:tcPr>
                  <w:tcW w:w="336" w:type="pct"/>
                  <w:vMerge w:val="continue"/>
                  <w:tcMar>
                    <w:top w:w="0" w:type="dxa"/>
                    <w:left w:w="0" w:type="dxa"/>
                    <w:bottom w:w="0" w:type="dxa"/>
                    <w:right w:w="0" w:type="dxa"/>
                  </w:tcMar>
                  <w:vAlign w:val="center"/>
                </w:tcPr>
                <w:p w14:paraId="6093E10A">
                  <w:pPr>
                    <w:jc w:val="center"/>
                    <w:rPr>
                      <w:bCs/>
                      <w:szCs w:val="21"/>
                    </w:rPr>
                  </w:pPr>
                </w:p>
              </w:tc>
            </w:tr>
            <w:tr w14:paraId="41EA14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9" w:type="pct"/>
                  <w:tcMar>
                    <w:top w:w="0" w:type="dxa"/>
                    <w:left w:w="0" w:type="dxa"/>
                    <w:bottom w:w="0" w:type="dxa"/>
                    <w:right w:w="0" w:type="dxa"/>
                  </w:tcMar>
                  <w:vAlign w:val="center"/>
                </w:tcPr>
                <w:p w14:paraId="26CE038F">
                  <w:pPr>
                    <w:jc w:val="center"/>
                    <w:rPr>
                      <w:bCs/>
                      <w:szCs w:val="21"/>
                    </w:rPr>
                  </w:pPr>
                  <w:r>
                    <w:rPr>
                      <w:rFonts w:hint="eastAsia"/>
                      <w:bCs/>
                      <w:szCs w:val="21"/>
                    </w:rPr>
                    <w:t>拟扩建项目</w:t>
                  </w:r>
                </w:p>
              </w:tc>
              <w:tc>
                <w:tcPr>
                  <w:tcW w:w="606" w:type="pct"/>
                  <w:tcMar>
                    <w:top w:w="0" w:type="dxa"/>
                    <w:left w:w="0" w:type="dxa"/>
                    <w:bottom w:w="0" w:type="dxa"/>
                    <w:right w:w="0" w:type="dxa"/>
                  </w:tcMar>
                  <w:vAlign w:val="center"/>
                </w:tcPr>
                <w:p w14:paraId="0ADEAD0B">
                  <w:pPr>
                    <w:jc w:val="center"/>
                    <w:rPr>
                      <w:bCs/>
                      <w:szCs w:val="21"/>
                    </w:rPr>
                  </w:pPr>
                  <w:r>
                    <w:rPr>
                      <w:rFonts w:hint="eastAsia"/>
                      <w:bCs/>
                      <w:szCs w:val="21"/>
                    </w:rPr>
                    <w:t>浸喷涂胶废气</w:t>
                  </w:r>
                </w:p>
              </w:tc>
              <w:tc>
                <w:tcPr>
                  <w:tcW w:w="1413" w:type="pct"/>
                  <w:tcMar>
                    <w:top w:w="0" w:type="dxa"/>
                    <w:left w:w="0" w:type="dxa"/>
                    <w:bottom w:w="0" w:type="dxa"/>
                    <w:right w:w="0" w:type="dxa"/>
                  </w:tcMar>
                  <w:vAlign w:val="center"/>
                </w:tcPr>
                <w:p w14:paraId="36D5C141">
                  <w:pPr>
                    <w:jc w:val="center"/>
                    <w:rPr>
                      <w:bCs/>
                      <w:szCs w:val="21"/>
                    </w:rPr>
                  </w:pPr>
                  <w:r>
                    <w:rPr>
                      <w:rFonts w:hint="eastAsia"/>
                      <w:bCs/>
                      <w:szCs w:val="21"/>
                    </w:rPr>
                    <w:t>在每台自动涂胶机</w:t>
                  </w:r>
                  <w:r>
                    <w:rPr>
                      <w:rFonts w:hint="eastAsia"/>
                      <w:szCs w:val="21"/>
                    </w:rPr>
                    <w:t>上方设置集气罩，集气罩规格为</w:t>
                  </w:r>
                  <w:r>
                    <w:rPr>
                      <w:bCs/>
                      <w:szCs w:val="21"/>
                    </w:rPr>
                    <w:t>0.5×0.5m</w:t>
                  </w:r>
                </w:p>
              </w:tc>
              <w:tc>
                <w:tcPr>
                  <w:tcW w:w="475" w:type="pct"/>
                  <w:tcMar>
                    <w:top w:w="0" w:type="dxa"/>
                    <w:left w:w="0" w:type="dxa"/>
                    <w:bottom w:w="0" w:type="dxa"/>
                    <w:right w:w="0" w:type="dxa"/>
                  </w:tcMar>
                  <w:vAlign w:val="center"/>
                </w:tcPr>
                <w:p w14:paraId="41AAD2F8">
                  <w:pPr>
                    <w:jc w:val="center"/>
                    <w:rPr>
                      <w:bCs/>
                      <w:szCs w:val="21"/>
                    </w:rPr>
                  </w:pPr>
                  <w:r>
                    <w:rPr>
                      <w:rFonts w:hint="eastAsia"/>
                      <w:bCs/>
                      <w:szCs w:val="21"/>
                    </w:rPr>
                    <w:t>2500</w:t>
                  </w:r>
                </w:p>
              </w:tc>
              <w:tc>
                <w:tcPr>
                  <w:tcW w:w="491" w:type="pct"/>
                  <w:tcMar>
                    <w:top w:w="0" w:type="dxa"/>
                    <w:left w:w="0" w:type="dxa"/>
                    <w:bottom w:w="0" w:type="dxa"/>
                    <w:right w:w="0" w:type="dxa"/>
                  </w:tcMar>
                  <w:vAlign w:val="center"/>
                </w:tcPr>
                <w:p w14:paraId="71F60400">
                  <w:pPr>
                    <w:jc w:val="center"/>
                    <w:rPr>
                      <w:bCs/>
                      <w:szCs w:val="21"/>
                    </w:rPr>
                  </w:pPr>
                  <w:r>
                    <w:rPr>
                      <w:rFonts w:hint="eastAsia"/>
                      <w:bCs/>
                      <w:szCs w:val="21"/>
                    </w:rPr>
                    <w:t>7500</w:t>
                  </w:r>
                </w:p>
              </w:tc>
              <w:tc>
                <w:tcPr>
                  <w:tcW w:w="430" w:type="pct"/>
                  <w:vMerge w:val="continue"/>
                  <w:tcMar>
                    <w:top w:w="0" w:type="dxa"/>
                    <w:left w:w="0" w:type="dxa"/>
                    <w:bottom w:w="0" w:type="dxa"/>
                    <w:right w:w="0" w:type="dxa"/>
                  </w:tcMar>
                  <w:vAlign w:val="center"/>
                </w:tcPr>
                <w:p w14:paraId="64EFF634">
                  <w:pPr>
                    <w:jc w:val="center"/>
                    <w:rPr>
                      <w:bCs/>
                      <w:szCs w:val="21"/>
                    </w:rPr>
                  </w:pPr>
                </w:p>
              </w:tc>
              <w:tc>
                <w:tcPr>
                  <w:tcW w:w="636" w:type="pct"/>
                  <w:vMerge w:val="continue"/>
                  <w:tcMar>
                    <w:top w:w="0" w:type="dxa"/>
                    <w:left w:w="0" w:type="dxa"/>
                    <w:bottom w:w="0" w:type="dxa"/>
                    <w:right w:w="0" w:type="dxa"/>
                  </w:tcMar>
                  <w:vAlign w:val="center"/>
                </w:tcPr>
                <w:p w14:paraId="58AE1AB0">
                  <w:pPr>
                    <w:jc w:val="center"/>
                    <w:rPr>
                      <w:bCs/>
                      <w:szCs w:val="21"/>
                    </w:rPr>
                  </w:pPr>
                </w:p>
              </w:tc>
              <w:tc>
                <w:tcPr>
                  <w:tcW w:w="332" w:type="pct"/>
                  <w:vMerge w:val="continue"/>
                  <w:tcMar>
                    <w:top w:w="0" w:type="dxa"/>
                    <w:left w:w="0" w:type="dxa"/>
                    <w:bottom w:w="0" w:type="dxa"/>
                    <w:right w:w="0" w:type="dxa"/>
                  </w:tcMar>
                  <w:vAlign w:val="center"/>
                </w:tcPr>
                <w:p w14:paraId="11B40E98">
                  <w:pPr>
                    <w:jc w:val="center"/>
                    <w:rPr>
                      <w:bCs/>
                      <w:szCs w:val="21"/>
                    </w:rPr>
                  </w:pPr>
                </w:p>
              </w:tc>
              <w:tc>
                <w:tcPr>
                  <w:tcW w:w="336" w:type="pct"/>
                  <w:vMerge w:val="continue"/>
                  <w:tcMar>
                    <w:top w:w="0" w:type="dxa"/>
                    <w:left w:w="0" w:type="dxa"/>
                    <w:bottom w:w="0" w:type="dxa"/>
                    <w:right w:w="0" w:type="dxa"/>
                  </w:tcMar>
                  <w:vAlign w:val="center"/>
                </w:tcPr>
                <w:p w14:paraId="70520D80">
                  <w:pPr>
                    <w:jc w:val="center"/>
                    <w:rPr>
                      <w:bCs/>
                      <w:szCs w:val="21"/>
                    </w:rPr>
                  </w:pPr>
                </w:p>
              </w:tc>
            </w:tr>
          </w:tbl>
          <w:p w14:paraId="34A9FA8D">
            <w:pPr>
              <w:pStyle w:val="5"/>
              <w:adjustRightInd w:val="0"/>
              <w:snapToGrid w:val="0"/>
              <w:spacing w:line="240" w:lineRule="atLeast"/>
              <w:ind w:firstLine="422"/>
              <w:rPr>
                <w:szCs w:val="21"/>
              </w:rPr>
            </w:pPr>
            <w:r>
              <w:rPr>
                <w:rFonts w:hint="eastAsia"/>
                <w:b/>
                <w:bCs/>
                <w:szCs w:val="21"/>
              </w:rPr>
              <w:t>注：</w:t>
            </w:r>
            <w:r>
              <w:rPr>
                <w:rFonts w:hint="eastAsia"/>
                <w:szCs w:val="21"/>
              </w:rPr>
              <w:t>本次不新增抛丸/喷砂机，依托原有生产设备，故5#排气筒风机风量不变。</w:t>
            </w:r>
          </w:p>
          <w:p w14:paraId="3A4490F7">
            <w:pPr>
              <w:pStyle w:val="5"/>
              <w:adjustRightInd w:val="0"/>
              <w:snapToGrid w:val="0"/>
              <w:spacing w:beforeLines="50" w:line="360" w:lineRule="auto"/>
              <w:ind w:firstLine="422"/>
              <w:rPr>
                <w:b/>
                <w:bCs/>
                <w:szCs w:val="21"/>
              </w:rPr>
            </w:pPr>
            <w:r>
              <w:rPr>
                <w:b/>
                <w:bCs/>
                <w:szCs w:val="21"/>
              </w:rPr>
              <w:t>（</w:t>
            </w:r>
            <w:r>
              <w:rPr>
                <w:rFonts w:hint="eastAsia"/>
                <w:b/>
                <w:bCs/>
                <w:szCs w:val="21"/>
              </w:rPr>
              <w:t>6</w:t>
            </w:r>
            <w:r>
              <w:rPr>
                <w:b/>
                <w:bCs/>
                <w:szCs w:val="21"/>
              </w:rPr>
              <w:t>）异味影响分析</w:t>
            </w:r>
          </w:p>
          <w:p w14:paraId="5920649A">
            <w:pPr>
              <w:pStyle w:val="5"/>
              <w:adjustRightInd w:val="0"/>
              <w:snapToGrid w:val="0"/>
              <w:spacing w:line="360" w:lineRule="auto"/>
              <w:ind w:firstLine="420"/>
              <w:rPr>
                <w:szCs w:val="21"/>
              </w:rPr>
            </w:pPr>
            <w:r>
              <w:rPr>
                <w:szCs w:val="21"/>
              </w:rPr>
              <w:t>项目橡胶零部件生产过程中将产生硫化氢</w:t>
            </w:r>
            <w:r>
              <w:rPr>
                <w:rFonts w:hint="eastAsia"/>
                <w:szCs w:val="21"/>
              </w:rPr>
              <w:t>等恶臭污染物</w:t>
            </w:r>
            <w:r>
              <w:rPr>
                <w:szCs w:val="21"/>
              </w:rPr>
              <w:t>。恶臭为人们对恶臭物质所感知的一种污染指标，若长期处于恶臭污染的环境中会引起呼吸不畅、厌食、失眠、记忆力下降、心情烦躁等功能性疾病，进而恶心、呕吐，严重时还可能会导致出现呼吸困难的情况。根据恶臭六级分级法将臭气浓度分为六个等级，具体分级情况见表4-7。</w:t>
            </w:r>
          </w:p>
          <w:p w14:paraId="3A9B8EA8">
            <w:pPr>
              <w:pStyle w:val="5"/>
              <w:adjustRightInd w:val="0"/>
              <w:snapToGrid w:val="0"/>
              <w:ind w:firstLine="0" w:firstLineChars="0"/>
              <w:jc w:val="center"/>
              <w:rPr>
                <w:b/>
                <w:bCs/>
                <w:szCs w:val="21"/>
              </w:rPr>
            </w:pPr>
            <w:r>
              <w:rPr>
                <w:b/>
                <w:bCs/>
                <w:szCs w:val="21"/>
              </w:rPr>
              <w:t>表4-7  恶臭强度分级表</w:t>
            </w:r>
          </w:p>
          <w:tbl>
            <w:tblPr>
              <w:tblStyle w:val="25"/>
              <w:tblW w:w="902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330"/>
              <w:gridCol w:w="6699"/>
            </w:tblGrid>
            <w:tr w14:paraId="6F8F40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0" w:type="dxa"/>
                  <w:vAlign w:val="center"/>
                </w:tcPr>
                <w:p w14:paraId="25872E6F">
                  <w:pPr>
                    <w:pStyle w:val="5"/>
                    <w:adjustRightInd w:val="0"/>
                    <w:snapToGrid w:val="0"/>
                    <w:ind w:firstLine="0" w:firstLineChars="0"/>
                    <w:jc w:val="center"/>
                    <w:rPr>
                      <w:b/>
                      <w:bCs/>
                      <w:szCs w:val="21"/>
                    </w:rPr>
                  </w:pPr>
                  <w:r>
                    <w:rPr>
                      <w:b/>
                      <w:bCs/>
                      <w:szCs w:val="21"/>
                    </w:rPr>
                    <w:t>恶臭强度等级</w:t>
                  </w:r>
                </w:p>
              </w:tc>
              <w:tc>
                <w:tcPr>
                  <w:tcW w:w="6699" w:type="dxa"/>
                  <w:vAlign w:val="center"/>
                </w:tcPr>
                <w:p w14:paraId="70D60E2B">
                  <w:pPr>
                    <w:pStyle w:val="5"/>
                    <w:adjustRightInd w:val="0"/>
                    <w:snapToGrid w:val="0"/>
                    <w:ind w:firstLine="0" w:firstLineChars="0"/>
                    <w:jc w:val="center"/>
                    <w:rPr>
                      <w:b/>
                      <w:bCs/>
                      <w:szCs w:val="21"/>
                    </w:rPr>
                  </w:pPr>
                  <w:r>
                    <w:rPr>
                      <w:b/>
                      <w:bCs/>
                      <w:szCs w:val="21"/>
                    </w:rPr>
                    <w:t>特征</w:t>
                  </w:r>
                </w:p>
              </w:tc>
            </w:tr>
            <w:tr w14:paraId="6DC51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0" w:type="dxa"/>
                  <w:vAlign w:val="center"/>
                </w:tcPr>
                <w:p w14:paraId="1202D2BD">
                  <w:pPr>
                    <w:pStyle w:val="5"/>
                    <w:adjustRightInd w:val="0"/>
                    <w:snapToGrid w:val="0"/>
                    <w:ind w:firstLine="0" w:firstLineChars="0"/>
                    <w:jc w:val="center"/>
                    <w:rPr>
                      <w:szCs w:val="21"/>
                    </w:rPr>
                  </w:pPr>
                  <w:r>
                    <w:rPr>
                      <w:szCs w:val="21"/>
                    </w:rPr>
                    <w:t>0</w:t>
                  </w:r>
                </w:p>
              </w:tc>
              <w:tc>
                <w:tcPr>
                  <w:tcW w:w="6699" w:type="dxa"/>
                  <w:vAlign w:val="center"/>
                </w:tcPr>
                <w:p w14:paraId="58699592">
                  <w:pPr>
                    <w:pStyle w:val="83"/>
                    <w:rPr>
                      <w:color w:val="auto"/>
                    </w:rPr>
                  </w:pPr>
                  <w:r>
                    <w:rPr>
                      <w:color w:val="auto"/>
                    </w:rPr>
                    <w:t>无臭味，无任何反应</w:t>
                  </w:r>
                </w:p>
              </w:tc>
            </w:tr>
            <w:tr w14:paraId="63C7EA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0" w:type="dxa"/>
                  <w:vAlign w:val="center"/>
                </w:tcPr>
                <w:p w14:paraId="5347227B">
                  <w:pPr>
                    <w:pStyle w:val="5"/>
                    <w:adjustRightInd w:val="0"/>
                    <w:snapToGrid w:val="0"/>
                    <w:ind w:firstLine="0" w:firstLineChars="0"/>
                    <w:jc w:val="center"/>
                    <w:rPr>
                      <w:szCs w:val="21"/>
                    </w:rPr>
                  </w:pPr>
                  <w:r>
                    <w:rPr>
                      <w:szCs w:val="21"/>
                    </w:rPr>
                    <w:t>1</w:t>
                  </w:r>
                </w:p>
              </w:tc>
              <w:tc>
                <w:tcPr>
                  <w:tcW w:w="6699" w:type="dxa"/>
                  <w:vAlign w:val="center"/>
                </w:tcPr>
                <w:p w14:paraId="1728A2BD">
                  <w:pPr>
                    <w:pStyle w:val="83"/>
                    <w:rPr>
                      <w:color w:val="auto"/>
                    </w:rPr>
                  </w:pPr>
                  <w:r>
                    <w:rPr>
                      <w:color w:val="auto"/>
                    </w:rPr>
                    <w:t>勉强感到气味，但不宜辨认气味性质，认为无所谓</w:t>
                  </w:r>
                </w:p>
              </w:tc>
            </w:tr>
            <w:tr w14:paraId="5E38E4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0" w:type="dxa"/>
                  <w:vAlign w:val="center"/>
                </w:tcPr>
                <w:p w14:paraId="52AA307D">
                  <w:pPr>
                    <w:pStyle w:val="5"/>
                    <w:adjustRightInd w:val="0"/>
                    <w:snapToGrid w:val="0"/>
                    <w:ind w:firstLine="0" w:firstLineChars="0"/>
                    <w:jc w:val="center"/>
                    <w:rPr>
                      <w:szCs w:val="21"/>
                    </w:rPr>
                  </w:pPr>
                  <w:r>
                    <w:rPr>
                      <w:szCs w:val="21"/>
                    </w:rPr>
                    <w:t>2</w:t>
                  </w:r>
                </w:p>
              </w:tc>
              <w:tc>
                <w:tcPr>
                  <w:tcW w:w="6699" w:type="dxa"/>
                  <w:vAlign w:val="center"/>
                </w:tcPr>
                <w:p w14:paraId="27F2D079">
                  <w:pPr>
                    <w:pStyle w:val="83"/>
                    <w:rPr>
                      <w:color w:val="auto"/>
                    </w:rPr>
                  </w:pPr>
                  <w:r>
                    <w:rPr>
                      <w:color w:val="auto"/>
                    </w:rPr>
                    <w:t>感到较弱的气味，且能辨认气味的性质，但感到正常</w:t>
                  </w:r>
                </w:p>
              </w:tc>
            </w:tr>
            <w:tr w14:paraId="05295F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0" w:type="dxa"/>
                  <w:vAlign w:val="center"/>
                </w:tcPr>
                <w:p w14:paraId="56213F4B">
                  <w:pPr>
                    <w:pStyle w:val="5"/>
                    <w:adjustRightInd w:val="0"/>
                    <w:snapToGrid w:val="0"/>
                    <w:ind w:firstLine="0" w:firstLineChars="0"/>
                    <w:jc w:val="center"/>
                    <w:rPr>
                      <w:szCs w:val="21"/>
                    </w:rPr>
                  </w:pPr>
                  <w:r>
                    <w:rPr>
                      <w:szCs w:val="21"/>
                    </w:rPr>
                    <w:t>3</w:t>
                  </w:r>
                </w:p>
              </w:tc>
              <w:tc>
                <w:tcPr>
                  <w:tcW w:w="6699" w:type="dxa"/>
                  <w:vAlign w:val="center"/>
                </w:tcPr>
                <w:p w14:paraId="167BB30B">
                  <w:pPr>
                    <w:pStyle w:val="83"/>
                    <w:rPr>
                      <w:color w:val="auto"/>
                    </w:rPr>
                  </w:pPr>
                  <w:r>
                    <w:rPr>
                      <w:color w:val="auto"/>
                    </w:rPr>
                    <w:t>感到明显气味，有所不快，但不反感</w:t>
                  </w:r>
                </w:p>
              </w:tc>
            </w:tr>
            <w:tr w14:paraId="3FC089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0" w:type="dxa"/>
                  <w:vAlign w:val="center"/>
                </w:tcPr>
                <w:p w14:paraId="3D503EE9">
                  <w:pPr>
                    <w:pStyle w:val="5"/>
                    <w:adjustRightInd w:val="0"/>
                    <w:snapToGrid w:val="0"/>
                    <w:ind w:firstLine="0" w:firstLineChars="0"/>
                    <w:jc w:val="center"/>
                    <w:rPr>
                      <w:szCs w:val="21"/>
                    </w:rPr>
                  </w:pPr>
                  <w:r>
                    <w:rPr>
                      <w:szCs w:val="21"/>
                    </w:rPr>
                    <w:t>4</w:t>
                  </w:r>
                </w:p>
              </w:tc>
              <w:tc>
                <w:tcPr>
                  <w:tcW w:w="6699" w:type="dxa"/>
                  <w:vAlign w:val="center"/>
                </w:tcPr>
                <w:p w14:paraId="37A6ADAD">
                  <w:pPr>
                    <w:pStyle w:val="83"/>
                    <w:rPr>
                      <w:color w:val="auto"/>
                    </w:rPr>
                  </w:pPr>
                  <w:r>
                    <w:rPr>
                      <w:color w:val="auto"/>
                    </w:rPr>
                    <w:t>较强烈的气味，且很反感，想离开</w:t>
                  </w:r>
                </w:p>
              </w:tc>
            </w:tr>
            <w:tr w14:paraId="7F23DB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330" w:type="dxa"/>
                  <w:vAlign w:val="center"/>
                </w:tcPr>
                <w:p w14:paraId="2BA7194C">
                  <w:pPr>
                    <w:pStyle w:val="5"/>
                    <w:adjustRightInd w:val="0"/>
                    <w:snapToGrid w:val="0"/>
                    <w:ind w:firstLine="0" w:firstLineChars="0"/>
                    <w:jc w:val="center"/>
                    <w:rPr>
                      <w:szCs w:val="21"/>
                    </w:rPr>
                  </w:pPr>
                  <w:r>
                    <w:rPr>
                      <w:szCs w:val="21"/>
                    </w:rPr>
                    <w:t>5</w:t>
                  </w:r>
                </w:p>
              </w:tc>
              <w:tc>
                <w:tcPr>
                  <w:tcW w:w="6699" w:type="dxa"/>
                  <w:vAlign w:val="center"/>
                </w:tcPr>
                <w:p w14:paraId="7A3320EA">
                  <w:pPr>
                    <w:pStyle w:val="83"/>
                    <w:rPr>
                      <w:color w:val="auto"/>
                    </w:rPr>
                  </w:pPr>
                  <w:r>
                    <w:rPr>
                      <w:color w:val="auto"/>
                    </w:rPr>
                    <w:t>强烈的气味，无法忍受，立即逃跑</w:t>
                  </w:r>
                </w:p>
              </w:tc>
            </w:tr>
          </w:tbl>
          <w:p w14:paraId="6239EA5B">
            <w:pPr>
              <w:adjustRightInd w:val="0"/>
              <w:snapToGrid w:val="0"/>
              <w:spacing w:line="360" w:lineRule="auto"/>
              <w:ind w:firstLine="420" w:firstLineChars="200"/>
              <w:rPr>
                <w:bCs/>
                <w:szCs w:val="21"/>
              </w:rPr>
            </w:pPr>
            <w:r>
              <w:rPr>
                <w:szCs w:val="21"/>
              </w:rPr>
              <w:t>项目对恶臭产生环节设置收集装置，收集后的恶臭气体进入碱液喷淋塔或二级活性炭吸附装置处理后通过排气筒排放，仅少量未被收集恶臭气体在车间内无组织排放。经预测，项目恶臭污染物硫化氢最大落地浓度为0</w:t>
            </w:r>
            <w:r>
              <w:rPr>
                <w:rFonts w:hint="eastAsia"/>
                <w:szCs w:val="21"/>
              </w:rPr>
              <w:t>.1542</w:t>
            </w:r>
            <w:r>
              <w:rPr>
                <w:szCs w:val="21"/>
              </w:rPr>
              <w:t>μg/m</w:t>
            </w:r>
            <w:r>
              <w:rPr>
                <w:szCs w:val="21"/>
                <w:vertAlign w:val="superscript"/>
              </w:rPr>
              <w:t>3</w:t>
            </w:r>
            <w:r>
              <w:rPr>
                <w:szCs w:val="21"/>
              </w:rPr>
              <w:t>，参照《关于淮安市建设项目环境影响评价中增加嗅阈值评价内容的</w:t>
            </w:r>
            <w:r>
              <w:rPr>
                <w:bCs/>
                <w:szCs w:val="21"/>
              </w:rPr>
              <w:t>通知》中硫化氢恶臭阈值为0.00041ppm（0.622μg/m</w:t>
            </w:r>
            <w:r>
              <w:rPr>
                <w:bCs/>
                <w:szCs w:val="21"/>
                <w:vertAlign w:val="superscript"/>
              </w:rPr>
              <w:t>3</w:t>
            </w:r>
            <w:r>
              <w:rPr>
                <w:bCs/>
                <w:szCs w:val="21"/>
              </w:rPr>
              <w:t>），硫化氢最大落地浓度</w:t>
            </w:r>
            <w:r>
              <w:rPr>
                <w:rFonts w:hint="eastAsia"/>
                <w:bCs/>
                <w:szCs w:val="21"/>
              </w:rPr>
              <w:t>低</w:t>
            </w:r>
            <w:r>
              <w:rPr>
                <w:bCs/>
                <w:szCs w:val="21"/>
              </w:rPr>
              <w:t>于恶臭阈值，建设单位通过加强厂区绿化、加大通风等方式可减少异味排放，降低恶臭影响。</w:t>
            </w:r>
          </w:p>
          <w:p w14:paraId="0A7CB72F">
            <w:pPr>
              <w:adjustRightInd w:val="0"/>
              <w:snapToGrid w:val="0"/>
              <w:spacing w:line="360" w:lineRule="auto"/>
              <w:ind w:firstLine="420" w:firstLineChars="200"/>
              <w:rPr>
                <w:bCs/>
                <w:szCs w:val="21"/>
              </w:rPr>
            </w:pPr>
            <w:r>
              <w:rPr>
                <w:bCs/>
                <w:szCs w:val="21"/>
              </w:rPr>
              <w:t>项目周边环境保护目标处硫化氢最大落地浓度远低于恶臭阈值，因此在正常生产情况下，异味对周边环境影响可接受。</w:t>
            </w:r>
          </w:p>
          <w:p w14:paraId="11FFF1D7">
            <w:pPr>
              <w:adjustRightInd w:val="0"/>
              <w:snapToGrid w:val="0"/>
              <w:spacing w:line="360" w:lineRule="auto"/>
              <w:ind w:firstLine="420" w:firstLineChars="200"/>
              <w:rPr>
                <w:bCs/>
                <w:szCs w:val="21"/>
              </w:rPr>
            </w:pPr>
            <w:r>
              <w:rPr>
                <w:bCs/>
                <w:szCs w:val="21"/>
              </w:rPr>
              <w:t>（7）废气无组织排放合理性</w:t>
            </w:r>
          </w:p>
          <w:p w14:paraId="1C1443C2">
            <w:pPr>
              <w:adjustRightInd w:val="0"/>
              <w:snapToGrid w:val="0"/>
              <w:spacing w:line="360" w:lineRule="auto"/>
              <w:ind w:firstLine="420" w:firstLineChars="200"/>
              <w:rPr>
                <w:bCs/>
                <w:szCs w:val="21"/>
              </w:rPr>
            </w:pPr>
            <w:r>
              <w:rPr>
                <w:rFonts w:hint="eastAsia"/>
                <w:bCs/>
                <w:szCs w:val="21"/>
              </w:rPr>
              <w:t>本项目无组织</w:t>
            </w:r>
            <w:r>
              <w:rPr>
                <w:bCs/>
                <w:szCs w:val="21"/>
              </w:rPr>
              <w:t>排放的废气主要来源于</w:t>
            </w:r>
            <w:r>
              <w:rPr>
                <w:rFonts w:hint="eastAsia"/>
                <w:bCs/>
                <w:szCs w:val="21"/>
              </w:rPr>
              <w:t>金属件喷、浸、涂胶及干燥</w:t>
            </w:r>
            <w:r>
              <w:rPr>
                <w:bCs/>
                <w:szCs w:val="21"/>
              </w:rPr>
              <w:t>过程中</w:t>
            </w:r>
            <w:r>
              <w:rPr>
                <w:rFonts w:hint="eastAsia"/>
                <w:bCs/>
                <w:szCs w:val="21"/>
              </w:rPr>
              <w:t>未捕集到的废气、</w:t>
            </w:r>
            <w:r>
              <w:rPr>
                <w:bCs/>
                <w:szCs w:val="21"/>
              </w:rPr>
              <w:t>配料过程中</w:t>
            </w:r>
            <w:r>
              <w:rPr>
                <w:rFonts w:hint="eastAsia"/>
                <w:bCs/>
                <w:szCs w:val="21"/>
              </w:rPr>
              <w:t>未捕集到</w:t>
            </w:r>
            <w:r>
              <w:rPr>
                <w:bCs/>
                <w:szCs w:val="21"/>
              </w:rPr>
              <w:t>的粉尘</w:t>
            </w:r>
            <w:r>
              <w:rPr>
                <w:rFonts w:hint="eastAsia"/>
                <w:bCs/>
                <w:szCs w:val="21"/>
              </w:rPr>
              <w:t>、混炼</w:t>
            </w:r>
            <w:r>
              <w:rPr>
                <w:bCs/>
                <w:szCs w:val="21"/>
              </w:rPr>
              <w:t>过程中</w:t>
            </w:r>
            <w:r>
              <w:rPr>
                <w:rFonts w:hint="eastAsia"/>
                <w:bCs/>
                <w:szCs w:val="21"/>
              </w:rPr>
              <w:t>未捕集到的废气、返炼</w:t>
            </w:r>
            <w:r>
              <w:rPr>
                <w:bCs/>
                <w:szCs w:val="21"/>
              </w:rPr>
              <w:t>过程中</w:t>
            </w:r>
            <w:r>
              <w:rPr>
                <w:rFonts w:hint="eastAsia"/>
                <w:bCs/>
                <w:szCs w:val="21"/>
              </w:rPr>
              <w:t>未捕集到的废气、挤出预成型</w:t>
            </w:r>
            <w:r>
              <w:rPr>
                <w:bCs/>
                <w:szCs w:val="21"/>
              </w:rPr>
              <w:t>过程中</w:t>
            </w:r>
            <w:r>
              <w:rPr>
                <w:rFonts w:hint="eastAsia"/>
                <w:bCs/>
                <w:szCs w:val="21"/>
              </w:rPr>
              <w:t>未捕集到的废气、硫化复合成型过程未捕集到的废气以及二次硫化过程未捕集到的废气</w:t>
            </w:r>
            <w:r>
              <w:rPr>
                <w:bCs/>
                <w:szCs w:val="21"/>
              </w:rPr>
              <w:t>。主要污染物为</w:t>
            </w:r>
            <w:r>
              <w:rPr>
                <w:rFonts w:hint="eastAsia"/>
                <w:bCs/>
                <w:szCs w:val="21"/>
              </w:rPr>
              <w:t>粉尘（含炭黑尘）、氟化物、H</w:t>
            </w:r>
            <w:r>
              <w:rPr>
                <w:rFonts w:hint="eastAsia"/>
                <w:bCs/>
                <w:szCs w:val="21"/>
                <w:vertAlign w:val="subscript"/>
              </w:rPr>
              <w:t>2</w:t>
            </w:r>
            <w:r>
              <w:rPr>
                <w:rFonts w:hint="eastAsia"/>
                <w:bCs/>
                <w:szCs w:val="21"/>
              </w:rPr>
              <w:t>S</w:t>
            </w:r>
            <w:r>
              <w:rPr>
                <w:bCs/>
                <w:szCs w:val="21"/>
              </w:rPr>
              <w:t>、非甲烷总烃。</w:t>
            </w:r>
          </w:p>
          <w:p w14:paraId="149E9B05">
            <w:pPr>
              <w:adjustRightInd w:val="0"/>
              <w:snapToGrid w:val="0"/>
              <w:spacing w:line="360" w:lineRule="auto"/>
              <w:ind w:firstLine="420" w:firstLineChars="200"/>
              <w:rPr>
                <w:bCs/>
                <w:szCs w:val="21"/>
              </w:rPr>
            </w:pPr>
            <w:r>
              <w:rPr>
                <w:bCs/>
                <w:szCs w:val="21"/>
              </w:rPr>
              <w:t>建设单位通过以下措施加强无组织废气控制：</w:t>
            </w:r>
          </w:p>
          <w:p w14:paraId="1B70924A">
            <w:pPr>
              <w:adjustRightInd w:val="0"/>
              <w:snapToGrid w:val="0"/>
              <w:spacing w:line="360" w:lineRule="auto"/>
              <w:ind w:firstLine="420" w:firstLineChars="200"/>
              <w:rPr>
                <w:bCs/>
                <w:szCs w:val="21"/>
              </w:rPr>
            </w:pPr>
            <w:r>
              <w:rPr>
                <w:bCs/>
                <w:szCs w:val="21"/>
              </w:rPr>
              <w:t>A.尽量保持废气产生车间和操作间（室）的密闭，合理设计送排风系统，提高废气捕集率，尽量将废气收集集中处理</w:t>
            </w:r>
            <w:r>
              <w:rPr>
                <w:rFonts w:hint="eastAsia"/>
                <w:bCs/>
                <w:szCs w:val="21"/>
              </w:rPr>
              <w:t>；混炼工段在密闭的房间中进行，粉料在传输过程中采用自动化控制、气力输送，减少逸散粉尘。</w:t>
            </w:r>
          </w:p>
          <w:p w14:paraId="36DE6336">
            <w:pPr>
              <w:adjustRightInd w:val="0"/>
              <w:snapToGrid w:val="0"/>
              <w:spacing w:line="360" w:lineRule="auto"/>
              <w:ind w:firstLine="420" w:firstLineChars="200"/>
              <w:rPr>
                <w:bCs/>
                <w:szCs w:val="21"/>
              </w:rPr>
            </w:pPr>
            <w:r>
              <w:rPr>
                <w:bCs/>
                <w:szCs w:val="21"/>
              </w:rPr>
              <w:t>B.加强生产管理，规范操作，使设备设施处于正常工作状态，减少生产、控制、输送等过程中的废气散发；</w:t>
            </w:r>
          </w:p>
          <w:p w14:paraId="70257291">
            <w:pPr>
              <w:adjustRightInd w:val="0"/>
              <w:snapToGrid w:val="0"/>
              <w:spacing w:line="360" w:lineRule="auto"/>
              <w:ind w:firstLine="420" w:firstLineChars="200"/>
              <w:rPr>
                <w:bCs/>
                <w:szCs w:val="21"/>
              </w:rPr>
            </w:pPr>
            <w:r>
              <w:rPr>
                <w:bCs/>
                <w:szCs w:val="21"/>
              </w:rPr>
              <w:t>C.对于废气散发面较大的工段，合理设计废气捕集系统，加大排风量和捕集面积，减少废气的无组织排放</w:t>
            </w:r>
            <w:r>
              <w:rPr>
                <w:rFonts w:hint="eastAsia"/>
                <w:bCs/>
                <w:szCs w:val="21"/>
              </w:rPr>
              <w:t>；</w:t>
            </w:r>
          </w:p>
          <w:p w14:paraId="18176613">
            <w:pPr>
              <w:adjustRightInd w:val="0"/>
              <w:snapToGrid w:val="0"/>
              <w:spacing w:line="360" w:lineRule="auto"/>
              <w:ind w:firstLine="420" w:firstLineChars="200"/>
              <w:rPr>
                <w:bCs/>
                <w:szCs w:val="21"/>
              </w:rPr>
            </w:pPr>
            <w:r>
              <w:rPr>
                <w:rFonts w:hint="eastAsia"/>
                <w:bCs/>
                <w:szCs w:val="21"/>
              </w:rPr>
              <w:t>D.其余未捕集到的废气通过车间内设置排风扇、加大通风量、安装空调等空气置换系统等加强车间通风的方式解决，在车间内无组织排放。</w:t>
            </w:r>
          </w:p>
          <w:p w14:paraId="274DF9C5">
            <w:pPr>
              <w:adjustRightInd w:val="0"/>
              <w:snapToGrid w:val="0"/>
              <w:spacing w:line="360" w:lineRule="auto"/>
              <w:ind w:firstLine="420" w:firstLineChars="200"/>
              <w:rPr>
                <w:bCs/>
                <w:szCs w:val="21"/>
              </w:rPr>
            </w:pPr>
            <w:r>
              <w:rPr>
                <w:bCs/>
                <w:szCs w:val="21"/>
              </w:rPr>
              <w:t>因此项目建设对周边环境保护目标影响较小。</w:t>
            </w:r>
          </w:p>
          <w:p w14:paraId="1ACAC028">
            <w:pPr>
              <w:pStyle w:val="5"/>
              <w:adjustRightInd w:val="0"/>
              <w:snapToGrid w:val="0"/>
              <w:spacing w:line="360" w:lineRule="auto"/>
              <w:ind w:firstLine="422"/>
              <w:rPr>
                <w:b/>
                <w:bCs/>
                <w:szCs w:val="21"/>
              </w:rPr>
            </w:pPr>
            <w:r>
              <w:rPr>
                <w:b/>
                <w:bCs/>
                <w:szCs w:val="21"/>
              </w:rPr>
              <w:t>（8）废气达标判定</w:t>
            </w:r>
          </w:p>
          <w:p w14:paraId="0F79E3D8">
            <w:pPr>
              <w:pStyle w:val="5"/>
              <w:ind w:firstLine="0" w:firstLineChars="0"/>
              <w:jc w:val="center"/>
              <w:rPr>
                <w:b/>
                <w:bCs/>
                <w:szCs w:val="21"/>
              </w:rPr>
            </w:pPr>
          </w:p>
          <w:p w14:paraId="6C0A7054">
            <w:pPr>
              <w:pStyle w:val="5"/>
              <w:ind w:firstLine="0" w:firstLineChars="0"/>
              <w:jc w:val="center"/>
              <w:rPr>
                <w:b/>
                <w:bCs/>
                <w:szCs w:val="21"/>
              </w:rPr>
            </w:pPr>
          </w:p>
          <w:p w14:paraId="1E992F16">
            <w:pPr>
              <w:pStyle w:val="5"/>
              <w:ind w:firstLine="0" w:firstLineChars="0"/>
              <w:jc w:val="center"/>
              <w:rPr>
                <w:b/>
                <w:bCs/>
                <w:szCs w:val="21"/>
              </w:rPr>
            </w:pPr>
          </w:p>
          <w:p w14:paraId="4469EC2A">
            <w:pPr>
              <w:pStyle w:val="5"/>
              <w:ind w:firstLine="0" w:firstLineChars="0"/>
              <w:jc w:val="center"/>
              <w:rPr>
                <w:b/>
                <w:bCs/>
                <w:szCs w:val="21"/>
              </w:rPr>
            </w:pPr>
          </w:p>
          <w:p w14:paraId="781124D7">
            <w:pPr>
              <w:pStyle w:val="5"/>
              <w:ind w:firstLine="0" w:firstLineChars="0"/>
              <w:jc w:val="center"/>
              <w:rPr>
                <w:b/>
                <w:bCs/>
                <w:szCs w:val="21"/>
              </w:rPr>
            </w:pPr>
          </w:p>
          <w:p w14:paraId="60451A59">
            <w:pPr>
              <w:pStyle w:val="5"/>
              <w:ind w:firstLine="0" w:firstLineChars="0"/>
              <w:jc w:val="center"/>
              <w:rPr>
                <w:b/>
                <w:bCs/>
                <w:szCs w:val="21"/>
              </w:rPr>
            </w:pPr>
          </w:p>
          <w:p w14:paraId="0415B204">
            <w:pPr>
              <w:pStyle w:val="5"/>
              <w:ind w:firstLine="0" w:firstLineChars="0"/>
              <w:jc w:val="center"/>
              <w:rPr>
                <w:b/>
                <w:bCs/>
                <w:szCs w:val="21"/>
              </w:rPr>
            </w:pPr>
          </w:p>
          <w:p w14:paraId="56D5FDFF">
            <w:pPr>
              <w:pStyle w:val="5"/>
              <w:ind w:firstLine="0" w:firstLineChars="0"/>
              <w:jc w:val="center"/>
              <w:rPr>
                <w:b/>
                <w:bCs/>
                <w:szCs w:val="21"/>
              </w:rPr>
            </w:pPr>
          </w:p>
          <w:p w14:paraId="6A0EB61F">
            <w:pPr>
              <w:pStyle w:val="5"/>
              <w:ind w:firstLine="0" w:firstLineChars="0"/>
              <w:jc w:val="center"/>
              <w:rPr>
                <w:b/>
                <w:bCs/>
                <w:szCs w:val="21"/>
              </w:rPr>
            </w:pPr>
          </w:p>
          <w:p w14:paraId="79852481">
            <w:pPr>
              <w:pStyle w:val="5"/>
              <w:ind w:firstLine="0" w:firstLineChars="0"/>
              <w:jc w:val="center"/>
              <w:rPr>
                <w:b/>
                <w:bCs/>
                <w:szCs w:val="21"/>
              </w:rPr>
            </w:pPr>
          </w:p>
          <w:p w14:paraId="6C2F5E7C">
            <w:pPr>
              <w:pStyle w:val="5"/>
              <w:ind w:firstLine="0" w:firstLineChars="0"/>
              <w:jc w:val="center"/>
              <w:rPr>
                <w:b/>
                <w:bCs/>
                <w:szCs w:val="21"/>
              </w:rPr>
            </w:pPr>
          </w:p>
          <w:p w14:paraId="241FF3E4">
            <w:pPr>
              <w:pStyle w:val="5"/>
              <w:ind w:firstLine="0" w:firstLineChars="0"/>
              <w:jc w:val="center"/>
              <w:rPr>
                <w:b/>
                <w:bCs/>
                <w:szCs w:val="21"/>
              </w:rPr>
            </w:pPr>
            <w:r>
              <w:rPr>
                <w:b/>
                <w:bCs/>
                <w:szCs w:val="21"/>
              </w:rPr>
              <w:t>表4-8  项目废气达标排放情况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3"/>
              <w:gridCol w:w="618"/>
              <w:gridCol w:w="1573"/>
              <w:gridCol w:w="915"/>
              <w:gridCol w:w="1020"/>
              <w:gridCol w:w="1035"/>
              <w:gridCol w:w="990"/>
              <w:gridCol w:w="1641"/>
              <w:gridCol w:w="645"/>
            </w:tblGrid>
            <w:tr w14:paraId="443EF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restart"/>
                  <w:tcMar>
                    <w:left w:w="0" w:type="dxa"/>
                    <w:right w:w="0" w:type="dxa"/>
                  </w:tcMar>
                  <w:vAlign w:val="center"/>
                </w:tcPr>
                <w:p w14:paraId="7BAA6612">
                  <w:pPr>
                    <w:snapToGrid w:val="0"/>
                    <w:jc w:val="center"/>
                    <w:rPr>
                      <w:b/>
                      <w:szCs w:val="21"/>
                    </w:rPr>
                  </w:pPr>
                  <w:r>
                    <w:rPr>
                      <w:b/>
                      <w:szCs w:val="21"/>
                    </w:rPr>
                    <w:t>排气筒编号</w:t>
                  </w:r>
                </w:p>
              </w:tc>
              <w:tc>
                <w:tcPr>
                  <w:tcW w:w="342" w:type="pct"/>
                  <w:vMerge w:val="restart"/>
                  <w:tcMar>
                    <w:left w:w="0" w:type="dxa"/>
                    <w:right w:w="0" w:type="dxa"/>
                  </w:tcMar>
                  <w:vAlign w:val="center"/>
                </w:tcPr>
                <w:p w14:paraId="24FC6AE3">
                  <w:pPr>
                    <w:snapToGrid w:val="0"/>
                    <w:jc w:val="center"/>
                    <w:rPr>
                      <w:b/>
                      <w:szCs w:val="21"/>
                    </w:rPr>
                  </w:pPr>
                  <w:r>
                    <w:rPr>
                      <w:b/>
                      <w:szCs w:val="21"/>
                    </w:rPr>
                    <w:t>排气量</w:t>
                  </w:r>
                </w:p>
                <w:p w14:paraId="6F2290FD">
                  <w:pPr>
                    <w:snapToGrid w:val="0"/>
                    <w:jc w:val="center"/>
                    <w:rPr>
                      <w:b/>
                      <w:szCs w:val="21"/>
                    </w:rPr>
                  </w:pPr>
                  <w:r>
                    <w:rPr>
                      <w:b/>
                      <w:szCs w:val="21"/>
                    </w:rPr>
                    <w:t>m</w:t>
                  </w:r>
                  <w:r>
                    <w:rPr>
                      <w:b/>
                      <w:szCs w:val="21"/>
                      <w:vertAlign w:val="superscript"/>
                    </w:rPr>
                    <w:t>3</w:t>
                  </w:r>
                  <w:r>
                    <w:rPr>
                      <w:b/>
                      <w:szCs w:val="21"/>
                    </w:rPr>
                    <w:t>/h</w:t>
                  </w:r>
                </w:p>
              </w:tc>
              <w:tc>
                <w:tcPr>
                  <w:tcW w:w="870" w:type="pct"/>
                  <w:vMerge w:val="restart"/>
                  <w:tcMar>
                    <w:left w:w="0" w:type="dxa"/>
                    <w:right w:w="0" w:type="dxa"/>
                  </w:tcMar>
                  <w:vAlign w:val="center"/>
                </w:tcPr>
                <w:p w14:paraId="5F414828">
                  <w:pPr>
                    <w:snapToGrid w:val="0"/>
                    <w:jc w:val="center"/>
                    <w:rPr>
                      <w:b/>
                      <w:szCs w:val="21"/>
                    </w:rPr>
                  </w:pPr>
                  <w:r>
                    <w:rPr>
                      <w:b/>
                      <w:szCs w:val="21"/>
                    </w:rPr>
                    <w:t>污染物名称</w:t>
                  </w:r>
                </w:p>
              </w:tc>
              <w:tc>
                <w:tcPr>
                  <w:tcW w:w="1071" w:type="pct"/>
                  <w:gridSpan w:val="2"/>
                  <w:tcMar>
                    <w:left w:w="0" w:type="dxa"/>
                    <w:right w:w="0" w:type="dxa"/>
                  </w:tcMar>
                  <w:vAlign w:val="center"/>
                </w:tcPr>
                <w:p w14:paraId="17386956">
                  <w:pPr>
                    <w:snapToGrid w:val="0"/>
                    <w:jc w:val="center"/>
                    <w:rPr>
                      <w:b/>
                      <w:szCs w:val="21"/>
                    </w:rPr>
                  </w:pPr>
                  <w:r>
                    <w:rPr>
                      <w:b/>
                      <w:szCs w:val="21"/>
                    </w:rPr>
                    <w:t>排放情况</w:t>
                  </w:r>
                </w:p>
              </w:tc>
              <w:tc>
                <w:tcPr>
                  <w:tcW w:w="1121" w:type="pct"/>
                  <w:gridSpan w:val="2"/>
                  <w:tcMar>
                    <w:left w:w="0" w:type="dxa"/>
                    <w:right w:w="0" w:type="dxa"/>
                  </w:tcMar>
                  <w:vAlign w:val="center"/>
                </w:tcPr>
                <w:p w14:paraId="2E24319D">
                  <w:pPr>
                    <w:snapToGrid w:val="0"/>
                    <w:jc w:val="center"/>
                    <w:rPr>
                      <w:b/>
                      <w:szCs w:val="21"/>
                    </w:rPr>
                  </w:pPr>
                  <w:r>
                    <w:rPr>
                      <w:b/>
                      <w:szCs w:val="21"/>
                    </w:rPr>
                    <w:t>执行标准</w:t>
                  </w:r>
                </w:p>
              </w:tc>
              <w:tc>
                <w:tcPr>
                  <w:tcW w:w="908" w:type="pct"/>
                  <w:vMerge w:val="restart"/>
                  <w:vAlign w:val="center"/>
                </w:tcPr>
                <w:p w14:paraId="6910414A">
                  <w:pPr>
                    <w:snapToGrid w:val="0"/>
                    <w:jc w:val="center"/>
                    <w:rPr>
                      <w:b/>
                      <w:szCs w:val="21"/>
                    </w:rPr>
                  </w:pPr>
                  <w:r>
                    <w:rPr>
                      <w:b/>
                      <w:szCs w:val="21"/>
                    </w:rPr>
                    <w:t>标准名称</w:t>
                  </w:r>
                </w:p>
              </w:tc>
              <w:tc>
                <w:tcPr>
                  <w:tcW w:w="357" w:type="pct"/>
                  <w:vMerge w:val="restart"/>
                  <w:tcMar>
                    <w:left w:w="0" w:type="dxa"/>
                    <w:right w:w="0" w:type="dxa"/>
                  </w:tcMar>
                  <w:vAlign w:val="center"/>
                </w:tcPr>
                <w:p w14:paraId="577A0C45">
                  <w:pPr>
                    <w:snapToGrid w:val="0"/>
                    <w:jc w:val="center"/>
                    <w:rPr>
                      <w:b/>
                      <w:szCs w:val="21"/>
                    </w:rPr>
                  </w:pPr>
                  <w:r>
                    <w:rPr>
                      <w:b/>
                      <w:szCs w:val="21"/>
                    </w:rPr>
                    <w:t>达标判定</w:t>
                  </w:r>
                </w:p>
              </w:tc>
            </w:tr>
            <w:tr w14:paraId="46CDE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Mar>
                    <w:left w:w="0" w:type="dxa"/>
                    <w:right w:w="0" w:type="dxa"/>
                  </w:tcMar>
                  <w:vAlign w:val="center"/>
                </w:tcPr>
                <w:p w14:paraId="00D25104">
                  <w:pPr>
                    <w:snapToGrid w:val="0"/>
                    <w:jc w:val="center"/>
                    <w:rPr>
                      <w:b/>
                      <w:szCs w:val="21"/>
                    </w:rPr>
                  </w:pPr>
                </w:p>
              </w:tc>
              <w:tc>
                <w:tcPr>
                  <w:tcW w:w="342" w:type="pct"/>
                  <w:vMerge w:val="continue"/>
                  <w:tcMar>
                    <w:left w:w="0" w:type="dxa"/>
                    <w:right w:w="0" w:type="dxa"/>
                  </w:tcMar>
                  <w:vAlign w:val="center"/>
                </w:tcPr>
                <w:p w14:paraId="4EEDF628">
                  <w:pPr>
                    <w:snapToGrid w:val="0"/>
                    <w:jc w:val="center"/>
                    <w:rPr>
                      <w:b/>
                      <w:szCs w:val="21"/>
                    </w:rPr>
                  </w:pPr>
                </w:p>
              </w:tc>
              <w:tc>
                <w:tcPr>
                  <w:tcW w:w="870" w:type="pct"/>
                  <w:vMerge w:val="continue"/>
                  <w:tcMar>
                    <w:left w:w="0" w:type="dxa"/>
                    <w:right w:w="0" w:type="dxa"/>
                  </w:tcMar>
                  <w:vAlign w:val="center"/>
                </w:tcPr>
                <w:p w14:paraId="4CB6F8F6">
                  <w:pPr>
                    <w:snapToGrid w:val="0"/>
                    <w:jc w:val="center"/>
                    <w:rPr>
                      <w:b/>
                      <w:szCs w:val="21"/>
                    </w:rPr>
                  </w:pPr>
                </w:p>
              </w:tc>
              <w:tc>
                <w:tcPr>
                  <w:tcW w:w="506" w:type="pct"/>
                  <w:tcMar>
                    <w:left w:w="0" w:type="dxa"/>
                    <w:right w:w="0" w:type="dxa"/>
                  </w:tcMar>
                  <w:vAlign w:val="center"/>
                </w:tcPr>
                <w:p w14:paraId="36A17ADD">
                  <w:pPr>
                    <w:snapToGrid w:val="0"/>
                    <w:jc w:val="center"/>
                    <w:rPr>
                      <w:b/>
                      <w:szCs w:val="21"/>
                    </w:rPr>
                  </w:pPr>
                  <w:r>
                    <w:rPr>
                      <w:b/>
                      <w:szCs w:val="21"/>
                    </w:rPr>
                    <w:t>浓度mg/m</w:t>
                  </w:r>
                  <w:r>
                    <w:rPr>
                      <w:b/>
                      <w:szCs w:val="21"/>
                      <w:vertAlign w:val="superscript"/>
                    </w:rPr>
                    <w:t>3</w:t>
                  </w:r>
                </w:p>
              </w:tc>
              <w:tc>
                <w:tcPr>
                  <w:tcW w:w="564" w:type="pct"/>
                  <w:tcMar>
                    <w:left w:w="0" w:type="dxa"/>
                    <w:right w:w="0" w:type="dxa"/>
                  </w:tcMar>
                  <w:vAlign w:val="center"/>
                </w:tcPr>
                <w:p w14:paraId="182C4D18">
                  <w:pPr>
                    <w:snapToGrid w:val="0"/>
                    <w:jc w:val="center"/>
                    <w:rPr>
                      <w:b/>
                      <w:szCs w:val="21"/>
                    </w:rPr>
                  </w:pPr>
                  <w:r>
                    <w:rPr>
                      <w:b/>
                      <w:szCs w:val="21"/>
                    </w:rPr>
                    <w:t>速率kg/h</w:t>
                  </w:r>
                </w:p>
              </w:tc>
              <w:tc>
                <w:tcPr>
                  <w:tcW w:w="573" w:type="pct"/>
                  <w:tcMar>
                    <w:left w:w="0" w:type="dxa"/>
                    <w:right w:w="0" w:type="dxa"/>
                  </w:tcMar>
                  <w:vAlign w:val="center"/>
                </w:tcPr>
                <w:p w14:paraId="7CE44C43">
                  <w:pPr>
                    <w:snapToGrid w:val="0"/>
                    <w:jc w:val="center"/>
                    <w:rPr>
                      <w:b/>
                      <w:szCs w:val="21"/>
                    </w:rPr>
                  </w:pPr>
                  <w:r>
                    <w:rPr>
                      <w:b/>
                      <w:szCs w:val="21"/>
                    </w:rPr>
                    <w:t>浓度mg/m</w:t>
                  </w:r>
                  <w:r>
                    <w:rPr>
                      <w:b/>
                      <w:szCs w:val="21"/>
                      <w:vertAlign w:val="superscript"/>
                    </w:rPr>
                    <w:t>3</w:t>
                  </w:r>
                </w:p>
              </w:tc>
              <w:tc>
                <w:tcPr>
                  <w:tcW w:w="548" w:type="pct"/>
                  <w:tcMar>
                    <w:left w:w="0" w:type="dxa"/>
                    <w:right w:w="0" w:type="dxa"/>
                  </w:tcMar>
                  <w:vAlign w:val="center"/>
                </w:tcPr>
                <w:p w14:paraId="64C68248">
                  <w:pPr>
                    <w:snapToGrid w:val="0"/>
                    <w:jc w:val="center"/>
                    <w:rPr>
                      <w:b/>
                      <w:szCs w:val="21"/>
                    </w:rPr>
                  </w:pPr>
                  <w:r>
                    <w:rPr>
                      <w:b/>
                      <w:szCs w:val="21"/>
                    </w:rPr>
                    <w:t>速率kg/h</w:t>
                  </w:r>
                </w:p>
              </w:tc>
              <w:tc>
                <w:tcPr>
                  <w:tcW w:w="908" w:type="pct"/>
                  <w:vMerge w:val="continue"/>
                  <w:vAlign w:val="center"/>
                </w:tcPr>
                <w:p w14:paraId="4C4D0D0E">
                  <w:pPr>
                    <w:snapToGrid w:val="0"/>
                    <w:jc w:val="center"/>
                    <w:rPr>
                      <w:b/>
                      <w:szCs w:val="21"/>
                    </w:rPr>
                  </w:pPr>
                </w:p>
              </w:tc>
              <w:tc>
                <w:tcPr>
                  <w:tcW w:w="357" w:type="pct"/>
                  <w:vMerge w:val="continue"/>
                  <w:tcMar>
                    <w:left w:w="0" w:type="dxa"/>
                    <w:right w:w="0" w:type="dxa"/>
                  </w:tcMar>
                  <w:vAlign w:val="center"/>
                </w:tcPr>
                <w:p w14:paraId="61144281">
                  <w:pPr>
                    <w:snapToGrid w:val="0"/>
                    <w:jc w:val="center"/>
                    <w:rPr>
                      <w:b/>
                      <w:szCs w:val="21"/>
                    </w:rPr>
                  </w:pPr>
                </w:p>
              </w:tc>
            </w:tr>
            <w:tr w14:paraId="4DC8F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restart"/>
                  <w:tcMar>
                    <w:left w:w="0" w:type="dxa"/>
                    <w:right w:w="0" w:type="dxa"/>
                  </w:tcMar>
                  <w:vAlign w:val="center"/>
                </w:tcPr>
                <w:p w14:paraId="2467BBA4">
                  <w:pPr>
                    <w:snapToGrid w:val="0"/>
                    <w:jc w:val="center"/>
                    <w:rPr>
                      <w:bCs/>
                      <w:szCs w:val="21"/>
                    </w:rPr>
                  </w:pPr>
                  <w:r>
                    <w:rPr>
                      <w:rFonts w:hint="eastAsia"/>
                      <w:bCs/>
                      <w:szCs w:val="21"/>
                    </w:rPr>
                    <w:t>8</w:t>
                  </w:r>
                  <w:r>
                    <w:rPr>
                      <w:bCs/>
                      <w:szCs w:val="21"/>
                    </w:rPr>
                    <w:t>#排气筒</w:t>
                  </w:r>
                </w:p>
              </w:tc>
              <w:tc>
                <w:tcPr>
                  <w:tcW w:w="342" w:type="pct"/>
                  <w:vMerge w:val="restart"/>
                  <w:tcMar>
                    <w:left w:w="0" w:type="dxa"/>
                    <w:right w:w="0" w:type="dxa"/>
                  </w:tcMar>
                  <w:vAlign w:val="center"/>
                </w:tcPr>
                <w:p w14:paraId="20092714">
                  <w:pPr>
                    <w:jc w:val="center"/>
                    <w:rPr>
                      <w:bCs/>
                      <w:szCs w:val="21"/>
                    </w:rPr>
                  </w:pPr>
                  <w:r>
                    <w:rPr>
                      <w:rFonts w:hint="eastAsia"/>
                      <w:bCs/>
                      <w:szCs w:val="21"/>
                    </w:rPr>
                    <w:t>20000</w:t>
                  </w:r>
                </w:p>
              </w:tc>
              <w:tc>
                <w:tcPr>
                  <w:tcW w:w="870" w:type="pct"/>
                  <w:tcMar>
                    <w:left w:w="0" w:type="dxa"/>
                    <w:right w:w="0" w:type="dxa"/>
                  </w:tcMar>
                  <w:vAlign w:val="center"/>
                </w:tcPr>
                <w:p w14:paraId="3A798B1E">
                  <w:pPr>
                    <w:jc w:val="center"/>
                    <w:rPr>
                      <w:szCs w:val="21"/>
                    </w:rPr>
                  </w:pPr>
                  <w:r>
                    <w:rPr>
                      <w:rFonts w:hint="eastAsia"/>
                      <w:bCs/>
                      <w:szCs w:val="21"/>
                    </w:rPr>
                    <w:t>粉尘（含炭黑尘）</w:t>
                  </w:r>
                </w:p>
              </w:tc>
              <w:tc>
                <w:tcPr>
                  <w:tcW w:w="506" w:type="pct"/>
                  <w:tcMar>
                    <w:left w:w="0" w:type="dxa"/>
                    <w:right w:w="0" w:type="dxa"/>
                  </w:tcMar>
                  <w:vAlign w:val="center"/>
                </w:tcPr>
                <w:p w14:paraId="538BE89A">
                  <w:pPr>
                    <w:widowControl/>
                    <w:jc w:val="center"/>
                    <w:rPr>
                      <w:bCs/>
                      <w:szCs w:val="21"/>
                    </w:rPr>
                  </w:pPr>
                  <w:r>
                    <w:rPr>
                      <w:kern w:val="0"/>
                      <w:szCs w:val="21"/>
                    </w:rPr>
                    <w:t>0.08</w:t>
                  </w:r>
                </w:p>
              </w:tc>
              <w:tc>
                <w:tcPr>
                  <w:tcW w:w="564" w:type="pct"/>
                  <w:tcMar>
                    <w:left w:w="0" w:type="dxa"/>
                    <w:right w:w="0" w:type="dxa"/>
                  </w:tcMar>
                  <w:vAlign w:val="center"/>
                </w:tcPr>
                <w:p w14:paraId="12B8B8D1">
                  <w:pPr>
                    <w:widowControl/>
                    <w:jc w:val="center"/>
                    <w:rPr>
                      <w:bCs/>
                      <w:szCs w:val="21"/>
                    </w:rPr>
                  </w:pPr>
                  <w:r>
                    <w:rPr>
                      <w:kern w:val="0"/>
                      <w:szCs w:val="21"/>
                    </w:rPr>
                    <w:t>0.002</w:t>
                  </w:r>
                </w:p>
              </w:tc>
              <w:tc>
                <w:tcPr>
                  <w:tcW w:w="573" w:type="pct"/>
                  <w:tcMar>
                    <w:left w:w="0" w:type="dxa"/>
                    <w:right w:w="0" w:type="dxa"/>
                  </w:tcMar>
                  <w:vAlign w:val="center"/>
                </w:tcPr>
                <w:p w14:paraId="57D335CD">
                  <w:pPr>
                    <w:widowControl/>
                    <w:snapToGrid w:val="0"/>
                    <w:jc w:val="center"/>
                    <w:rPr>
                      <w:bCs/>
                      <w:szCs w:val="21"/>
                    </w:rPr>
                  </w:pPr>
                  <w:r>
                    <w:rPr>
                      <w:rFonts w:hint="eastAsia"/>
                      <w:kern w:val="0"/>
                      <w:szCs w:val="21"/>
                    </w:rPr>
                    <w:t>12</w:t>
                  </w:r>
                </w:p>
              </w:tc>
              <w:tc>
                <w:tcPr>
                  <w:tcW w:w="548" w:type="pct"/>
                  <w:tcMar>
                    <w:left w:w="0" w:type="dxa"/>
                    <w:right w:w="0" w:type="dxa"/>
                  </w:tcMar>
                  <w:vAlign w:val="center"/>
                </w:tcPr>
                <w:p w14:paraId="02E6A27D">
                  <w:pPr>
                    <w:widowControl/>
                    <w:snapToGrid w:val="0"/>
                    <w:jc w:val="center"/>
                    <w:rPr>
                      <w:bCs/>
                      <w:szCs w:val="21"/>
                    </w:rPr>
                  </w:pPr>
                  <w:r>
                    <w:rPr>
                      <w:rFonts w:hint="eastAsia"/>
                      <w:kern w:val="0"/>
                      <w:szCs w:val="21"/>
                    </w:rPr>
                    <w:t>/</w:t>
                  </w:r>
                </w:p>
              </w:tc>
              <w:tc>
                <w:tcPr>
                  <w:tcW w:w="908" w:type="pct"/>
                  <w:vMerge w:val="restart"/>
                  <w:vAlign w:val="center"/>
                </w:tcPr>
                <w:p w14:paraId="73C04B7C">
                  <w:pPr>
                    <w:snapToGrid w:val="0"/>
                    <w:jc w:val="center"/>
                    <w:rPr>
                      <w:bCs/>
                      <w:szCs w:val="21"/>
                    </w:rPr>
                  </w:pPr>
                  <w:r>
                    <w:rPr>
                      <w:szCs w:val="21"/>
                    </w:rPr>
                    <w:t>《橡胶制品工业污染物排放标准》（GB27632-2011）、《恶臭污染物排放标准》（GB14554-93）</w:t>
                  </w:r>
                  <w:r>
                    <w:rPr>
                      <w:rFonts w:hint="eastAsia"/>
                      <w:szCs w:val="21"/>
                    </w:rPr>
                    <w:t>、</w:t>
                  </w:r>
                  <w:r>
                    <w:rPr>
                      <w:bCs/>
                    </w:rPr>
                    <w:t>《大气污染物综合排放标</w:t>
                  </w:r>
                  <w:r>
                    <w:rPr>
                      <w:szCs w:val="21"/>
                    </w:rPr>
                    <w:t>准》（DB32/4041-2021）</w:t>
                  </w:r>
                </w:p>
              </w:tc>
              <w:tc>
                <w:tcPr>
                  <w:tcW w:w="357" w:type="pct"/>
                  <w:tcMar>
                    <w:left w:w="0" w:type="dxa"/>
                    <w:right w:w="0" w:type="dxa"/>
                  </w:tcMar>
                  <w:vAlign w:val="center"/>
                </w:tcPr>
                <w:p w14:paraId="2CAE8770">
                  <w:pPr>
                    <w:jc w:val="center"/>
                    <w:textAlignment w:val="bottom"/>
                    <w:rPr>
                      <w:szCs w:val="21"/>
                    </w:rPr>
                  </w:pPr>
                  <w:r>
                    <w:rPr>
                      <w:szCs w:val="21"/>
                    </w:rPr>
                    <w:t>达标</w:t>
                  </w:r>
                </w:p>
              </w:tc>
            </w:tr>
            <w:tr w14:paraId="31FC78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Mar>
                    <w:left w:w="0" w:type="dxa"/>
                    <w:right w:w="0" w:type="dxa"/>
                  </w:tcMar>
                  <w:vAlign w:val="center"/>
                </w:tcPr>
                <w:p w14:paraId="7069D112">
                  <w:pPr>
                    <w:snapToGrid w:val="0"/>
                    <w:jc w:val="center"/>
                    <w:rPr>
                      <w:bCs/>
                      <w:szCs w:val="21"/>
                    </w:rPr>
                  </w:pPr>
                </w:p>
              </w:tc>
              <w:tc>
                <w:tcPr>
                  <w:tcW w:w="342" w:type="pct"/>
                  <w:vMerge w:val="continue"/>
                  <w:tcMar>
                    <w:left w:w="0" w:type="dxa"/>
                    <w:right w:w="0" w:type="dxa"/>
                  </w:tcMar>
                  <w:vAlign w:val="center"/>
                </w:tcPr>
                <w:p w14:paraId="7F0F76B7">
                  <w:pPr>
                    <w:snapToGrid w:val="0"/>
                    <w:jc w:val="center"/>
                    <w:rPr>
                      <w:bCs/>
                      <w:szCs w:val="21"/>
                    </w:rPr>
                  </w:pPr>
                </w:p>
              </w:tc>
              <w:tc>
                <w:tcPr>
                  <w:tcW w:w="870" w:type="pct"/>
                  <w:tcMar>
                    <w:left w:w="0" w:type="dxa"/>
                    <w:right w:w="0" w:type="dxa"/>
                  </w:tcMar>
                  <w:vAlign w:val="center"/>
                </w:tcPr>
                <w:p w14:paraId="344D32AA">
                  <w:pPr>
                    <w:jc w:val="center"/>
                    <w:rPr>
                      <w:szCs w:val="21"/>
                    </w:rPr>
                  </w:pPr>
                  <w:r>
                    <w:rPr>
                      <w:bCs/>
                      <w:szCs w:val="21"/>
                    </w:rPr>
                    <w:t>硫化氢</w:t>
                  </w:r>
                </w:p>
              </w:tc>
              <w:tc>
                <w:tcPr>
                  <w:tcW w:w="506" w:type="pct"/>
                  <w:tcMar>
                    <w:left w:w="0" w:type="dxa"/>
                    <w:right w:w="0" w:type="dxa"/>
                  </w:tcMar>
                  <w:vAlign w:val="center"/>
                </w:tcPr>
                <w:p w14:paraId="778FA8C6">
                  <w:pPr>
                    <w:widowControl/>
                    <w:jc w:val="center"/>
                    <w:rPr>
                      <w:bCs/>
                      <w:szCs w:val="21"/>
                    </w:rPr>
                  </w:pPr>
                  <w:r>
                    <w:rPr>
                      <w:kern w:val="0"/>
                      <w:szCs w:val="21"/>
                    </w:rPr>
                    <w:t>0.09</w:t>
                  </w:r>
                </w:p>
              </w:tc>
              <w:tc>
                <w:tcPr>
                  <w:tcW w:w="564" w:type="pct"/>
                  <w:tcMar>
                    <w:left w:w="0" w:type="dxa"/>
                    <w:right w:w="0" w:type="dxa"/>
                  </w:tcMar>
                  <w:vAlign w:val="center"/>
                </w:tcPr>
                <w:p w14:paraId="0BD60849">
                  <w:pPr>
                    <w:widowControl/>
                    <w:jc w:val="center"/>
                    <w:rPr>
                      <w:bCs/>
                      <w:szCs w:val="21"/>
                    </w:rPr>
                  </w:pPr>
                  <w:r>
                    <w:rPr>
                      <w:kern w:val="0"/>
                      <w:szCs w:val="21"/>
                    </w:rPr>
                    <w:t>0.002</w:t>
                  </w:r>
                </w:p>
              </w:tc>
              <w:tc>
                <w:tcPr>
                  <w:tcW w:w="573" w:type="pct"/>
                  <w:tcMar>
                    <w:left w:w="0" w:type="dxa"/>
                    <w:right w:w="0" w:type="dxa"/>
                  </w:tcMar>
                  <w:vAlign w:val="center"/>
                </w:tcPr>
                <w:p w14:paraId="08B82DFA">
                  <w:pPr>
                    <w:widowControl/>
                    <w:jc w:val="center"/>
                    <w:rPr>
                      <w:bCs/>
                      <w:szCs w:val="21"/>
                    </w:rPr>
                  </w:pPr>
                  <w:r>
                    <w:rPr>
                      <w:kern w:val="0"/>
                      <w:szCs w:val="21"/>
                    </w:rPr>
                    <w:t>/</w:t>
                  </w:r>
                </w:p>
              </w:tc>
              <w:tc>
                <w:tcPr>
                  <w:tcW w:w="548" w:type="pct"/>
                  <w:tcMar>
                    <w:left w:w="0" w:type="dxa"/>
                    <w:right w:w="0" w:type="dxa"/>
                  </w:tcMar>
                  <w:vAlign w:val="center"/>
                </w:tcPr>
                <w:p w14:paraId="2380C99E">
                  <w:pPr>
                    <w:widowControl/>
                    <w:jc w:val="center"/>
                    <w:rPr>
                      <w:bCs/>
                      <w:szCs w:val="21"/>
                    </w:rPr>
                  </w:pPr>
                  <w:r>
                    <w:rPr>
                      <w:kern w:val="0"/>
                      <w:szCs w:val="21"/>
                    </w:rPr>
                    <w:t>0.</w:t>
                  </w:r>
                  <w:r>
                    <w:rPr>
                      <w:rFonts w:hint="eastAsia"/>
                      <w:kern w:val="0"/>
                      <w:szCs w:val="21"/>
                    </w:rPr>
                    <w:t>3</w:t>
                  </w:r>
                  <w:r>
                    <w:rPr>
                      <w:kern w:val="0"/>
                      <w:szCs w:val="21"/>
                    </w:rPr>
                    <w:t>3</w:t>
                  </w:r>
                </w:p>
              </w:tc>
              <w:tc>
                <w:tcPr>
                  <w:tcW w:w="908" w:type="pct"/>
                  <w:vMerge w:val="continue"/>
                  <w:vAlign w:val="center"/>
                </w:tcPr>
                <w:p w14:paraId="1BE1FA47">
                  <w:pPr>
                    <w:snapToGrid w:val="0"/>
                    <w:jc w:val="center"/>
                    <w:rPr>
                      <w:bCs/>
                      <w:szCs w:val="21"/>
                    </w:rPr>
                  </w:pPr>
                </w:p>
              </w:tc>
              <w:tc>
                <w:tcPr>
                  <w:tcW w:w="357" w:type="pct"/>
                  <w:tcMar>
                    <w:left w:w="0" w:type="dxa"/>
                    <w:right w:w="0" w:type="dxa"/>
                  </w:tcMar>
                  <w:vAlign w:val="center"/>
                </w:tcPr>
                <w:p w14:paraId="2C47FDEB">
                  <w:pPr>
                    <w:jc w:val="center"/>
                    <w:textAlignment w:val="bottom"/>
                    <w:rPr>
                      <w:szCs w:val="21"/>
                    </w:rPr>
                  </w:pPr>
                  <w:r>
                    <w:rPr>
                      <w:szCs w:val="21"/>
                    </w:rPr>
                    <w:t>达标</w:t>
                  </w:r>
                </w:p>
              </w:tc>
            </w:tr>
            <w:tr w14:paraId="30028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Mar>
                    <w:left w:w="0" w:type="dxa"/>
                    <w:right w:w="0" w:type="dxa"/>
                  </w:tcMar>
                  <w:vAlign w:val="center"/>
                </w:tcPr>
                <w:p w14:paraId="121B68E9">
                  <w:pPr>
                    <w:snapToGrid w:val="0"/>
                    <w:jc w:val="center"/>
                    <w:rPr>
                      <w:bCs/>
                      <w:szCs w:val="21"/>
                    </w:rPr>
                  </w:pPr>
                </w:p>
              </w:tc>
              <w:tc>
                <w:tcPr>
                  <w:tcW w:w="342" w:type="pct"/>
                  <w:vMerge w:val="continue"/>
                  <w:tcMar>
                    <w:left w:w="0" w:type="dxa"/>
                    <w:right w:w="0" w:type="dxa"/>
                  </w:tcMar>
                  <w:vAlign w:val="center"/>
                </w:tcPr>
                <w:p w14:paraId="577DE73F">
                  <w:pPr>
                    <w:snapToGrid w:val="0"/>
                    <w:jc w:val="center"/>
                    <w:rPr>
                      <w:bCs/>
                      <w:szCs w:val="21"/>
                    </w:rPr>
                  </w:pPr>
                </w:p>
              </w:tc>
              <w:tc>
                <w:tcPr>
                  <w:tcW w:w="870" w:type="pct"/>
                  <w:tcMar>
                    <w:left w:w="0" w:type="dxa"/>
                    <w:right w:w="0" w:type="dxa"/>
                  </w:tcMar>
                  <w:vAlign w:val="center"/>
                </w:tcPr>
                <w:p w14:paraId="5833221E">
                  <w:pPr>
                    <w:jc w:val="center"/>
                    <w:rPr>
                      <w:szCs w:val="21"/>
                    </w:rPr>
                  </w:pPr>
                  <w:r>
                    <w:rPr>
                      <w:bCs/>
                      <w:szCs w:val="21"/>
                    </w:rPr>
                    <w:t>非甲烷总烃</w:t>
                  </w:r>
                </w:p>
              </w:tc>
              <w:tc>
                <w:tcPr>
                  <w:tcW w:w="506" w:type="pct"/>
                  <w:tcMar>
                    <w:left w:w="0" w:type="dxa"/>
                    <w:right w:w="0" w:type="dxa"/>
                  </w:tcMar>
                  <w:vAlign w:val="center"/>
                </w:tcPr>
                <w:p w14:paraId="269F6F60">
                  <w:pPr>
                    <w:widowControl/>
                    <w:jc w:val="center"/>
                    <w:rPr>
                      <w:bCs/>
                      <w:szCs w:val="21"/>
                    </w:rPr>
                  </w:pPr>
                  <w:r>
                    <w:rPr>
                      <w:kern w:val="0"/>
                      <w:szCs w:val="21"/>
                    </w:rPr>
                    <w:t>0.89</w:t>
                  </w:r>
                </w:p>
              </w:tc>
              <w:tc>
                <w:tcPr>
                  <w:tcW w:w="564" w:type="pct"/>
                  <w:tcMar>
                    <w:left w:w="0" w:type="dxa"/>
                    <w:right w:w="0" w:type="dxa"/>
                  </w:tcMar>
                  <w:vAlign w:val="center"/>
                </w:tcPr>
                <w:p w14:paraId="0E970097">
                  <w:pPr>
                    <w:widowControl/>
                    <w:jc w:val="center"/>
                    <w:rPr>
                      <w:bCs/>
                      <w:szCs w:val="21"/>
                    </w:rPr>
                  </w:pPr>
                  <w:r>
                    <w:rPr>
                      <w:kern w:val="0"/>
                      <w:szCs w:val="21"/>
                    </w:rPr>
                    <w:t>0.018</w:t>
                  </w:r>
                </w:p>
              </w:tc>
              <w:tc>
                <w:tcPr>
                  <w:tcW w:w="573" w:type="pct"/>
                  <w:tcMar>
                    <w:left w:w="0" w:type="dxa"/>
                    <w:right w:w="0" w:type="dxa"/>
                  </w:tcMar>
                  <w:vAlign w:val="center"/>
                </w:tcPr>
                <w:p w14:paraId="26EC2740">
                  <w:pPr>
                    <w:widowControl/>
                    <w:snapToGrid w:val="0"/>
                    <w:jc w:val="center"/>
                    <w:rPr>
                      <w:bCs/>
                      <w:szCs w:val="21"/>
                    </w:rPr>
                  </w:pPr>
                  <w:r>
                    <w:rPr>
                      <w:rFonts w:hint="eastAsia"/>
                      <w:kern w:val="0"/>
                      <w:szCs w:val="21"/>
                    </w:rPr>
                    <w:t>10</w:t>
                  </w:r>
                </w:p>
              </w:tc>
              <w:tc>
                <w:tcPr>
                  <w:tcW w:w="548" w:type="pct"/>
                  <w:tcMar>
                    <w:left w:w="0" w:type="dxa"/>
                    <w:right w:w="0" w:type="dxa"/>
                  </w:tcMar>
                  <w:vAlign w:val="center"/>
                </w:tcPr>
                <w:p w14:paraId="6DBAF5B1">
                  <w:pPr>
                    <w:widowControl/>
                    <w:snapToGrid w:val="0"/>
                    <w:jc w:val="center"/>
                    <w:rPr>
                      <w:bCs/>
                      <w:szCs w:val="21"/>
                    </w:rPr>
                  </w:pPr>
                  <w:r>
                    <w:rPr>
                      <w:rFonts w:hint="eastAsia"/>
                      <w:kern w:val="0"/>
                      <w:szCs w:val="21"/>
                    </w:rPr>
                    <w:t>/</w:t>
                  </w:r>
                </w:p>
              </w:tc>
              <w:tc>
                <w:tcPr>
                  <w:tcW w:w="908" w:type="pct"/>
                  <w:vMerge w:val="continue"/>
                  <w:vAlign w:val="center"/>
                </w:tcPr>
                <w:p w14:paraId="1C29D263">
                  <w:pPr>
                    <w:snapToGrid w:val="0"/>
                    <w:jc w:val="center"/>
                    <w:rPr>
                      <w:bCs/>
                      <w:szCs w:val="21"/>
                    </w:rPr>
                  </w:pPr>
                </w:p>
              </w:tc>
              <w:tc>
                <w:tcPr>
                  <w:tcW w:w="357" w:type="pct"/>
                  <w:tcMar>
                    <w:left w:w="0" w:type="dxa"/>
                    <w:right w:w="0" w:type="dxa"/>
                  </w:tcMar>
                  <w:vAlign w:val="center"/>
                </w:tcPr>
                <w:p w14:paraId="6B272A24">
                  <w:pPr>
                    <w:jc w:val="center"/>
                    <w:textAlignment w:val="bottom"/>
                    <w:rPr>
                      <w:szCs w:val="21"/>
                    </w:rPr>
                  </w:pPr>
                  <w:r>
                    <w:rPr>
                      <w:szCs w:val="21"/>
                    </w:rPr>
                    <w:t>达标</w:t>
                  </w:r>
                </w:p>
              </w:tc>
            </w:tr>
            <w:tr w14:paraId="6D0F9D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restart"/>
                  <w:tcMar>
                    <w:left w:w="0" w:type="dxa"/>
                    <w:right w:w="0" w:type="dxa"/>
                  </w:tcMar>
                  <w:vAlign w:val="center"/>
                </w:tcPr>
                <w:p w14:paraId="6545796F">
                  <w:pPr>
                    <w:jc w:val="center"/>
                    <w:textAlignment w:val="bottom"/>
                    <w:rPr>
                      <w:szCs w:val="21"/>
                    </w:rPr>
                  </w:pPr>
                  <w:r>
                    <w:rPr>
                      <w:rFonts w:hint="eastAsia"/>
                      <w:szCs w:val="21"/>
                    </w:rPr>
                    <w:t>1</w:t>
                  </w:r>
                  <w:r>
                    <w:rPr>
                      <w:szCs w:val="21"/>
                    </w:rPr>
                    <w:t>#排气筒</w:t>
                  </w:r>
                </w:p>
              </w:tc>
              <w:tc>
                <w:tcPr>
                  <w:tcW w:w="342" w:type="pct"/>
                  <w:vMerge w:val="restart"/>
                  <w:tcMar>
                    <w:left w:w="0" w:type="dxa"/>
                    <w:right w:w="0" w:type="dxa"/>
                  </w:tcMar>
                  <w:vAlign w:val="center"/>
                </w:tcPr>
                <w:p w14:paraId="6553DDD2">
                  <w:pPr>
                    <w:jc w:val="center"/>
                    <w:rPr>
                      <w:szCs w:val="21"/>
                    </w:rPr>
                  </w:pPr>
                  <w:r>
                    <w:rPr>
                      <w:rFonts w:hint="eastAsia"/>
                      <w:bCs/>
                      <w:szCs w:val="21"/>
                    </w:rPr>
                    <w:t>63000</w:t>
                  </w:r>
                </w:p>
              </w:tc>
              <w:tc>
                <w:tcPr>
                  <w:tcW w:w="870" w:type="pct"/>
                  <w:tcMar>
                    <w:left w:w="0" w:type="dxa"/>
                    <w:right w:w="0" w:type="dxa"/>
                  </w:tcMar>
                  <w:vAlign w:val="center"/>
                </w:tcPr>
                <w:p w14:paraId="6B4F7C8C">
                  <w:pPr>
                    <w:jc w:val="center"/>
                    <w:rPr>
                      <w:szCs w:val="21"/>
                    </w:rPr>
                  </w:pPr>
                  <w:r>
                    <w:rPr>
                      <w:rFonts w:hint="eastAsia"/>
                      <w:bCs/>
                      <w:szCs w:val="21"/>
                    </w:rPr>
                    <w:t>氟化物</w:t>
                  </w:r>
                </w:p>
              </w:tc>
              <w:tc>
                <w:tcPr>
                  <w:tcW w:w="506" w:type="pct"/>
                  <w:tcMar>
                    <w:left w:w="0" w:type="dxa"/>
                    <w:right w:w="0" w:type="dxa"/>
                  </w:tcMar>
                  <w:vAlign w:val="center"/>
                </w:tcPr>
                <w:p w14:paraId="2CFF2F94">
                  <w:pPr>
                    <w:snapToGrid w:val="0"/>
                    <w:jc w:val="center"/>
                    <w:rPr>
                      <w:szCs w:val="21"/>
                    </w:rPr>
                  </w:pPr>
                  <w:r>
                    <w:rPr>
                      <w:szCs w:val="21"/>
                    </w:rPr>
                    <w:t>0.0002</w:t>
                  </w:r>
                </w:p>
              </w:tc>
              <w:tc>
                <w:tcPr>
                  <w:tcW w:w="564" w:type="pct"/>
                  <w:tcMar>
                    <w:left w:w="0" w:type="dxa"/>
                    <w:right w:w="0" w:type="dxa"/>
                  </w:tcMar>
                  <w:vAlign w:val="center"/>
                </w:tcPr>
                <w:p w14:paraId="3946B215">
                  <w:pPr>
                    <w:snapToGrid w:val="0"/>
                    <w:jc w:val="center"/>
                    <w:rPr>
                      <w:szCs w:val="21"/>
                    </w:rPr>
                  </w:pPr>
                  <w:r>
                    <w:rPr>
                      <w:szCs w:val="21"/>
                    </w:rPr>
                    <w:t>0.00001</w:t>
                  </w:r>
                </w:p>
              </w:tc>
              <w:tc>
                <w:tcPr>
                  <w:tcW w:w="573" w:type="pct"/>
                  <w:tcMar>
                    <w:left w:w="0" w:type="dxa"/>
                    <w:right w:w="0" w:type="dxa"/>
                  </w:tcMar>
                  <w:vAlign w:val="center"/>
                </w:tcPr>
                <w:p w14:paraId="079C8AE6">
                  <w:pPr>
                    <w:widowControl/>
                    <w:snapToGrid w:val="0"/>
                    <w:jc w:val="center"/>
                    <w:rPr>
                      <w:bCs/>
                      <w:szCs w:val="21"/>
                    </w:rPr>
                  </w:pPr>
                  <w:r>
                    <w:rPr>
                      <w:kern w:val="0"/>
                      <w:szCs w:val="21"/>
                    </w:rPr>
                    <w:t>3</w:t>
                  </w:r>
                </w:p>
              </w:tc>
              <w:tc>
                <w:tcPr>
                  <w:tcW w:w="548" w:type="pct"/>
                  <w:tcMar>
                    <w:left w:w="0" w:type="dxa"/>
                    <w:right w:w="0" w:type="dxa"/>
                  </w:tcMar>
                  <w:vAlign w:val="center"/>
                </w:tcPr>
                <w:p w14:paraId="5A09ACDD">
                  <w:pPr>
                    <w:pStyle w:val="55"/>
                    <w:snapToGrid w:val="0"/>
                    <w:ind w:right="0" w:rightChars="0"/>
                    <w:rPr>
                      <w:bCs/>
                      <w:szCs w:val="21"/>
                    </w:rPr>
                  </w:pPr>
                  <w:r>
                    <w:rPr>
                      <w:rFonts w:ascii="Times New Roman" w:hAnsi="Times New Roman"/>
                      <w:sz w:val="21"/>
                      <w:szCs w:val="21"/>
                    </w:rPr>
                    <w:t>0.072</w:t>
                  </w:r>
                </w:p>
              </w:tc>
              <w:tc>
                <w:tcPr>
                  <w:tcW w:w="908" w:type="pct"/>
                  <w:vMerge w:val="continue"/>
                  <w:vAlign w:val="center"/>
                </w:tcPr>
                <w:p w14:paraId="48E0A849">
                  <w:pPr>
                    <w:jc w:val="center"/>
                    <w:textAlignment w:val="bottom"/>
                    <w:rPr>
                      <w:szCs w:val="21"/>
                    </w:rPr>
                  </w:pPr>
                </w:p>
              </w:tc>
              <w:tc>
                <w:tcPr>
                  <w:tcW w:w="357" w:type="pct"/>
                  <w:tcMar>
                    <w:left w:w="0" w:type="dxa"/>
                    <w:right w:w="0" w:type="dxa"/>
                  </w:tcMar>
                  <w:vAlign w:val="center"/>
                </w:tcPr>
                <w:p w14:paraId="278400AE">
                  <w:pPr>
                    <w:jc w:val="center"/>
                    <w:textAlignment w:val="bottom"/>
                    <w:rPr>
                      <w:szCs w:val="21"/>
                    </w:rPr>
                  </w:pPr>
                  <w:r>
                    <w:rPr>
                      <w:szCs w:val="21"/>
                    </w:rPr>
                    <w:t>达标</w:t>
                  </w:r>
                </w:p>
              </w:tc>
            </w:tr>
            <w:tr w14:paraId="71A9D6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Mar>
                    <w:left w:w="0" w:type="dxa"/>
                    <w:right w:w="0" w:type="dxa"/>
                  </w:tcMar>
                  <w:vAlign w:val="center"/>
                </w:tcPr>
                <w:p w14:paraId="64BEF0FC">
                  <w:pPr>
                    <w:jc w:val="center"/>
                    <w:textAlignment w:val="bottom"/>
                    <w:rPr>
                      <w:szCs w:val="21"/>
                    </w:rPr>
                  </w:pPr>
                </w:p>
              </w:tc>
              <w:tc>
                <w:tcPr>
                  <w:tcW w:w="342" w:type="pct"/>
                  <w:vMerge w:val="continue"/>
                  <w:tcMar>
                    <w:left w:w="0" w:type="dxa"/>
                    <w:right w:w="0" w:type="dxa"/>
                  </w:tcMar>
                  <w:vAlign w:val="center"/>
                </w:tcPr>
                <w:p w14:paraId="6F402BC4">
                  <w:pPr>
                    <w:jc w:val="center"/>
                    <w:textAlignment w:val="bottom"/>
                    <w:rPr>
                      <w:szCs w:val="21"/>
                    </w:rPr>
                  </w:pPr>
                </w:p>
              </w:tc>
              <w:tc>
                <w:tcPr>
                  <w:tcW w:w="870" w:type="pct"/>
                  <w:tcMar>
                    <w:left w:w="0" w:type="dxa"/>
                    <w:right w:w="0" w:type="dxa"/>
                  </w:tcMar>
                  <w:vAlign w:val="center"/>
                </w:tcPr>
                <w:p w14:paraId="64A957C8">
                  <w:pPr>
                    <w:jc w:val="center"/>
                    <w:rPr>
                      <w:szCs w:val="21"/>
                    </w:rPr>
                  </w:pPr>
                  <w:r>
                    <w:rPr>
                      <w:bCs/>
                      <w:szCs w:val="21"/>
                    </w:rPr>
                    <w:t>硫化氢</w:t>
                  </w:r>
                </w:p>
              </w:tc>
              <w:tc>
                <w:tcPr>
                  <w:tcW w:w="506" w:type="pct"/>
                  <w:tcMar>
                    <w:left w:w="0" w:type="dxa"/>
                    <w:right w:w="0" w:type="dxa"/>
                  </w:tcMar>
                  <w:vAlign w:val="center"/>
                </w:tcPr>
                <w:p w14:paraId="21DE9442">
                  <w:pPr>
                    <w:snapToGrid w:val="0"/>
                    <w:jc w:val="center"/>
                    <w:rPr>
                      <w:spacing w:val="-2"/>
                      <w:kern w:val="28"/>
                      <w:szCs w:val="21"/>
                    </w:rPr>
                  </w:pPr>
                  <w:r>
                    <w:rPr>
                      <w:szCs w:val="21"/>
                    </w:rPr>
                    <w:t>0.032</w:t>
                  </w:r>
                </w:p>
              </w:tc>
              <w:tc>
                <w:tcPr>
                  <w:tcW w:w="564" w:type="pct"/>
                  <w:tcMar>
                    <w:left w:w="0" w:type="dxa"/>
                    <w:right w:w="0" w:type="dxa"/>
                  </w:tcMar>
                  <w:vAlign w:val="center"/>
                </w:tcPr>
                <w:p w14:paraId="709A4ABE">
                  <w:pPr>
                    <w:snapToGrid w:val="0"/>
                    <w:jc w:val="center"/>
                    <w:rPr>
                      <w:spacing w:val="-2"/>
                      <w:kern w:val="28"/>
                      <w:szCs w:val="21"/>
                    </w:rPr>
                  </w:pPr>
                  <w:r>
                    <w:rPr>
                      <w:szCs w:val="21"/>
                    </w:rPr>
                    <w:t>0.002</w:t>
                  </w:r>
                </w:p>
              </w:tc>
              <w:tc>
                <w:tcPr>
                  <w:tcW w:w="573" w:type="pct"/>
                  <w:tcMar>
                    <w:left w:w="0" w:type="dxa"/>
                    <w:right w:w="0" w:type="dxa"/>
                  </w:tcMar>
                  <w:vAlign w:val="center"/>
                </w:tcPr>
                <w:p w14:paraId="0B5BA2E9">
                  <w:pPr>
                    <w:widowControl/>
                    <w:snapToGrid w:val="0"/>
                    <w:jc w:val="center"/>
                    <w:rPr>
                      <w:bCs/>
                      <w:szCs w:val="21"/>
                    </w:rPr>
                  </w:pPr>
                  <w:r>
                    <w:rPr>
                      <w:kern w:val="0"/>
                      <w:szCs w:val="21"/>
                    </w:rPr>
                    <w:t>/</w:t>
                  </w:r>
                </w:p>
              </w:tc>
              <w:tc>
                <w:tcPr>
                  <w:tcW w:w="548" w:type="pct"/>
                  <w:tcMar>
                    <w:left w:w="0" w:type="dxa"/>
                    <w:right w:w="0" w:type="dxa"/>
                  </w:tcMar>
                  <w:vAlign w:val="center"/>
                </w:tcPr>
                <w:p w14:paraId="6F818BEE">
                  <w:pPr>
                    <w:widowControl/>
                    <w:snapToGrid w:val="0"/>
                    <w:jc w:val="center"/>
                    <w:rPr>
                      <w:bCs/>
                      <w:szCs w:val="21"/>
                    </w:rPr>
                  </w:pPr>
                  <w:r>
                    <w:rPr>
                      <w:kern w:val="0"/>
                      <w:szCs w:val="21"/>
                    </w:rPr>
                    <w:t>0</w:t>
                  </w:r>
                  <w:r>
                    <w:rPr>
                      <w:rFonts w:hint="eastAsia"/>
                      <w:kern w:val="0"/>
                      <w:szCs w:val="21"/>
                    </w:rPr>
                    <w:t>3</w:t>
                  </w:r>
                  <w:r>
                    <w:rPr>
                      <w:kern w:val="0"/>
                      <w:szCs w:val="21"/>
                    </w:rPr>
                    <w:t>3</w:t>
                  </w:r>
                </w:p>
              </w:tc>
              <w:tc>
                <w:tcPr>
                  <w:tcW w:w="908" w:type="pct"/>
                  <w:vMerge w:val="continue"/>
                  <w:vAlign w:val="center"/>
                </w:tcPr>
                <w:p w14:paraId="0E3D3B2B">
                  <w:pPr>
                    <w:jc w:val="center"/>
                    <w:textAlignment w:val="bottom"/>
                    <w:rPr>
                      <w:szCs w:val="21"/>
                    </w:rPr>
                  </w:pPr>
                </w:p>
              </w:tc>
              <w:tc>
                <w:tcPr>
                  <w:tcW w:w="357" w:type="pct"/>
                  <w:tcMar>
                    <w:left w:w="0" w:type="dxa"/>
                    <w:right w:w="0" w:type="dxa"/>
                  </w:tcMar>
                  <w:vAlign w:val="center"/>
                </w:tcPr>
                <w:p w14:paraId="006330DA">
                  <w:pPr>
                    <w:jc w:val="center"/>
                    <w:textAlignment w:val="bottom"/>
                    <w:rPr>
                      <w:szCs w:val="21"/>
                    </w:rPr>
                  </w:pPr>
                  <w:r>
                    <w:rPr>
                      <w:szCs w:val="21"/>
                    </w:rPr>
                    <w:t>达标</w:t>
                  </w:r>
                </w:p>
              </w:tc>
            </w:tr>
            <w:tr w14:paraId="5064C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Mar>
                    <w:left w:w="0" w:type="dxa"/>
                    <w:right w:w="0" w:type="dxa"/>
                  </w:tcMar>
                  <w:vAlign w:val="center"/>
                </w:tcPr>
                <w:p w14:paraId="762C0E6F">
                  <w:pPr>
                    <w:jc w:val="center"/>
                    <w:textAlignment w:val="bottom"/>
                    <w:rPr>
                      <w:szCs w:val="21"/>
                    </w:rPr>
                  </w:pPr>
                </w:p>
              </w:tc>
              <w:tc>
                <w:tcPr>
                  <w:tcW w:w="342" w:type="pct"/>
                  <w:vMerge w:val="continue"/>
                  <w:tcMar>
                    <w:left w:w="0" w:type="dxa"/>
                    <w:right w:w="0" w:type="dxa"/>
                  </w:tcMar>
                  <w:vAlign w:val="center"/>
                </w:tcPr>
                <w:p w14:paraId="0DEAE98B">
                  <w:pPr>
                    <w:jc w:val="center"/>
                    <w:textAlignment w:val="bottom"/>
                    <w:rPr>
                      <w:szCs w:val="21"/>
                    </w:rPr>
                  </w:pPr>
                </w:p>
              </w:tc>
              <w:tc>
                <w:tcPr>
                  <w:tcW w:w="870" w:type="pct"/>
                  <w:tcMar>
                    <w:left w:w="0" w:type="dxa"/>
                    <w:right w:w="0" w:type="dxa"/>
                  </w:tcMar>
                  <w:vAlign w:val="center"/>
                </w:tcPr>
                <w:p w14:paraId="3AB9AA4A">
                  <w:pPr>
                    <w:jc w:val="center"/>
                    <w:rPr>
                      <w:szCs w:val="21"/>
                    </w:rPr>
                  </w:pPr>
                  <w:r>
                    <w:rPr>
                      <w:bCs/>
                      <w:szCs w:val="21"/>
                    </w:rPr>
                    <w:t>非甲烷总烃</w:t>
                  </w:r>
                </w:p>
              </w:tc>
              <w:tc>
                <w:tcPr>
                  <w:tcW w:w="506" w:type="pct"/>
                  <w:tcMar>
                    <w:left w:w="0" w:type="dxa"/>
                    <w:right w:w="0" w:type="dxa"/>
                  </w:tcMar>
                  <w:vAlign w:val="center"/>
                </w:tcPr>
                <w:p w14:paraId="224929BD">
                  <w:pPr>
                    <w:snapToGrid w:val="0"/>
                    <w:jc w:val="center"/>
                    <w:rPr>
                      <w:szCs w:val="21"/>
                    </w:rPr>
                  </w:pPr>
                  <w:r>
                    <w:rPr>
                      <w:szCs w:val="21"/>
                    </w:rPr>
                    <w:t>0.12</w:t>
                  </w:r>
                </w:p>
              </w:tc>
              <w:tc>
                <w:tcPr>
                  <w:tcW w:w="564" w:type="pct"/>
                  <w:tcMar>
                    <w:left w:w="0" w:type="dxa"/>
                    <w:right w:w="0" w:type="dxa"/>
                  </w:tcMar>
                  <w:vAlign w:val="center"/>
                </w:tcPr>
                <w:p w14:paraId="0CD0E4D9">
                  <w:pPr>
                    <w:snapToGrid w:val="0"/>
                    <w:jc w:val="center"/>
                    <w:rPr>
                      <w:szCs w:val="21"/>
                    </w:rPr>
                  </w:pPr>
                  <w:r>
                    <w:rPr>
                      <w:szCs w:val="21"/>
                    </w:rPr>
                    <w:t>0.008</w:t>
                  </w:r>
                </w:p>
              </w:tc>
              <w:tc>
                <w:tcPr>
                  <w:tcW w:w="573" w:type="pct"/>
                  <w:tcMar>
                    <w:left w:w="0" w:type="dxa"/>
                    <w:right w:w="0" w:type="dxa"/>
                  </w:tcMar>
                  <w:vAlign w:val="center"/>
                </w:tcPr>
                <w:p w14:paraId="487EC729">
                  <w:pPr>
                    <w:widowControl/>
                    <w:snapToGrid w:val="0"/>
                    <w:jc w:val="center"/>
                    <w:rPr>
                      <w:bCs/>
                      <w:szCs w:val="21"/>
                    </w:rPr>
                  </w:pPr>
                  <w:r>
                    <w:rPr>
                      <w:rFonts w:hint="eastAsia"/>
                      <w:kern w:val="0"/>
                      <w:szCs w:val="21"/>
                    </w:rPr>
                    <w:t>10</w:t>
                  </w:r>
                </w:p>
              </w:tc>
              <w:tc>
                <w:tcPr>
                  <w:tcW w:w="548" w:type="pct"/>
                  <w:tcMar>
                    <w:left w:w="0" w:type="dxa"/>
                    <w:right w:w="0" w:type="dxa"/>
                  </w:tcMar>
                  <w:vAlign w:val="center"/>
                </w:tcPr>
                <w:p w14:paraId="7AE5270A">
                  <w:pPr>
                    <w:widowControl/>
                    <w:snapToGrid w:val="0"/>
                    <w:jc w:val="center"/>
                    <w:rPr>
                      <w:bCs/>
                      <w:szCs w:val="21"/>
                    </w:rPr>
                  </w:pPr>
                  <w:r>
                    <w:rPr>
                      <w:rFonts w:hint="eastAsia"/>
                      <w:kern w:val="0"/>
                      <w:szCs w:val="21"/>
                    </w:rPr>
                    <w:t>/</w:t>
                  </w:r>
                </w:p>
              </w:tc>
              <w:tc>
                <w:tcPr>
                  <w:tcW w:w="908" w:type="pct"/>
                  <w:vMerge w:val="continue"/>
                  <w:vAlign w:val="center"/>
                </w:tcPr>
                <w:p w14:paraId="066D1A86">
                  <w:pPr>
                    <w:jc w:val="center"/>
                    <w:textAlignment w:val="bottom"/>
                    <w:rPr>
                      <w:szCs w:val="21"/>
                    </w:rPr>
                  </w:pPr>
                </w:p>
              </w:tc>
              <w:tc>
                <w:tcPr>
                  <w:tcW w:w="357" w:type="pct"/>
                  <w:tcMar>
                    <w:left w:w="0" w:type="dxa"/>
                    <w:right w:w="0" w:type="dxa"/>
                  </w:tcMar>
                  <w:vAlign w:val="center"/>
                </w:tcPr>
                <w:p w14:paraId="0E4BB583">
                  <w:pPr>
                    <w:jc w:val="center"/>
                    <w:textAlignment w:val="bottom"/>
                    <w:rPr>
                      <w:szCs w:val="21"/>
                    </w:rPr>
                  </w:pPr>
                  <w:r>
                    <w:rPr>
                      <w:szCs w:val="21"/>
                    </w:rPr>
                    <w:t>达标</w:t>
                  </w:r>
                </w:p>
              </w:tc>
            </w:tr>
            <w:tr w14:paraId="6CD75E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restart"/>
                  <w:tcMar>
                    <w:left w:w="0" w:type="dxa"/>
                    <w:right w:w="0" w:type="dxa"/>
                  </w:tcMar>
                  <w:vAlign w:val="center"/>
                </w:tcPr>
                <w:p w14:paraId="762DE989">
                  <w:pPr>
                    <w:jc w:val="center"/>
                    <w:textAlignment w:val="bottom"/>
                    <w:rPr>
                      <w:szCs w:val="21"/>
                    </w:rPr>
                  </w:pPr>
                  <w:r>
                    <w:rPr>
                      <w:rFonts w:hint="eastAsia"/>
                      <w:szCs w:val="21"/>
                    </w:rPr>
                    <w:t>3</w:t>
                  </w:r>
                  <w:r>
                    <w:rPr>
                      <w:szCs w:val="21"/>
                    </w:rPr>
                    <w:t>#排气筒</w:t>
                  </w:r>
                </w:p>
              </w:tc>
              <w:tc>
                <w:tcPr>
                  <w:tcW w:w="342" w:type="pct"/>
                  <w:vMerge w:val="restart"/>
                  <w:tcMar>
                    <w:left w:w="0" w:type="dxa"/>
                    <w:right w:w="0" w:type="dxa"/>
                  </w:tcMar>
                  <w:vAlign w:val="center"/>
                </w:tcPr>
                <w:p w14:paraId="3D999E4C">
                  <w:pPr>
                    <w:jc w:val="center"/>
                    <w:rPr>
                      <w:szCs w:val="21"/>
                    </w:rPr>
                  </w:pPr>
                  <w:r>
                    <w:rPr>
                      <w:rFonts w:hint="eastAsia"/>
                      <w:bCs/>
                      <w:szCs w:val="21"/>
                    </w:rPr>
                    <w:t>63000</w:t>
                  </w:r>
                </w:p>
              </w:tc>
              <w:tc>
                <w:tcPr>
                  <w:tcW w:w="870" w:type="pct"/>
                  <w:tcMar>
                    <w:left w:w="0" w:type="dxa"/>
                    <w:right w:w="0" w:type="dxa"/>
                  </w:tcMar>
                  <w:vAlign w:val="center"/>
                </w:tcPr>
                <w:p w14:paraId="76D38517">
                  <w:pPr>
                    <w:jc w:val="center"/>
                    <w:rPr>
                      <w:szCs w:val="21"/>
                    </w:rPr>
                  </w:pPr>
                  <w:r>
                    <w:rPr>
                      <w:rFonts w:hint="eastAsia"/>
                      <w:bCs/>
                      <w:szCs w:val="21"/>
                    </w:rPr>
                    <w:t>氟化物</w:t>
                  </w:r>
                </w:p>
              </w:tc>
              <w:tc>
                <w:tcPr>
                  <w:tcW w:w="506" w:type="pct"/>
                  <w:tcMar>
                    <w:left w:w="0" w:type="dxa"/>
                    <w:right w:w="0" w:type="dxa"/>
                  </w:tcMar>
                  <w:vAlign w:val="center"/>
                </w:tcPr>
                <w:p w14:paraId="21E1C65B">
                  <w:pPr>
                    <w:snapToGrid w:val="0"/>
                    <w:jc w:val="center"/>
                    <w:rPr>
                      <w:szCs w:val="21"/>
                    </w:rPr>
                  </w:pPr>
                  <w:r>
                    <w:rPr>
                      <w:szCs w:val="21"/>
                    </w:rPr>
                    <w:t>0.0002</w:t>
                  </w:r>
                </w:p>
              </w:tc>
              <w:tc>
                <w:tcPr>
                  <w:tcW w:w="564" w:type="pct"/>
                  <w:tcMar>
                    <w:left w:w="0" w:type="dxa"/>
                    <w:right w:w="0" w:type="dxa"/>
                  </w:tcMar>
                  <w:vAlign w:val="center"/>
                </w:tcPr>
                <w:p w14:paraId="6391C2C6">
                  <w:pPr>
                    <w:snapToGrid w:val="0"/>
                    <w:jc w:val="center"/>
                    <w:rPr>
                      <w:szCs w:val="21"/>
                    </w:rPr>
                  </w:pPr>
                  <w:r>
                    <w:rPr>
                      <w:szCs w:val="21"/>
                    </w:rPr>
                    <w:t>0.00001</w:t>
                  </w:r>
                </w:p>
              </w:tc>
              <w:tc>
                <w:tcPr>
                  <w:tcW w:w="573" w:type="pct"/>
                  <w:tcMar>
                    <w:left w:w="0" w:type="dxa"/>
                    <w:right w:w="0" w:type="dxa"/>
                  </w:tcMar>
                  <w:vAlign w:val="center"/>
                </w:tcPr>
                <w:p w14:paraId="70742585">
                  <w:pPr>
                    <w:widowControl/>
                    <w:snapToGrid w:val="0"/>
                    <w:jc w:val="center"/>
                    <w:rPr>
                      <w:bCs/>
                      <w:szCs w:val="21"/>
                    </w:rPr>
                  </w:pPr>
                  <w:r>
                    <w:rPr>
                      <w:kern w:val="0"/>
                      <w:szCs w:val="21"/>
                    </w:rPr>
                    <w:t>3</w:t>
                  </w:r>
                </w:p>
              </w:tc>
              <w:tc>
                <w:tcPr>
                  <w:tcW w:w="548" w:type="pct"/>
                  <w:tcMar>
                    <w:left w:w="0" w:type="dxa"/>
                    <w:right w:w="0" w:type="dxa"/>
                  </w:tcMar>
                  <w:vAlign w:val="center"/>
                </w:tcPr>
                <w:p w14:paraId="40F6959F">
                  <w:pPr>
                    <w:pStyle w:val="55"/>
                    <w:snapToGrid w:val="0"/>
                    <w:ind w:right="0" w:rightChars="0"/>
                    <w:rPr>
                      <w:bCs/>
                      <w:szCs w:val="21"/>
                    </w:rPr>
                  </w:pPr>
                  <w:r>
                    <w:rPr>
                      <w:rFonts w:ascii="Times New Roman" w:hAnsi="Times New Roman"/>
                      <w:sz w:val="21"/>
                      <w:szCs w:val="21"/>
                    </w:rPr>
                    <w:t>0.072</w:t>
                  </w:r>
                </w:p>
              </w:tc>
              <w:tc>
                <w:tcPr>
                  <w:tcW w:w="908" w:type="pct"/>
                  <w:vMerge w:val="continue"/>
                  <w:vAlign w:val="center"/>
                </w:tcPr>
                <w:p w14:paraId="0A58988B">
                  <w:pPr>
                    <w:jc w:val="center"/>
                    <w:textAlignment w:val="bottom"/>
                    <w:rPr>
                      <w:szCs w:val="21"/>
                    </w:rPr>
                  </w:pPr>
                </w:p>
              </w:tc>
              <w:tc>
                <w:tcPr>
                  <w:tcW w:w="357" w:type="pct"/>
                  <w:tcMar>
                    <w:left w:w="0" w:type="dxa"/>
                    <w:right w:w="0" w:type="dxa"/>
                  </w:tcMar>
                  <w:vAlign w:val="center"/>
                </w:tcPr>
                <w:p w14:paraId="43947EEC">
                  <w:pPr>
                    <w:jc w:val="center"/>
                    <w:textAlignment w:val="bottom"/>
                    <w:rPr>
                      <w:szCs w:val="21"/>
                    </w:rPr>
                  </w:pPr>
                  <w:r>
                    <w:rPr>
                      <w:szCs w:val="21"/>
                    </w:rPr>
                    <w:t>达标</w:t>
                  </w:r>
                </w:p>
              </w:tc>
            </w:tr>
            <w:tr w14:paraId="183AF1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Mar>
                    <w:left w:w="0" w:type="dxa"/>
                    <w:right w:w="0" w:type="dxa"/>
                  </w:tcMar>
                  <w:vAlign w:val="center"/>
                </w:tcPr>
                <w:p w14:paraId="034ABC3F">
                  <w:pPr>
                    <w:jc w:val="center"/>
                    <w:textAlignment w:val="bottom"/>
                    <w:rPr>
                      <w:szCs w:val="21"/>
                    </w:rPr>
                  </w:pPr>
                </w:p>
              </w:tc>
              <w:tc>
                <w:tcPr>
                  <w:tcW w:w="342" w:type="pct"/>
                  <w:vMerge w:val="continue"/>
                  <w:tcMar>
                    <w:left w:w="0" w:type="dxa"/>
                    <w:right w:w="0" w:type="dxa"/>
                  </w:tcMar>
                  <w:vAlign w:val="center"/>
                </w:tcPr>
                <w:p w14:paraId="560D0ED1">
                  <w:pPr>
                    <w:jc w:val="center"/>
                    <w:textAlignment w:val="bottom"/>
                    <w:rPr>
                      <w:szCs w:val="21"/>
                    </w:rPr>
                  </w:pPr>
                </w:p>
              </w:tc>
              <w:tc>
                <w:tcPr>
                  <w:tcW w:w="870" w:type="pct"/>
                  <w:tcMar>
                    <w:left w:w="0" w:type="dxa"/>
                    <w:right w:w="0" w:type="dxa"/>
                  </w:tcMar>
                  <w:vAlign w:val="center"/>
                </w:tcPr>
                <w:p w14:paraId="120AE74B">
                  <w:pPr>
                    <w:jc w:val="center"/>
                    <w:rPr>
                      <w:szCs w:val="21"/>
                    </w:rPr>
                  </w:pPr>
                  <w:r>
                    <w:rPr>
                      <w:bCs/>
                      <w:szCs w:val="21"/>
                    </w:rPr>
                    <w:t>硫化氢</w:t>
                  </w:r>
                </w:p>
              </w:tc>
              <w:tc>
                <w:tcPr>
                  <w:tcW w:w="506" w:type="pct"/>
                  <w:tcMar>
                    <w:left w:w="0" w:type="dxa"/>
                    <w:right w:w="0" w:type="dxa"/>
                  </w:tcMar>
                  <w:vAlign w:val="center"/>
                </w:tcPr>
                <w:p w14:paraId="6FD79D56">
                  <w:pPr>
                    <w:snapToGrid w:val="0"/>
                    <w:jc w:val="center"/>
                    <w:rPr>
                      <w:szCs w:val="21"/>
                    </w:rPr>
                  </w:pPr>
                  <w:r>
                    <w:rPr>
                      <w:szCs w:val="21"/>
                    </w:rPr>
                    <w:t>0.032</w:t>
                  </w:r>
                </w:p>
              </w:tc>
              <w:tc>
                <w:tcPr>
                  <w:tcW w:w="564" w:type="pct"/>
                  <w:tcMar>
                    <w:left w:w="0" w:type="dxa"/>
                    <w:right w:w="0" w:type="dxa"/>
                  </w:tcMar>
                  <w:vAlign w:val="center"/>
                </w:tcPr>
                <w:p w14:paraId="4AC87DEB">
                  <w:pPr>
                    <w:snapToGrid w:val="0"/>
                    <w:jc w:val="center"/>
                    <w:rPr>
                      <w:szCs w:val="21"/>
                    </w:rPr>
                  </w:pPr>
                  <w:r>
                    <w:rPr>
                      <w:szCs w:val="21"/>
                    </w:rPr>
                    <w:t>0.002</w:t>
                  </w:r>
                </w:p>
              </w:tc>
              <w:tc>
                <w:tcPr>
                  <w:tcW w:w="573" w:type="pct"/>
                  <w:tcMar>
                    <w:left w:w="0" w:type="dxa"/>
                    <w:right w:w="0" w:type="dxa"/>
                  </w:tcMar>
                  <w:vAlign w:val="center"/>
                </w:tcPr>
                <w:p w14:paraId="6A45C9A0">
                  <w:pPr>
                    <w:widowControl/>
                    <w:snapToGrid w:val="0"/>
                    <w:jc w:val="center"/>
                    <w:rPr>
                      <w:bCs/>
                      <w:szCs w:val="21"/>
                    </w:rPr>
                  </w:pPr>
                  <w:r>
                    <w:rPr>
                      <w:kern w:val="0"/>
                      <w:szCs w:val="21"/>
                    </w:rPr>
                    <w:t>/</w:t>
                  </w:r>
                </w:p>
              </w:tc>
              <w:tc>
                <w:tcPr>
                  <w:tcW w:w="548" w:type="pct"/>
                  <w:tcMar>
                    <w:left w:w="0" w:type="dxa"/>
                    <w:right w:w="0" w:type="dxa"/>
                  </w:tcMar>
                  <w:vAlign w:val="center"/>
                </w:tcPr>
                <w:p w14:paraId="4D4274E1">
                  <w:pPr>
                    <w:widowControl/>
                    <w:snapToGrid w:val="0"/>
                    <w:jc w:val="center"/>
                    <w:rPr>
                      <w:bCs/>
                      <w:szCs w:val="21"/>
                    </w:rPr>
                  </w:pPr>
                  <w:r>
                    <w:rPr>
                      <w:kern w:val="0"/>
                      <w:szCs w:val="21"/>
                    </w:rPr>
                    <w:t>0</w:t>
                  </w:r>
                  <w:r>
                    <w:rPr>
                      <w:rFonts w:hint="eastAsia"/>
                      <w:kern w:val="0"/>
                      <w:szCs w:val="21"/>
                    </w:rPr>
                    <w:t>3</w:t>
                  </w:r>
                  <w:r>
                    <w:rPr>
                      <w:kern w:val="0"/>
                      <w:szCs w:val="21"/>
                    </w:rPr>
                    <w:t>3</w:t>
                  </w:r>
                </w:p>
              </w:tc>
              <w:tc>
                <w:tcPr>
                  <w:tcW w:w="908" w:type="pct"/>
                  <w:vMerge w:val="continue"/>
                  <w:vAlign w:val="center"/>
                </w:tcPr>
                <w:p w14:paraId="7685CB04">
                  <w:pPr>
                    <w:jc w:val="center"/>
                    <w:textAlignment w:val="bottom"/>
                    <w:rPr>
                      <w:szCs w:val="21"/>
                    </w:rPr>
                  </w:pPr>
                </w:p>
              </w:tc>
              <w:tc>
                <w:tcPr>
                  <w:tcW w:w="357" w:type="pct"/>
                  <w:tcMar>
                    <w:left w:w="0" w:type="dxa"/>
                    <w:right w:w="0" w:type="dxa"/>
                  </w:tcMar>
                  <w:vAlign w:val="center"/>
                </w:tcPr>
                <w:p w14:paraId="0ACC6C18">
                  <w:pPr>
                    <w:jc w:val="center"/>
                    <w:textAlignment w:val="bottom"/>
                    <w:rPr>
                      <w:szCs w:val="21"/>
                    </w:rPr>
                  </w:pPr>
                  <w:r>
                    <w:rPr>
                      <w:szCs w:val="21"/>
                    </w:rPr>
                    <w:t>达标</w:t>
                  </w:r>
                </w:p>
              </w:tc>
            </w:tr>
            <w:tr w14:paraId="666A85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vMerge w:val="continue"/>
                  <w:tcMar>
                    <w:left w:w="0" w:type="dxa"/>
                    <w:right w:w="0" w:type="dxa"/>
                  </w:tcMar>
                  <w:vAlign w:val="center"/>
                </w:tcPr>
                <w:p w14:paraId="6E104657">
                  <w:pPr>
                    <w:jc w:val="center"/>
                    <w:textAlignment w:val="bottom"/>
                    <w:rPr>
                      <w:szCs w:val="21"/>
                    </w:rPr>
                  </w:pPr>
                </w:p>
              </w:tc>
              <w:tc>
                <w:tcPr>
                  <w:tcW w:w="342" w:type="pct"/>
                  <w:vMerge w:val="continue"/>
                  <w:tcMar>
                    <w:left w:w="0" w:type="dxa"/>
                    <w:right w:w="0" w:type="dxa"/>
                  </w:tcMar>
                  <w:vAlign w:val="center"/>
                </w:tcPr>
                <w:p w14:paraId="0AF9ED41">
                  <w:pPr>
                    <w:jc w:val="center"/>
                    <w:textAlignment w:val="bottom"/>
                    <w:rPr>
                      <w:szCs w:val="21"/>
                    </w:rPr>
                  </w:pPr>
                </w:p>
              </w:tc>
              <w:tc>
                <w:tcPr>
                  <w:tcW w:w="870" w:type="pct"/>
                  <w:tcMar>
                    <w:left w:w="0" w:type="dxa"/>
                    <w:right w:w="0" w:type="dxa"/>
                  </w:tcMar>
                  <w:vAlign w:val="center"/>
                </w:tcPr>
                <w:p w14:paraId="2FDFCB74">
                  <w:pPr>
                    <w:jc w:val="center"/>
                    <w:rPr>
                      <w:szCs w:val="21"/>
                    </w:rPr>
                  </w:pPr>
                  <w:r>
                    <w:rPr>
                      <w:bCs/>
                      <w:szCs w:val="21"/>
                    </w:rPr>
                    <w:t>非甲烷总烃</w:t>
                  </w:r>
                </w:p>
              </w:tc>
              <w:tc>
                <w:tcPr>
                  <w:tcW w:w="506" w:type="pct"/>
                  <w:tcMar>
                    <w:left w:w="0" w:type="dxa"/>
                    <w:right w:w="0" w:type="dxa"/>
                  </w:tcMar>
                  <w:vAlign w:val="center"/>
                </w:tcPr>
                <w:p w14:paraId="03DA73B7">
                  <w:pPr>
                    <w:snapToGrid w:val="0"/>
                    <w:jc w:val="center"/>
                    <w:rPr>
                      <w:szCs w:val="21"/>
                    </w:rPr>
                  </w:pPr>
                  <w:r>
                    <w:rPr>
                      <w:szCs w:val="21"/>
                    </w:rPr>
                    <w:t>0.12</w:t>
                  </w:r>
                </w:p>
              </w:tc>
              <w:tc>
                <w:tcPr>
                  <w:tcW w:w="564" w:type="pct"/>
                  <w:tcMar>
                    <w:left w:w="0" w:type="dxa"/>
                    <w:right w:w="0" w:type="dxa"/>
                  </w:tcMar>
                  <w:vAlign w:val="center"/>
                </w:tcPr>
                <w:p w14:paraId="384815D8">
                  <w:pPr>
                    <w:snapToGrid w:val="0"/>
                    <w:jc w:val="center"/>
                    <w:rPr>
                      <w:szCs w:val="21"/>
                    </w:rPr>
                  </w:pPr>
                  <w:r>
                    <w:rPr>
                      <w:szCs w:val="21"/>
                    </w:rPr>
                    <w:t>0.008</w:t>
                  </w:r>
                </w:p>
              </w:tc>
              <w:tc>
                <w:tcPr>
                  <w:tcW w:w="573" w:type="pct"/>
                  <w:tcMar>
                    <w:left w:w="0" w:type="dxa"/>
                    <w:right w:w="0" w:type="dxa"/>
                  </w:tcMar>
                  <w:vAlign w:val="center"/>
                </w:tcPr>
                <w:p w14:paraId="22E767F4">
                  <w:pPr>
                    <w:widowControl/>
                    <w:snapToGrid w:val="0"/>
                    <w:jc w:val="center"/>
                    <w:rPr>
                      <w:bCs/>
                      <w:szCs w:val="21"/>
                    </w:rPr>
                  </w:pPr>
                  <w:r>
                    <w:rPr>
                      <w:rFonts w:hint="eastAsia"/>
                      <w:kern w:val="0"/>
                      <w:szCs w:val="21"/>
                    </w:rPr>
                    <w:t>10</w:t>
                  </w:r>
                </w:p>
              </w:tc>
              <w:tc>
                <w:tcPr>
                  <w:tcW w:w="548" w:type="pct"/>
                  <w:tcMar>
                    <w:left w:w="0" w:type="dxa"/>
                    <w:right w:w="0" w:type="dxa"/>
                  </w:tcMar>
                  <w:vAlign w:val="center"/>
                </w:tcPr>
                <w:p w14:paraId="3E097284">
                  <w:pPr>
                    <w:widowControl/>
                    <w:snapToGrid w:val="0"/>
                    <w:jc w:val="center"/>
                    <w:rPr>
                      <w:bCs/>
                      <w:szCs w:val="21"/>
                    </w:rPr>
                  </w:pPr>
                  <w:r>
                    <w:rPr>
                      <w:rFonts w:hint="eastAsia"/>
                      <w:kern w:val="0"/>
                      <w:szCs w:val="21"/>
                    </w:rPr>
                    <w:t>/</w:t>
                  </w:r>
                </w:p>
              </w:tc>
              <w:tc>
                <w:tcPr>
                  <w:tcW w:w="908" w:type="pct"/>
                  <w:vMerge w:val="continue"/>
                  <w:vAlign w:val="center"/>
                </w:tcPr>
                <w:p w14:paraId="1B9982E6">
                  <w:pPr>
                    <w:jc w:val="center"/>
                    <w:textAlignment w:val="bottom"/>
                    <w:rPr>
                      <w:szCs w:val="21"/>
                    </w:rPr>
                  </w:pPr>
                </w:p>
              </w:tc>
              <w:tc>
                <w:tcPr>
                  <w:tcW w:w="357" w:type="pct"/>
                  <w:tcMar>
                    <w:left w:w="0" w:type="dxa"/>
                    <w:right w:w="0" w:type="dxa"/>
                  </w:tcMar>
                  <w:vAlign w:val="center"/>
                </w:tcPr>
                <w:p w14:paraId="32F4B638">
                  <w:pPr>
                    <w:jc w:val="center"/>
                    <w:textAlignment w:val="bottom"/>
                    <w:rPr>
                      <w:szCs w:val="21"/>
                    </w:rPr>
                  </w:pPr>
                  <w:r>
                    <w:rPr>
                      <w:szCs w:val="21"/>
                    </w:rPr>
                    <w:t>达标</w:t>
                  </w:r>
                </w:p>
              </w:tc>
            </w:tr>
            <w:tr w14:paraId="3546B3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tcMar>
                    <w:left w:w="0" w:type="dxa"/>
                    <w:right w:w="0" w:type="dxa"/>
                  </w:tcMar>
                  <w:vAlign w:val="center"/>
                </w:tcPr>
                <w:p w14:paraId="106E1B32">
                  <w:pPr>
                    <w:jc w:val="center"/>
                    <w:textAlignment w:val="bottom"/>
                    <w:rPr>
                      <w:szCs w:val="21"/>
                    </w:rPr>
                  </w:pPr>
                  <w:r>
                    <w:rPr>
                      <w:rFonts w:hint="eastAsia"/>
                      <w:szCs w:val="21"/>
                    </w:rPr>
                    <w:t>5#排气筒</w:t>
                  </w:r>
                </w:p>
              </w:tc>
              <w:tc>
                <w:tcPr>
                  <w:tcW w:w="342" w:type="pct"/>
                  <w:tcMar>
                    <w:left w:w="0" w:type="dxa"/>
                    <w:right w:w="0" w:type="dxa"/>
                  </w:tcMar>
                  <w:vAlign w:val="center"/>
                </w:tcPr>
                <w:p w14:paraId="06D83F85">
                  <w:pPr>
                    <w:jc w:val="center"/>
                    <w:rPr>
                      <w:szCs w:val="21"/>
                    </w:rPr>
                  </w:pPr>
                  <w:r>
                    <w:rPr>
                      <w:rFonts w:hint="eastAsia"/>
                      <w:bCs/>
                      <w:szCs w:val="21"/>
                    </w:rPr>
                    <w:t>13500</w:t>
                  </w:r>
                </w:p>
              </w:tc>
              <w:tc>
                <w:tcPr>
                  <w:tcW w:w="870" w:type="pct"/>
                  <w:tcMar>
                    <w:left w:w="0" w:type="dxa"/>
                    <w:right w:w="0" w:type="dxa"/>
                  </w:tcMar>
                  <w:vAlign w:val="center"/>
                </w:tcPr>
                <w:p w14:paraId="32CFC47E">
                  <w:pPr>
                    <w:jc w:val="center"/>
                    <w:rPr>
                      <w:szCs w:val="21"/>
                    </w:rPr>
                  </w:pPr>
                  <w:r>
                    <w:rPr>
                      <w:rFonts w:hint="eastAsia"/>
                      <w:bCs/>
                      <w:szCs w:val="21"/>
                    </w:rPr>
                    <w:t>粉尘</w:t>
                  </w:r>
                </w:p>
              </w:tc>
              <w:tc>
                <w:tcPr>
                  <w:tcW w:w="506" w:type="pct"/>
                  <w:tcMar>
                    <w:left w:w="0" w:type="dxa"/>
                    <w:right w:w="0" w:type="dxa"/>
                  </w:tcMar>
                  <w:vAlign w:val="center"/>
                </w:tcPr>
                <w:p w14:paraId="1D48A329">
                  <w:pPr>
                    <w:widowControl/>
                    <w:jc w:val="center"/>
                    <w:textAlignment w:val="center"/>
                    <w:rPr>
                      <w:spacing w:val="-2"/>
                      <w:kern w:val="28"/>
                      <w:szCs w:val="21"/>
                    </w:rPr>
                  </w:pPr>
                  <w:r>
                    <w:rPr>
                      <w:kern w:val="0"/>
                      <w:szCs w:val="21"/>
                    </w:rPr>
                    <w:t>0.54</w:t>
                  </w:r>
                </w:p>
              </w:tc>
              <w:tc>
                <w:tcPr>
                  <w:tcW w:w="564" w:type="pct"/>
                  <w:tcMar>
                    <w:left w:w="0" w:type="dxa"/>
                    <w:right w:w="0" w:type="dxa"/>
                  </w:tcMar>
                  <w:vAlign w:val="center"/>
                </w:tcPr>
                <w:p w14:paraId="3690C258">
                  <w:pPr>
                    <w:widowControl/>
                    <w:jc w:val="center"/>
                    <w:textAlignment w:val="center"/>
                    <w:rPr>
                      <w:spacing w:val="-2"/>
                      <w:kern w:val="28"/>
                      <w:szCs w:val="21"/>
                    </w:rPr>
                  </w:pPr>
                  <w:r>
                    <w:rPr>
                      <w:kern w:val="0"/>
                      <w:szCs w:val="21"/>
                    </w:rPr>
                    <w:t>0.007</w:t>
                  </w:r>
                </w:p>
              </w:tc>
              <w:tc>
                <w:tcPr>
                  <w:tcW w:w="573" w:type="pct"/>
                  <w:tcMar>
                    <w:left w:w="0" w:type="dxa"/>
                    <w:right w:w="0" w:type="dxa"/>
                  </w:tcMar>
                  <w:vAlign w:val="center"/>
                </w:tcPr>
                <w:p w14:paraId="2BCC4218">
                  <w:pPr>
                    <w:widowControl/>
                    <w:snapToGrid w:val="0"/>
                    <w:jc w:val="center"/>
                    <w:rPr>
                      <w:bCs/>
                      <w:szCs w:val="21"/>
                    </w:rPr>
                  </w:pPr>
                  <w:r>
                    <w:rPr>
                      <w:rFonts w:hint="eastAsia"/>
                      <w:kern w:val="0"/>
                      <w:szCs w:val="21"/>
                    </w:rPr>
                    <w:t>20</w:t>
                  </w:r>
                </w:p>
              </w:tc>
              <w:tc>
                <w:tcPr>
                  <w:tcW w:w="548" w:type="pct"/>
                  <w:tcMar>
                    <w:left w:w="0" w:type="dxa"/>
                    <w:right w:w="0" w:type="dxa"/>
                  </w:tcMar>
                  <w:vAlign w:val="center"/>
                </w:tcPr>
                <w:p w14:paraId="32000CFC">
                  <w:pPr>
                    <w:pStyle w:val="55"/>
                    <w:snapToGrid w:val="0"/>
                    <w:ind w:right="0" w:rightChars="0"/>
                    <w:rPr>
                      <w:bCs/>
                      <w:szCs w:val="21"/>
                    </w:rPr>
                  </w:pPr>
                  <w:r>
                    <w:rPr>
                      <w:rFonts w:hint="eastAsia" w:ascii="Times New Roman" w:hAnsi="Times New Roman"/>
                      <w:sz w:val="21"/>
                      <w:szCs w:val="21"/>
                    </w:rPr>
                    <w:t>1</w:t>
                  </w:r>
                </w:p>
              </w:tc>
              <w:tc>
                <w:tcPr>
                  <w:tcW w:w="908" w:type="pct"/>
                  <w:vMerge w:val="continue"/>
                  <w:vAlign w:val="center"/>
                </w:tcPr>
                <w:p w14:paraId="0DA030E2">
                  <w:pPr>
                    <w:jc w:val="center"/>
                    <w:textAlignment w:val="bottom"/>
                    <w:rPr>
                      <w:szCs w:val="21"/>
                    </w:rPr>
                  </w:pPr>
                </w:p>
              </w:tc>
              <w:tc>
                <w:tcPr>
                  <w:tcW w:w="357" w:type="pct"/>
                  <w:tcMar>
                    <w:left w:w="0" w:type="dxa"/>
                    <w:right w:w="0" w:type="dxa"/>
                  </w:tcMar>
                  <w:vAlign w:val="center"/>
                </w:tcPr>
                <w:p w14:paraId="6C1D473F">
                  <w:pPr>
                    <w:jc w:val="center"/>
                    <w:textAlignment w:val="bottom"/>
                    <w:rPr>
                      <w:szCs w:val="21"/>
                    </w:rPr>
                  </w:pPr>
                  <w:r>
                    <w:rPr>
                      <w:szCs w:val="21"/>
                    </w:rPr>
                    <w:t>达标</w:t>
                  </w:r>
                </w:p>
              </w:tc>
            </w:tr>
            <w:tr w14:paraId="0A2F0A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 w:type="pct"/>
                  <w:tcMar>
                    <w:left w:w="0" w:type="dxa"/>
                    <w:right w:w="0" w:type="dxa"/>
                  </w:tcMar>
                  <w:vAlign w:val="center"/>
                </w:tcPr>
                <w:p w14:paraId="7A689193">
                  <w:pPr>
                    <w:jc w:val="center"/>
                    <w:textAlignment w:val="bottom"/>
                    <w:rPr>
                      <w:szCs w:val="21"/>
                    </w:rPr>
                  </w:pPr>
                  <w:r>
                    <w:rPr>
                      <w:szCs w:val="21"/>
                    </w:rPr>
                    <w:t>6#排气筒</w:t>
                  </w:r>
                </w:p>
              </w:tc>
              <w:tc>
                <w:tcPr>
                  <w:tcW w:w="342" w:type="pct"/>
                  <w:tcMar>
                    <w:left w:w="0" w:type="dxa"/>
                    <w:right w:w="0" w:type="dxa"/>
                  </w:tcMar>
                  <w:vAlign w:val="center"/>
                </w:tcPr>
                <w:p w14:paraId="079A5191">
                  <w:pPr>
                    <w:jc w:val="center"/>
                    <w:rPr>
                      <w:szCs w:val="21"/>
                    </w:rPr>
                  </w:pPr>
                  <w:r>
                    <w:rPr>
                      <w:rFonts w:hint="eastAsia"/>
                      <w:bCs/>
                      <w:szCs w:val="21"/>
                    </w:rPr>
                    <w:t>5</w:t>
                  </w:r>
                  <w:r>
                    <w:rPr>
                      <w:bCs/>
                      <w:szCs w:val="21"/>
                    </w:rPr>
                    <w:t>0000</w:t>
                  </w:r>
                </w:p>
              </w:tc>
              <w:tc>
                <w:tcPr>
                  <w:tcW w:w="870" w:type="pct"/>
                  <w:tcMar>
                    <w:left w:w="0" w:type="dxa"/>
                    <w:right w:w="0" w:type="dxa"/>
                  </w:tcMar>
                  <w:vAlign w:val="center"/>
                </w:tcPr>
                <w:p w14:paraId="7B7D3C70">
                  <w:pPr>
                    <w:widowControl/>
                    <w:jc w:val="center"/>
                    <w:textAlignment w:val="center"/>
                    <w:rPr>
                      <w:szCs w:val="21"/>
                    </w:rPr>
                  </w:pPr>
                  <w:r>
                    <w:rPr>
                      <w:rFonts w:hint="eastAsia" w:ascii="宋体" w:hAnsi="宋体" w:cs="宋体"/>
                      <w:kern w:val="0"/>
                      <w:szCs w:val="21"/>
                    </w:rPr>
                    <w:t>非甲烷总烃</w:t>
                  </w:r>
                </w:p>
              </w:tc>
              <w:tc>
                <w:tcPr>
                  <w:tcW w:w="506" w:type="pct"/>
                  <w:tcMar>
                    <w:left w:w="0" w:type="dxa"/>
                    <w:right w:w="0" w:type="dxa"/>
                  </w:tcMar>
                  <w:vAlign w:val="center"/>
                </w:tcPr>
                <w:p w14:paraId="09996051">
                  <w:pPr>
                    <w:jc w:val="center"/>
                    <w:rPr>
                      <w:szCs w:val="21"/>
                    </w:rPr>
                  </w:pPr>
                  <w:r>
                    <w:rPr>
                      <w:szCs w:val="21"/>
                    </w:rPr>
                    <w:t>0.001</w:t>
                  </w:r>
                </w:p>
              </w:tc>
              <w:tc>
                <w:tcPr>
                  <w:tcW w:w="564" w:type="pct"/>
                  <w:tcMar>
                    <w:left w:w="0" w:type="dxa"/>
                    <w:right w:w="0" w:type="dxa"/>
                  </w:tcMar>
                  <w:vAlign w:val="center"/>
                </w:tcPr>
                <w:p w14:paraId="7729D4E5">
                  <w:pPr>
                    <w:jc w:val="center"/>
                    <w:rPr>
                      <w:szCs w:val="21"/>
                    </w:rPr>
                  </w:pPr>
                  <w:r>
                    <w:rPr>
                      <w:szCs w:val="21"/>
                    </w:rPr>
                    <w:t>0.00004</w:t>
                  </w:r>
                </w:p>
              </w:tc>
              <w:tc>
                <w:tcPr>
                  <w:tcW w:w="573" w:type="pct"/>
                  <w:tcMar>
                    <w:left w:w="0" w:type="dxa"/>
                    <w:right w:w="0" w:type="dxa"/>
                  </w:tcMar>
                  <w:vAlign w:val="center"/>
                </w:tcPr>
                <w:p w14:paraId="73A52556">
                  <w:pPr>
                    <w:widowControl/>
                    <w:snapToGrid w:val="0"/>
                    <w:jc w:val="center"/>
                    <w:rPr>
                      <w:bCs/>
                      <w:szCs w:val="21"/>
                    </w:rPr>
                  </w:pPr>
                  <w:r>
                    <w:rPr>
                      <w:rFonts w:hint="eastAsia"/>
                      <w:kern w:val="0"/>
                      <w:szCs w:val="21"/>
                    </w:rPr>
                    <w:t>10</w:t>
                  </w:r>
                </w:p>
              </w:tc>
              <w:tc>
                <w:tcPr>
                  <w:tcW w:w="548" w:type="pct"/>
                  <w:tcMar>
                    <w:left w:w="0" w:type="dxa"/>
                    <w:right w:w="0" w:type="dxa"/>
                  </w:tcMar>
                  <w:vAlign w:val="center"/>
                </w:tcPr>
                <w:p w14:paraId="5D3F906A">
                  <w:pPr>
                    <w:widowControl/>
                    <w:snapToGrid w:val="0"/>
                    <w:jc w:val="center"/>
                    <w:rPr>
                      <w:bCs/>
                      <w:szCs w:val="21"/>
                    </w:rPr>
                  </w:pPr>
                  <w:r>
                    <w:rPr>
                      <w:rFonts w:hint="eastAsia"/>
                      <w:kern w:val="0"/>
                      <w:szCs w:val="21"/>
                    </w:rPr>
                    <w:t>/</w:t>
                  </w:r>
                </w:p>
              </w:tc>
              <w:tc>
                <w:tcPr>
                  <w:tcW w:w="908" w:type="pct"/>
                  <w:vMerge w:val="continue"/>
                  <w:vAlign w:val="center"/>
                </w:tcPr>
                <w:p w14:paraId="1710AED5">
                  <w:pPr>
                    <w:jc w:val="center"/>
                    <w:textAlignment w:val="bottom"/>
                    <w:rPr>
                      <w:szCs w:val="21"/>
                    </w:rPr>
                  </w:pPr>
                </w:p>
              </w:tc>
              <w:tc>
                <w:tcPr>
                  <w:tcW w:w="357" w:type="pct"/>
                  <w:tcMar>
                    <w:left w:w="0" w:type="dxa"/>
                    <w:right w:w="0" w:type="dxa"/>
                  </w:tcMar>
                  <w:vAlign w:val="center"/>
                </w:tcPr>
                <w:p w14:paraId="31EF673B">
                  <w:pPr>
                    <w:jc w:val="center"/>
                    <w:textAlignment w:val="bottom"/>
                    <w:rPr>
                      <w:szCs w:val="21"/>
                    </w:rPr>
                  </w:pPr>
                  <w:r>
                    <w:rPr>
                      <w:szCs w:val="21"/>
                    </w:rPr>
                    <w:t>达标</w:t>
                  </w:r>
                </w:p>
              </w:tc>
            </w:tr>
          </w:tbl>
          <w:p w14:paraId="32B2B00D">
            <w:pPr>
              <w:pStyle w:val="5"/>
              <w:adjustRightInd w:val="0"/>
              <w:snapToGrid w:val="0"/>
              <w:spacing w:beforeLines="50" w:line="360" w:lineRule="auto"/>
              <w:ind w:firstLine="420"/>
              <w:rPr>
                <w:szCs w:val="21"/>
              </w:rPr>
            </w:pPr>
            <w:r>
              <w:rPr>
                <w:szCs w:val="21"/>
              </w:rPr>
              <w:t>由上表可知，扩建项目废气有组织排放均能满足相关标准要求。</w:t>
            </w:r>
          </w:p>
          <w:p w14:paraId="60F89C7A">
            <w:pPr>
              <w:pStyle w:val="5"/>
              <w:spacing w:line="360" w:lineRule="auto"/>
              <w:ind w:firstLine="422"/>
              <w:rPr>
                <w:b/>
                <w:bCs/>
                <w:szCs w:val="21"/>
              </w:rPr>
            </w:pPr>
            <w:r>
              <w:rPr>
                <w:b/>
                <w:bCs/>
                <w:szCs w:val="21"/>
              </w:rPr>
              <w:t>（9）污染物排放量核算</w:t>
            </w:r>
          </w:p>
          <w:p w14:paraId="0E220AAA">
            <w:pPr>
              <w:pStyle w:val="53"/>
              <w:adjustRightInd w:val="0"/>
              <w:snapToGrid w:val="0"/>
              <w:spacing w:beforeLines="0" w:afterLines="0"/>
              <w:rPr>
                <w:rFonts w:eastAsia="宋体"/>
                <w:bCs/>
                <w:sz w:val="21"/>
                <w:szCs w:val="21"/>
              </w:rPr>
            </w:pPr>
            <w:r>
              <w:rPr>
                <w:rFonts w:eastAsia="宋体"/>
                <w:bCs/>
                <w:sz w:val="21"/>
                <w:szCs w:val="21"/>
              </w:rPr>
              <w:t>表4-9  项目大气污染物有组织排放量核算表</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75"/>
              <w:gridCol w:w="1840"/>
              <w:gridCol w:w="1762"/>
              <w:gridCol w:w="1639"/>
              <w:gridCol w:w="1662"/>
            </w:tblGrid>
            <w:tr w14:paraId="644066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vAlign w:val="center"/>
                </w:tcPr>
                <w:p w14:paraId="273252F3">
                  <w:pPr>
                    <w:pStyle w:val="62"/>
                    <w:rPr>
                      <w:rFonts w:eastAsia="宋体"/>
                    </w:rPr>
                  </w:pPr>
                  <w:r>
                    <w:rPr>
                      <w:rFonts w:eastAsia="宋体"/>
                    </w:rPr>
                    <w:t>序号</w:t>
                  </w:r>
                </w:p>
              </w:tc>
              <w:tc>
                <w:tcPr>
                  <w:tcW w:w="706" w:type="pct"/>
                  <w:vAlign w:val="center"/>
                </w:tcPr>
                <w:p w14:paraId="63E2AE3A">
                  <w:pPr>
                    <w:pStyle w:val="62"/>
                    <w:rPr>
                      <w:rFonts w:eastAsia="宋体"/>
                    </w:rPr>
                  </w:pPr>
                  <w:r>
                    <w:rPr>
                      <w:rFonts w:eastAsia="宋体"/>
                    </w:rPr>
                    <w:t>排放口编号</w:t>
                  </w:r>
                </w:p>
              </w:tc>
              <w:tc>
                <w:tcPr>
                  <w:tcW w:w="1019" w:type="pct"/>
                  <w:vAlign w:val="center"/>
                </w:tcPr>
                <w:p w14:paraId="563C2A7C">
                  <w:pPr>
                    <w:pStyle w:val="62"/>
                    <w:rPr>
                      <w:rFonts w:eastAsia="宋体"/>
                    </w:rPr>
                  </w:pPr>
                  <w:r>
                    <w:rPr>
                      <w:rFonts w:eastAsia="宋体"/>
                    </w:rPr>
                    <w:t>污染物</w:t>
                  </w:r>
                </w:p>
              </w:tc>
              <w:tc>
                <w:tcPr>
                  <w:tcW w:w="976" w:type="pct"/>
                  <w:vAlign w:val="center"/>
                </w:tcPr>
                <w:p w14:paraId="6F629C64">
                  <w:pPr>
                    <w:pStyle w:val="62"/>
                    <w:rPr>
                      <w:rFonts w:eastAsia="宋体"/>
                    </w:rPr>
                  </w:pPr>
                  <w:r>
                    <w:rPr>
                      <w:rFonts w:eastAsia="宋体"/>
                    </w:rPr>
                    <w:t>核算排放浓度/（mg/m</w:t>
                  </w:r>
                  <w:r>
                    <w:rPr>
                      <w:rFonts w:eastAsia="宋体"/>
                      <w:vertAlign w:val="superscript"/>
                    </w:rPr>
                    <w:t>3</w:t>
                  </w:r>
                  <w:r>
                    <w:rPr>
                      <w:rFonts w:eastAsia="宋体"/>
                    </w:rPr>
                    <w:t>）</w:t>
                  </w:r>
                </w:p>
              </w:tc>
              <w:tc>
                <w:tcPr>
                  <w:tcW w:w="908" w:type="pct"/>
                  <w:vAlign w:val="center"/>
                </w:tcPr>
                <w:p w14:paraId="4DF44426">
                  <w:pPr>
                    <w:pStyle w:val="62"/>
                    <w:rPr>
                      <w:rFonts w:eastAsia="宋体"/>
                    </w:rPr>
                  </w:pPr>
                  <w:r>
                    <w:rPr>
                      <w:rFonts w:eastAsia="宋体"/>
                    </w:rPr>
                    <w:t>核算排放速率/（kg/h）</w:t>
                  </w:r>
                </w:p>
              </w:tc>
              <w:tc>
                <w:tcPr>
                  <w:tcW w:w="920" w:type="pct"/>
                  <w:vAlign w:val="center"/>
                </w:tcPr>
                <w:p w14:paraId="48F59686">
                  <w:pPr>
                    <w:pStyle w:val="62"/>
                    <w:rPr>
                      <w:rFonts w:eastAsia="宋体"/>
                    </w:rPr>
                  </w:pPr>
                  <w:r>
                    <w:rPr>
                      <w:rFonts w:eastAsia="宋体"/>
                    </w:rPr>
                    <w:t>核算年排放量/（t/a）</w:t>
                  </w:r>
                </w:p>
              </w:tc>
            </w:tr>
            <w:tr w14:paraId="33DC70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3EE75864">
                  <w:pPr>
                    <w:pStyle w:val="47"/>
                    <w:rPr>
                      <w:rFonts w:eastAsia="宋体"/>
                    </w:rPr>
                  </w:pPr>
                  <w:r>
                    <w:rPr>
                      <w:rFonts w:eastAsia="宋体"/>
                    </w:rPr>
                    <w:t>一般排放口</w:t>
                  </w:r>
                </w:p>
              </w:tc>
            </w:tr>
            <w:tr w14:paraId="1EED46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vAlign w:val="center"/>
                </w:tcPr>
                <w:p w14:paraId="372B62A7">
                  <w:pPr>
                    <w:pStyle w:val="62"/>
                    <w:rPr>
                      <w:rFonts w:eastAsia="宋体"/>
                      <w:b w:val="0"/>
                      <w:bCs/>
                    </w:rPr>
                  </w:pPr>
                  <w:r>
                    <w:rPr>
                      <w:rFonts w:eastAsia="宋体"/>
                      <w:b w:val="0"/>
                      <w:bCs/>
                    </w:rPr>
                    <w:t>1</w:t>
                  </w:r>
                </w:p>
              </w:tc>
              <w:tc>
                <w:tcPr>
                  <w:tcW w:w="706" w:type="pct"/>
                  <w:vMerge w:val="restart"/>
                  <w:vAlign w:val="center"/>
                </w:tcPr>
                <w:p w14:paraId="1C5642E3">
                  <w:pPr>
                    <w:pStyle w:val="47"/>
                    <w:rPr>
                      <w:rFonts w:eastAsia="宋体"/>
                    </w:rPr>
                  </w:pPr>
                  <w:r>
                    <w:rPr>
                      <w:rFonts w:hint="eastAsia" w:eastAsia="宋体"/>
                    </w:rPr>
                    <w:t>8</w:t>
                  </w:r>
                  <w:r>
                    <w:rPr>
                      <w:rFonts w:eastAsia="宋体"/>
                    </w:rPr>
                    <w:t>#排气筒</w:t>
                  </w:r>
                </w:p>
              </w:tc>
              <w:tc>
                <w:tcPr>
                  <w:tcW w:w="1019" w:type="pct"/>
                  <w:vAlign w:val="center"/>
                </w:tcPr>
                <w:p w14:paraId="6A45960B">
                  <w:pPr>
                    <w:jc w:val="center"/>
                    <w:rPr>
                      <w:szCs w:val="21"/>
                    </w:rPr>
                  </w:pPr>
                  <w:r>
                    <w:rPr>
                      <w:rFonts w:hint="eastAsia"/>
                      <w:bCs/>
                      <w:szCs w:val="21"/>
                    </w:rPr>
                    <w:t>粉尘（含炭黑尘）</w:t>
                  </w:r>
                </w:p>
              </w:tc>
              <w:tc>
                <w:tcPr>
                  <w:tcW w:w="976" w:type="pct"/>
                  <w:vAlign w:val="center"/>
                </w:tcPr>
                <w:p w14:paraId="0435C695">
                  <w:pPr>
                    <w:snapToGrid w:val="0"/>
                    <w:jc w:val="center"/>
                    <w:rPr>
                      <w:spacing w:val="-2"/>
                      <w:kern w:val="28"/>
                      <w:szCs w:val="21"/>
                    </w:rPr>
                  </w:pPr>
                  <w:r>
                    <w:rPr>
                      <w:szCs w:val="21"/>
                    </w:rPr>
                    <w:t>0.08</w:t>
                  </w:r>
                </w:p>
              </w:tc>
              <w:tc>
                <w:tcPr>
                  <w:tcW w:w="908" w:type="pct"/>
                  <w:vAlign w:val="center"/>
                </w:tcPr>
                <w:p w14:paraId="040F8CDF">
                  <w:pPr>
                    <w:snapToGrid w:val="0"/>
                    <w:jc w:val="center"/>
                    <w:rPr>
                      <w:spacing w:val="-2"/>
                      <w:kern w:val="28"/>
                      <w:szCs w:val="21"/>
                    </w:rPr>
                  </w:pPr>
                  <w:r>
                    <w:rPr>
                      <w:szCs w:val="21"/>
                    </w:rPr>
                    <w:t>0.002</w:t>
                  </w:r>
                </w:p>
              </w:tc>
              <w:tc>
                <w:tcPr>
                  <w:tcW w:w="920" w:type="pct"/>
                  <w:vAlign w:val="center"/>
                </w:tcPr>
                <w:p w14:paraId="2B05C975">
                  <w:pPr>
                    <w:snapToGrid w:val="0"/>
                    <w:jc w:val="center"/>
                    <w:rPr>
                      <w:spacing w:val="-2"/>
                      <w:kern w:val="28"/>
                      <w:szCs w:val="21"/>
                    </w:rPr>
                  </w:pPr>
                  <w:r>
                    <w:rPr>
                      <w:szCs w:val="21"/>
                    </w:rPr>
                    <w:t>0.011</w:t>
                  </w:r>
                </w:p>
              </w:tc>
            </w:tr>
            <w:tr w14:paraId="690139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vAlign w:val="center"/>
                </w:tcPr>
                <w:p w14:paraId="2181D4BB">
                  <w:pPr>
                    <w:pStyle w:val="62"/>
                    <w:rPr>
                      <w:rFonts w:eastAsia="宋体"/>
                      <w:b w:val="0"/>
                      <w:bCs/>
                    </w:rPr>
                  </w:pPr>
                  <w:r>
                    <w:rPr>
                      <w:rFonts w:eastAsia="宋体"/>
                      <w:b w:val="0"/>
                      <w:bCs/>
                    </w:rPr>
                    <w:t>2</w:t>
                  </w:r>
                </w:p>
              </w:tc>
              <w:tc>
                <w:tcPr>
                  <w:tcW w:w="706" w:type="pct"/>
                  <w:vMerge w:val="continue"/>
                  <w:vAlign w:val="center"/>
                </w:tcPr>
                <w:p w14:paraId="34F3517A">
                  <w:pPr>
                    <w:pStyle w:val="47"/>
                    <w:rPr>
                      <w:rFonts w:eastAsia="宋体"/>
                    </w:rPr>
                  </w:pPr>
                </w:p>
              </w:tc>
              <w:tc>
                <w:tcPr>
                  <w:tcW w:w="1019" w:type="pct"/>
                  <w:vAlign w:val="center"/>
                </w:tcPr>
                <w:p w14:paraId="284AAAAF">
                  <w:pPr>
                    <w:jc w:val="center"/>
                    <w:rPr>
                      <w:szCs w:val="21"/>
                    </w:rPr>
                  </w:pPr>
                  <w:r>
                    <w:rPr>
                      <w:bCs/>
                      <w:szCs w:val="21"/>
                    </w:rPr>
                    <w:t>硫化氢</w:t>
                  </w:r>
                </w:p>
              </w:tc>
              <w:tc>
                <w:tcPr>
                  <w:tcW w:w="976" w:type="pct"/>
                  <w:vAlign w:val="center"/>
                </w:tcPr>
                <w:p w14:paraId="215B5392">
                  <w:pPr>
                    <w:snapToGrid w:val="0"/>
                    <w:jc w:val="center"/>
                    <w:rPr>
                      <w:spacing w:val="-2"/>
                      <w:kern w:val="28"/>
                      <w:szCs w:val="21"/>
                    </w:rPr>
                  </w:pPr>
                  <w:r>
                    <w:rPr>
                      <w:szCs w:val="21"/>
                    </w:rPr>
                    <w:t>0.09</w:t>
                  </w:r>
                </w:p>
              </w:tc>
              <w:tc>
                <w:tcPr>
                  <w:tcW w:w="908" w:type="pct"/>
                  <w:vAlign w:val="center"/>
                </w:tcPr>
                <w:p w14:paraId="0D9A9C53">
                  <w:pPr>
                    <w:snapToGrid w:val="0"/>
                    <w:jc w:val="center"/>
                    <w:rPr>
                      <w:spacing w:val="-2"/>
                      <w:kern w:val="28"/>
                      <w:szCs w:val="21"/>
                    </w:rPr>
                  </w:pPr>
                  <w:r>
                    <w:rPr>
                      <w:szCs w:val="21"/>
                    </w:rPr>
                    <w:t>0.002</w:t>
                  </w:r>
                </w:p>
              </w:tc>
              <w:tc>
                <w:tcPr>
                  <w:tcW w:w="920" w:type="pct"/>
                  <w:vAlign w:val="center"/>
                </w:tcPr>
                <w:p w14:paraId="1AD67E74">
                  <w:pPr>
                    <w:snapToGrid w:val="0"/>
                    <w:jc w:val="center"/>
                    <w:rPr>
                      <w:spacing w:val="-2"/>
                      <w:kern w:val="28"/>
                      <w:szCs w:val="21"/>
                    </w:rPr>
                  </w:pPr>
                  <w:r>
                    <w:rPr>
                      <w:szCs w:val="21"/>
                    </w:rPr>
                    <w:t>0.013</w:t>
                  </w:r>
                </w:p>
              </w:tc>
            </w:tr>
            <w:tr w14:paraId="53899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vAlign w:val="center"/>
                </w:tcPr>
                <w:p w14:paraId="7180D623">
                  <w:pPr>
                    <w:pStyle w:val="62"/>
                    <w:rPr>
                      <w:rFonts w:eastAsia="宋体"/>
                      <w:b w:val="0"/>
                      <w:bCs/>
                    </w:rPr>
                  </w:pPr>
                  <w:r>
                    <w:rPr>
                      <w:rFonts w:eastAsia="宋体"/>
                      <w:b w:val="0"/>
                      <w:bCs/>
                    </w:rPr>
                    <w:t>3</w:t>
                  </w:r>
                </w:p>
              </w:tc>
              <w:tc>
                <w:tcPr>
                  <w:tcW w:w="706" w:type="pct"/>
                  <w:vMerge w:val="continue"/>
                  <w:vAlign w:val="center"/>
                </w:tcPr>
                <w:p w14:paraId="3BEAA915">
                  <w:pPr>
                    <w:pStyle w:val="47"/>
                    <w:rPr>
                      <w:rFonts w:eastAsia="宋体"/>
                    </w:rPr>
                  </w:pPr>
                </w:p>
              </w:tc>
              <w:tc>
                <w:tcPr>
                  <w:tcW w:w="1019" w:type="pct"/>
                  <w:vAlign w:val="center"/>
                </w:tcPr>
                <w:p w14:paraId="31B662AD">
                  <w:pPr>
                    <w:jc w:val="center"/>
                    <w:rPr>
                      <w:szCs w:val="21"/>
                    </w:rPr>
                  </w:pPr>
                  <w:r>
                    <w:rPr>
                      <w:bCs/>
                      <w:szCs w:val="21"/>
                    </w:rPr>
                    <w:t>非甲烷总烃</w:t>
                  </w:r>
                </w:p>
              </w:tc>
              <w:tc>
                <w:tcPr>
                  <w:tcW w:w="976" w:type="pct"/>
                  <w:vAlign w:val="center"/>
                </w:tcPr>
                <w:p w14:paraId="502A10AB">
                  <w:pPr>
                    <w:snapToGrid w:val="0"/>
                    <w:jc w:val="center"/>
                    <w:rPr>
                      <w:spacing w:val="-2"/>
                      <w:kern w:val="28"/>
                      <w:szCs w:val="21"/>
                    </w:rPr>
                  </w:pPr>
                  <w:r>
                    <w:rPr>
                      <w:szCs w:val="21"/>
                    </w:rPr>
                    <w:t>0.89</w:t>
                  </w:r>
                </w:p>
              </w:tc>
              <w:tc>
                <w:tcPr>
                  <w:tcW w:w="908" w:type="pct"/>
                  <w:vAlign w:val="center"/>
                </w:tcPr>
                <w:p w14:paraId="6BAA1783">
                  <w:pPr>
                    <w:snapToGrid w:val="0"/>
                    <w:jc w:val="center"/>
                    <w:rPr>
                      <w:spacing w:val="-2"/>
                      <w:kern w:val="28"/>
                      <w:szCs w:val="21"/>
                    </w:rPr>
                  </w:pPr>
                  <w:r>
                    <w:rPr>
                      <w:szCs w:val="21"/>
                    </w:rPr>
                    <w:t>0.018</w:t>
                  </w:r>
                </w:p>
              </w:tc>
              <w:tc>
                <w:tcPr>
                  <w:tcW w:w="920" w:type="pct"/>
                  <w:vAlign w:val="center"/>
                </w:tcPr>
                <w:p w14:paraId="0998588D">
                  <w:pPr>
                    <w:snapToGrid w:val="0"/>
                    <w:jc w:val="center"/>
                    <w:rPr>
                      <w:spacing w:val="-2"/>
                      <w:kern w:val="28"/>
                      <w:szCs w:val="21"/>
                    </w:rPr>
                  </w:pPr>
                  <w:r>
                    <w:rPr>
                      <w:szCs w:val="21"/>
                    </w:rPr>
                    <w:t>0.128</w:t>
                  </w:r>
                </w:p>
              </w:tc>
            </w:tr>
            <w:tr w14:paraId="512B39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vAlign w:val="center"/>
                </w:tcPr>
                <w:p w14:paraId="4AFE22CC">
                  <w:pPr>
                    <w:pStyle w:val="62"/>
                    <w:rPr>
                      <w:rFonts w:eastAsia="宋体"/>
                      <w:b w:val="0"/>
                      <w:bCs/>
                    </w:rPr>
                  </w:pPr>
                  <w:r>
                    <w:rPr>
                      <w:rFonts w:eastAsia="宋体"/>
                      <w:b w:val="0"/>
                      <w:bCs/>
                    </w:rPr>
                    <w:t>4</w:t>
                  </w:r>
                </w:p>
              </w:tc>
              <w:tc>
                <w:tcPr>
                  <w:tcW w:w="706" w:type="pct"/>
                  <w:vMerge w:val="restart"/>
                  <w:vAlign w:val="center"/>
                </w:tcPr>
                <w:p w14:paraId="3FD270D0">
                  <w:pPr>
                    <w:pStyle w:val="47"/>
                    <w:rPr>
                      <w:rFonts w:eastAsia="宋体"/>
                    </w:rPr>
                  </w:pPr>
                  <w:r>
                    <w:rPr>
                      <w:rFonts w:hint="eastAsia" w:eastAsia="宋体"/>
                    </w:rPr>
                    <w:t>1</w:t>
                  </w:r>
                  <w:r>
                    <w:rPr>
                      <w:rFonts w:eastAsia="宋体"/>
                    </w:rPr>
                    <w:t>#排气筒</w:t>
                  </w:r>
                </w:p>
              </w:tc>
              <w:tc>
                <w:tcPr>
                  <w:tcW w:w="1019" w:type="pct"/>
                  <w:vAlign w:val="center"/>
                </w:tcPr>
                <w:p w14:paraId="5E55B77C">
                  <w:pPr>
                    <w:jc w:val="center"/>
                    <w:rPr>
                      <w:szCs w:val="21"/>
                    </w:rPr>
                  </w:pPr>
                  <w:r>
                    <w:rPr>
                      <w:rFonts w:hint="eastAsia"/>
                      <w:bCs/>
                      <w:szCs w:val="21"/>
                    </w:rPr>
                    <w:t>氟化物</w:t>
                  </w:r>
                </w:p>
              </w:tc>
              <w:tc>
                <w:tcPr>
                  <w:tcW w:w="976" w:type="pct"/>
                  <w:vAlign w:val="center"/>
                </w:tcPr>
                <w:p w14:paraId="75E9E489">
                  <w:pPr>
                    <w:snapToGrid w:val="0"/>
                    <w:jc w:val="center"/>
                    <w:rPr>
                      <w:szCs w:val="21"/>
                    </w:rPr>
                  </w:pPr>
                  <w:r>
                    <w:rPr>
                      <w:szCs w:val="21"/>
                    </w:rPr>
                    <w:t>0.0002</w:t>
                  </w:r>
                </w:p>
              </w:tc>
              <w:tc>
                <w:tcPr>
                  <w:tcW w:w="908" w:type="pct"/>
                  <w:vAlign w:val="center"/>
                </w:tcPr>
                <w:p w14:paraId="00FF2884">
                  <w:pPr>
                    <w:snapToGrid w:val="0"/>
                    <w:jc w:val="center"/>
                    <w:rPr>
                      <w:szCs w:val="21"/>
                    </w:rPr>
                  </w:pPr>
                  <w:r>
                    <w:rPr>
                      <w:szCs w:val="21"/>
                    </w:rPr>
                    <w:t>0.00001</w:t>
                  </w:r>
                </w:p>
              </w:tc>
              <w:tc>
                <w:tcPr>
                  <w:tcW w:w="920" w:type="pct"/>
                  <w:vAlign w:val="center"/>
                </w:tcPr>
                <w:p w14:paraId="111A0D9B">
                  <w:pPr>
                    <w:snapToGrid w:val="0"/>
                    <w:jc w:val="center"/>
                    <w:rPr>
                      <w:szCs w:val="21"/>
                    </w:rPr>
                  </w:pPr>
                  <w:r>
                    <w:rPr>
                      <w:szCs w:val="21"/>
                    </w:rPr>
                    <w:t>0.000076</w:t>
                  </w:r>
                </w:p>
              </w:tc>
            </w:tr>
            <w:tr w14:paraId="08DDC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shd w:val="clear" w:color="auto" w:fill="auto"/>
                  <w:vAlign w:val="center"/>
                </w:tcPr>
                <w:p w14:paraId="086124D0">
                  <w:pPr>
                    <w:pStyle w:val="62"/>
                    <w:rPr>
                      <w:rFonts w:eastAsia="宋体"/>
                      <w:b w:val="0"/>
                      <w:bCs/>
                    </w:rPr>
                  </w:pPr>
                  <w:r>
                    <w:rPr>
                      <w:rFonts w:eastAsia="宋体"/>
                      <w:b w:val="0"/>
                      <w:bCs/>
                    </w:rPr>
                    <w:t>5</w:t>
                  </w:r>
                </w:p>
              </w:tc>
              <w:tc>
                <w:tcPr>
                  <w:tcW w:w="706" w:type="pct"/>
                  <w:vMerge w:val="continue"/>
                  <w:vAlign w:val="center"/>
                </w:tcPr>
                <w:p w14:paraId="158D6BF8">
                  <w:pPr>
                    <w:pStyle w:val="47"/>
                    <w:rPr>
                      <w:rFonts w:eastAsia="宋体"/>
                    </w:rPr>
                  </w:pPr>
                </w:p>
              </w:tc>
              <w:tc>
                <w:tcPr>
                  <w:tcW w:w="1019" w:type="pct"/>
                  <w:vAlign w:val="center"/>
                </w:tcPr>
                <w:p w14:paraId="706F0422">
                  <w:pPr>
                    <w:jc w:val="center"/>
                    <w:rPr>
                      <w:szCs w:val="21"/>
                    </w:rPr>
                  </w:pPr>
                  <w:r>
                    <w:rPr>
                      <w:bCs/>
                      <w:szCs w:val="21"/>
                    </w:rPr>
                    <w:t>硫化氢</w:t>
                  </w:r>
                </w:p>
              </w:tc>
              <w:tc>
                <w:tcPr>
                  <w:tcW w:w="976" w:type="pct"/>
                  <w:vAlign w:val="center"/>
                </w:tcPr>
                <w:p w14:paraId="05C13967">
                  <w:pPr>
                    <w:snapToGrid w:val="0"/>
                    <w:jc w:val="center"/>
                    <w:rPr>
                      <w:spacing w:val="-2"/>
                      <w:kern w:val="28"/>
                      <w:szCs w:val="21"/>
                    </w:rPr>
                  </w:pPr>
                  <w:r>
                    <w:rPr>
                      <w:szCs w:val="21"/>
                    </w:rPr>
                    <w:t>0.032</w:t>
                  </w:r>
                </w:p>
              </w:tc>
              <w:tc>
                <w:tcPr>
                  <w:tcW w:w="908" w:type="pct"/>
                  <w:vAlign w:val="center"/>
                </w:tcPr>
                <w:p w14:paraId="3E347C66">
                  <w:pPr>
                    <w:snapToGrid w:val="0"/>
                    <w:jc w:val="center"/>
                    <w:rPr>
                      <w:spacing w:val="-2"/>
                      <w:kern w:val="28"/>
                      <w:szCs w:val="21"/>
                    </w:rPr>
                  </w:pPr>
                  <w:r>
                    <w:rPr>
                      <w:szCs w:val="21"/>
                    </w:rPr>
                    <w:t>0.002</w:t>
                  </w:r>
                </w:p>
              </w:tc>
              <w:tc>
                <w:tcPr>
                  <w:tcW w:w="920" w:type="pct"/>
                  <w:vAlign w:val="center"/>
                </w:tcPr>
                <w:p w14:paraId="4C4231F1">
                  <w:pPr>
                    <w:snapToGrid w:val="0"/>
                    <w:jc w:val="center"/>
                    <w:rPr>
                      <w:spacing w:val="-2"/>
                      <w:kern w:val="28"/>
                      <w:szCs w:val="21"/>
                    </w:rPr>
                  </w:pPr>
                  <w:r>
                    <w:rPr>
                      <w:szCs w:val="21"/>
                    </w:rPr>
                    <w:t>0.0144</w:t>
                  </w:r>
                </w:p>
              </w:tc>
            </w:tr>
            <w:tr w14:paraId="33A21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shd w:val="clear" w:color="auto" w:fill="auto"/>
                  <w:vAlign w:val="center"/>
                </w:tcPr>
                <w:p w14:paraId="4C6D2A17">
                  <w:pPr>
                    <w:pStyle w:val="62"/>
                    <w:rPr>
                      <w:rFonts w:eastAsia="宋体"/>
                      <w:b w:val="0"/>
                      <w:bCs/>
                    </w:rPr>
                  </w:pPr>
                  <w:r>
                    <w:rPr>
                      <w:rFonts w:eastAsia="宋体"/>
                      <w:b w:val="0"/>
                      <w:bCs/>
                    </w:rPr>
                    <w:t>6</w:t>
                  </w:r>
                </w:p>
              </w:tc>
              <w:tc>
                <w:tcPr>
                  <w:tcW w:w="706" w:type="pct"/>
                  <w:vMerge w:val="continue"/>
                  <w:vAlign w:val="center"/>
                </w:tcPr>
                <w:p w14:paraId="33252192">
                  <w:pPr>
                    <w:pStyle w:val="47"/>
                    <w:rPr>
                      <w:rFonts w:eastAsia="宋体"/>
                    </w:rPr>
                  </w:pPr>
                </w:p>
              </w:tc>
              <w:tc>
                <w:tcPr>
                  <w:tcW w:w="1019" w:type="pct"/>
                  <w:vAlign w:val="center"/>
                </w:tcPr>
                <w:p w14:paraId="173CC878">
                  <w:pPr>
                    <w:jc w:val="center"/>
                    <w:rPr>
                      <w:szCs w:val="21"/>
                    </w:rPr>
                  </w:pPr>
                  <w:r>
                    <w:rPr>
                      <w:bCs/>
                      <w:szCs w:val="21"/>
                    </w:rPr>
                    <w:t>非甲烷总烃</w:t>
                  </w:r>
                </w:p>
              </w:tc>
              <w:tc>
                <w:tcPr>
                  <w:tcW w:w="976" w:type="pct"/>
                  <w:vAlign w:val="center"/>
                </w:tcPr>
                <w:p w14:paraId="4F0F3765">
                  <w:pPr>
                    <w:snapToGrid w:val="0"/>
                    <w:jc w:val="center"/>
                    <w:rPr>
                      <w:spacing w:val="-2"/>
                      <w:kern w:val="28"/>
                      <w:szCs w:val="21"/>
                    </w:rPr>
                  </w:pPr>
                  <w:r>
                    <w:rPr>
                      <w:szCs w:val="21"/>
                    </w:rPr>
                    <w:t>0.12</w:t>
                  </w:r>
                </w:p>
              </w:tc>
              <w:tc>
                <w:tcPr>
                  <w:tcW w:w="908" w:type="pct"/>
                  <w:vAlign w:val="center"/>
                </w:tcPr>
                <w:p w14:paraId="1203B2E1">
                  <w:pPr>
                    <w:snapToGrid w:val="0"/>
                    <w:jc w:val="center"/>
                    <w:rPr>
                      <w:spacing w:val="-2"/>
                      <w:kern w:val="28"/>
                      <w:szCs w:val="21"/>
                    </w:rPr>
                  </w:pPr>
                  <w:r>
                    <w:rPr>
                      <w:szCs w:val="21"/>
                    </w:rPr>
                    <w:t>0.008</w:t>
                  </w:r>
                </w:p>
              </w:tc>
              <w:tc>
                <w:tcPr>
                  <w:tcW w:w="920" w:type="pct"/>
                  <w:vAlign w:val="center"/>
                </w:tcPr>
                <w:p w14:paraId="4F13FD04">
                  <w:pPr>
                    <w:snapToGrid w:val="0"/>
                    <w:jc w:val="center"/>
                    <w:rPr>
                      <w:szCs w:val="21"/>
                    </w:rPr>
                  </w:pPr>
                  <w:r>
                    <w:rPr>
                      <w:szCs w:val="21"/>
                    </w:rPr>
                    <w:t>0.0545</w:t>
                  </w:r>
                </w:p>
              </w:tc>
            </w:tr>
            <w:tr w14:paraId="7D58CA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shd w:val="clear" w:color="auto" w:fill="auto"/>
                  <w:vAlign w:val="center"/>
                </w:tcPr>
                <w:p w14:paraId="76087C69">
                  <w:pPr>
                    <w:pStyle w:val="62"/>
                    <w:rPr>
                      <w:rFonts w:eastAsia="宋体"/>
                      <w:b w:val="0"/>
                      <w:bCs/>
                    </w:rPr>
                  </w:pPr>
                  <w:r>
                    <w:rPr>
                      <w:rFonts w:eastAsia="宋体"/>
                      <w:b w:val="0"/>
                      <w:bCs/>
                    </w:rPr>
                    <w:t>7</w:t>
                  </w:r>
                </w:p>
              </w:tc>
              <w:tc>
                <w:tcPr>
                  <w:tcW w:w="706" w:type="pct"/>
                  <w:vMerge w:val="restart"/>
                  <w:vAlign w:val="center"/>
                </w:tcPr>
                <w:p w14:paraId="47BD12AC">
                  <w:pPr>
                    <w:pStyle w:val="47"/>
                    <w:rPr>
                      <w:rFonts w:eastAsia="宋体"/>
                    </w:rPr>
                  </w:pPr>
                  <w:r>
                    <w:rPr>
                      <w:rFonts w:hint="eastAsia" w:eastAsia="宋体"/>
                    </w:rPr>
                    <w:t>3</w:t>
                  </w:r>
                  <w:r>
                    <w:rPr>
                      <w:rFonts w:eastAsia="宋体"/>
                    </w:rPr>
                    <w:t>#排气筒</w:t>
                  </w:r>
                </w:p>
              </w:tc>
              <w:tc>
                <w:tcPr>
                  <w:tcW w:w="1019" w:type="pct"/>
                  <w:vAlign w:val="center"/>
                </w:tcPr>
                <w:p w14:paraId="3E0104A4">
                  <w:pPr>
                    <w:jc w:val="center"/>
                    <w:rPr>
                      <w:szCs w:val="21"/>
                    </w:rPr>
                  </w:pPr>
                  <w:r>
                    <w:rPr>
                      <w:rFonts w:hint="eastAsia"/>
                      <w:bCs/>
                      <w:szCs w:val="21"/>
                    </w:rPr>
                    <w:t>氟化物</w:t>
                  </w:r>
                </w:p>
              </w:tc>
              <w:tc>
                <w:tcPr>
                  <w:tcW w:w="976" w:type="pct"/>
                  <w:vAlign w:val="center"/>
                </w:tcPr>
                <w:p w14:paraId="4012FEBD">
                  <w:pPr>
                    <w:snapToGrid w:val="0"/>
                    <w:jc w:val="center"/>
                    <w:rPr>
                      <w:spacing w:val="-2"/>
                      <w:kern w:val="28"/>
                      <w:szCs w:val="21"/>
                    </w:rPr>
                  </w:pPr>
                  <w:r>
                    <w:rPr>
                      <w:szCs w:val="21"/>
                    </w:rPr>
                    <w:t>0.0002</w:t>
                  </w:r>
                </w:p>
              </w:tc>
              <w:tc>
                <w:tcPr>
                  <w:tcW w:w="908" w:type="pct"/>
                  <w:vAlign w:val="center"/>
                </w:tcPr>
                <w:p w14:paraId="1ACC2A1D">
                  <w:pPr>
                    <w:snapToGrid w:val="0"/>
                    <w:jc w:val="center"/>
                    <w:rPr>
                      <w:spacing w:val="-2"/>
                      <w:kern w:val="28"/>
                      <w:szCs w:val="21"/>
                    </w:rPr>
                  </w:pPr>
                  <w:r>
                    <w:rPr>
                      <w:szCs w:val="21"/>
                    </w:rPr>
                    <w:t>0.00001</w:t>
                  </w:r>
                </w:p>
              </w:tc>
              <w:tc>
                <w:tcPr>
                  <w:tcW w:w="920" w:type="pct"/>
                  <w:vAlign w:val="center"/>
                </w:tcPr>
                <w:p w14:paraId="3A8136CF">
                  <w:pPr>
                    <w:snapToGrid w:val="0"/>
                    <w:jc w:val="center"/>
                    <w:rPr>
                      <w:szCs w:val="21"/>
                    </w:rPr>
                  </w:pPr>
                  <w:r>
                    <w:rPr>
                      <w:szCs w:val="21"/>
                    </w:rPr>
                    <w:t>0.000076</w:t>
                  </w:r>
                </w:p>
              </w:tc>
            </w:tr>
            <w:tr w14:paraId="5CD0A4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shd w:val="clear" w:color="auto" w:fill="auto"/>
                  <w:vAlign w:val="center"/>
                </w:tcPr>
                <w:p w14:paraId="1A0BD060">
                  <w:pPr>
                    <w:pStyle w:val="62"/>
                    <w:rPr>
                      <w:rFonts w:eastAsia="宋体"/>
                      <w:b w:val="0"/>
                      <w:bCs/>
                    </w:rPr>
                  </w:pPr>
                  <w:r>
                    <w:rPr>
                      <w:rFonts w:eastAsia="宋体"/>
                      <w:b w:val="0"/>
                      <w:bCs/>
                    </w:rPr>
                    <w:t>8</w:t>
                  </w:r>
                </w:p>
              </w:tc>
              <w:tc>
                <w:tcPr>
                  <w:tcW w:w="706" w:type="pct"/>
                  <w:vMerge w:val="continue"/>
                  <w:vAlign w:val="center"/>
                </w:tcPr>
                <w:p w14:paraId="384C71B4">
                  <w:pPr>
                    <w:pStyle w:val="47"/>
                    <w:rPr>
                      <w:rFonts w:eastAsia="宋体"/>
                    </w:rPr>
                  </w:pPr>
                </w:p>
              </w:tc>
              <w:tc>
                <w:tcPr>
                  <w:tcW w:w="1019" w:type="pct"/>
                  <w:vAlign w:val="center"/>
                </w:tcPr>
                <w:p w14:paraId="2F7E6325">
                  <w:pPr>
                    <w:jc w:val="center"/>
                    <w:rPr>
                      <w:szCs w:val="21"/>
                    </w:rPr>
                  </w:pPr>
                  <w:r>
                    <w:rPr>
                      <w:bCs/>
                      <w:szCs w:val="21"/>
                    </w:rPr>
                    <w:t>硫化氢</w:t>
                  </w:r>
                </w:p>
              </w:tc>
              <w:tc>
                <w:tcPr>
                  <w:tcW w:w="976" w:type="pct"/>
                  <w:vAlign w:val="center"/>
                </w:tcPr>
                <w:p w14:paraId="30F2A842">
                  <w:pPr>
                    <w:snapToGrid w:val="0"/>
                    <w:jc w:val="center"/>
                    <w:rPr>
                      <w:spacing w:val="-2"/>
                      <w:kern w:val="28"/>
                      <w:szCs w:val="21"/>
                    </w:rPr>
                  </w:pPr>
                  <w:r>
                    <w:rPr>
                      <w:szCs w:val="21"/>
                    </w:rPr>
                    <w:t>0.032</w:t>
                  </w:r>
                </w:p>
              </w:tc>
              <w:tc>
                <w:tcPr>
                  <w:tcW w:w="908" w:type="pct"/>
                  <w:vAlign w:val="center"/>
                </w:tcPr>
                <w:p w14:paraId="2CC5BD1C">
                  <w:pPr>
                    <w:snapToGrid w:val="0"/>
                    <w:jc w:val="center"/>
                    <w:rPr>
                      <w:spacing w:val="-2"/>
                      <w:kern w:val="28"/>
                      <w:szCs w:val="21"/>
                    </w:rPr>
                  </w:pPr>
                  <w:r>
                    <w:rPr>
                      <w:szCs w:val="21"/>
                    </w:rPr>
                    <w:t>0.002</w:t>
                  </w:r>
                </w:p>
              </w:tc>
              <w:tc>
                <w:tcPr>
                  <w:tcW w:w="920" w:type="pct"/>
                  <w:vAlign w:val="center"/>
                </w:tcPr>
                <w:p w14:paraId="0336DCFB">
                  <w:pPr>
                    <w:snapToGrid w:val="0"/>
                    <w:jc w:val="center"/>
                    <w:rPr>
                      <w:szCs w:val="21"/>
                    </w:rPr>
                  </w:pPr>
                  <w:r>
                    <w:rPr>
                      <w:szCs w:val="21"/>
                    </w:rPr>
                    <w:t>0.0144</w:t>
                  </w:r>
                </w:p>
              </w:tc>
            </w:tr>
            <w:tr w14:paraId="46CD5F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shd w:val="clear" w:color="auto" w:fill="auto"/>
                  <w:vAlign w:val="center"/>
                </w:tcPr>
                <w:p w14:paraId="5EE6ACB8">
                  <w:pPr>
                    <w:pStyle w:val="62"/>
                    <w:rPr>
                      <w:rFonts w:eastAsia="宋体"/>
                      <w:b w:val="0"/>
                      <w:bCs/>
                    </w:rPr>
                  </w:pPr>
                  <w:r>
                    <w:rPr>
                      <w:rFonts w:eastAsia="宋体"/>
                      <w:b w:val="0"/>
                      <w:bCs/>
                    </w:rPr>
                    <w:t>9</w:t>
                  </w:r>
                </w:p>
              </w:tc>
              <w:tc>
                <w:tcPr>
                  <w:tcW w:w="706" w:type="pct"/>
                  <w:vMerge w:val="continue"/>
                  <w:vAlign w:val="center"/>
                </w:tcPr>
                <w:p w14:paraId="34052B46">
                  <w:pPr>
                    <w:pStyle w:val="47"/>
                    <w:rPr>
                      <w:rFonts w:eastAsia="宋体"/>
                    </w:rPr>
                  </w:pPr>
                </w:p>
              </w:tc>
              <w:tc>
                <w:tcPr>
                  <w:tcW w:w="1019" w:type="pct"/>
                  <w:vAlign w:val="center"/>
                </w:tcPr>
                <w:p w14:paraId="045510E8">
                  <w:pPr>
                    <w:jc w:val="center"/>
                    <w:rPr>
                      <w:szCs w:val="21"/>
                    </w:rPr>
                  </w:pPr>
                  <w:r>
                    <w:rPr>
                      <w:bCs/>
                      <w:szCs w:val="21"/>
                    </w:rPr>
                    <w:t>非甲烷总烃</w:t>
                  </w:r>
                </w:p>
              </w:tc>
              <w:tc>
                <w:tcPr>
                  <w:tcW w:w="976" w:type="pct"/>
                  <w:vAlign w:val="center"/>
                </w:tcPr>
                <w:p w14:paraId="4B7E0DD0">
                  <w:pPr>
                    <w:snapToGrid w:val="0"/>
                    <w:jc w:val="center"/>
                    <w:rPr>
                      <w:spacing w:val="-2"/>
                      <w:kern w:val="28"/>
                      <w:szCs w:val="21"/>
                    </w:rPr>
                  </w:pPr>
                  <w:r>
                    <w:rPr>
                      <w:szCs w:val="21"/>
                    </w:rPr>
                    <w:t>0.12</w:t>
                  </w:r>
                </w:p>
              </w:tc>
              <w:tc>
                <w:tcPr>
                  <w:tcW w:w="908" w:type="pct"/>
                  <w:vAlign w:val="center"/>
                </w:tcPr>
                <w:p w14:paraId="3FD49A9E">
                  <w:pPr>
                    <w:snapToGrid w:val="0"/>
                    <w:jc w:val="center"/>
                    <w:rPr>
                      <w:spacing w:val="-2"/>
                      <w:kern w:val="28"/>
                      <w:szCs w:val="21"/>
                    </w:rPr>
                  </w:pPr>
                  <w:r>
                    <w:rPr>
                      <w:szCs w:val="21"/>
                    </w:rPr>
                    <w:t>0.008</w:t>
                  </w:r>
                </w:p>
              </w:tc>
              <w:tc>
                <w:tcPr>
                  <w:tcW w:w="920" w:type="pct"/>
                  <w:vAlign w:val="center"/>
                </w:tcPr>
                <w:p w14:paraId="4603937A">
                  <w:pPr>
                    <w:snapToGrid w:val="0"/>
                    <w:jc w:val="center"/>
                    <w:rPr>
                      <w:spacing w:val="-2"/>
                      <w:kern w:val="28"/>
                      <w:szCs w:val="21"/>
                    </w:rPr>
                  </w:pPr>
                  <w:r>
                    <w:rPr>
                      <w:szCs w:val="21"/>
                    </w:rPr>
                    <w:t>0.0545</w:t>
                  </w:r>
                </w:p>
              </w:tc>
            </w:tr>
            <w:tr w14:paraId="06CA80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shd w:val="clear" w:color="auto" w:fill="auto"/>
                  <w:vAlign w:val="center"/>
                </w:tcPr>
                <w:p w14:paraId="1C2CB55D">
                  <w:pPr>
                    <w:pStyle w:val="62"/>
                    <w:rPr>
                      <w:rFonts w:eastAsia="宋体"/>
                      <w:b w:val="0"/>
                      <w:bCs/>
                    </w:rPr>
                  </w:pPr>
                  <w:r>
                    <w:rPr>
                      <w:rFonts w:eastAsia="宋体"/>
                      <w:b w:val="0"/>
                      <w:bCs/>
                    </w:rPr>
                    <w:t>10</w:t>
                  </w:r>
                </w:p>
              </w:tc>
              <w:tc>
                <w:tcPr>
                  <w:tcW w:w="706" w:type="pct"/>
                  <w:vAlign w:val="center"/>
                </w:tcPr>
                <w:p w14:paraId="18FB1608">
                  <w:pPr>
                    <w:pStyle w:val="47"/>
                    <w:rPr>
                      <w:rFonts w:eastAsia="宋体"/>
                    </w:rPr>
                  </w:pPr>
                  <w:r>
                    <w:rPr>
                      <w:rFonts w:hint="eastAsia" w:eastAsia="宋体"/>
                    </w:rPr>
                    <w:t>5</w:t>
                  </w:r>
                  <w:r>
                    <w:rPr>
                      <w:rFonts w:eastAsia="宋体"/>
                    </w:rPr>
                    <w:t>#排气筒</w:t>
                  </w:r>
                </w:p>
              </w:tc>
              <w:tc>
                <w:tcPr>
                  <w:tcW w:w="1019" w:type="pct"/>
                  <w:vAlign w:val="center"/>
                </w:tcPr>
                <w:p w14:paraId="56E52032">
                  <w:pPr>
                    <w:jc w:val="center"/>
                    <w:rPr>
                      <w:szCs w:val="21"/>
                    </w:rPr>
                  </w:pPr>
                  <w:r>
                    <w:rPr>
                      <w:rFonts w:hint="eastAsia"/>
                      <w:bCs/>
                      <w:szCs w:val="21"/>
                    </w:rPr>
                    <w:t>粉尘</w:t>
                  </w:r>
                </w:p>
              </w:tc>
              <w:tc>
                <w:tcPr>
                  <w:tcW w:w="976" w:type="pct"/>
                  <w:vAlign w:val="center"/>
                </w:tcPr>
                <w:p w14:paraId="6D13E801">
                  <w:pPr>
                    <w:widowControl/>
                    <w:jc w:val="center"/>
                    <w:textAlignment w:val="center"/>
                    <w:rPr>
                      <w:spacing w:val="-2"/>
                      <w:kern w:val="28"/>
                      <w:szCs w:val="21"/>
                    </w:rPr>
                  </w:pPr>
                  <w:r>
                    <w:rPr>
                      <w:kern w:val="0"/>
                      <w:szCs w:val="21"/>
                    </w:rPr>
                    <w:t>0.54</w:t>
                  </w:r>
                </w:p>
              </w:tc>
              <w:tc>
                <w:tcPr>
                  <w:tcW w:w="908" w:type="pct"/>
                  <w:vAlign w:val="center"/>
                </w:tcPr>
                <w:p w14:paraId="7C5C70E5">
                  <w:pPr>
                    <w:widowControl/>
                    <w:jc w:val="center"/>
                    <w:textAlignment w:val="center"/>
                    <w:rPr>
                      <w:spacing w:val="-2"/>
                      <w:kern w:val="28"/>
                      <w:szCs w:val="21"/>
                    </w:rPr>
                  </w:pPr>
                  <w:r>
                    <w:rPr>
                      <w:kern w:val="0"/>
                      <w:szCs w:val="21"/>
                    </w:rPr>
                    <w:t>0.007</w:t>
                  </w:r>
                </w:p>
              </w:tc>
              <w:tc>
                <w:tcPr>
                  <w:tcW w:w="920" w:type="pct"/>
                  <w:vAlign w:val="center"/>
                </w:tcPr>
                <w:p w14:paraId="6C6E7EB1">
                  <w:pPr>
                    <w:widowControl/>
                    <w:jc w:val="center"/>
                    <w:textAlignment w:val="center"/>
                    <w:rPr>
                      <w:spacing w:val="-2"/>
                      <w:kern w:val="28"/>
                      <w:szCs w:val="21"/>
                    </w:rPr>
                  </w:pPr>
                  <w:r>
                    <w:rPr>
                      <w:kern w:val="0"/>
                      <w:szCs w:val="21"/>
                    </w:rPr>
                    <w:t>0.002</w:t>
                  </w:r>
                </w:p>
              </w:tc>
            </w:tr>
            <w:tr w14:paraId="61F980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9" w:type="pct"/>
                  <w:shd w:val="clear" w:color="auto" w:fill="auto"/>
                  <w:vAlign w:val="center"/>
                </w:tcPr>
                <w:p w14:paraId="10DE0B2E">
                  <w:pPr>
                    <w:pStyle w:val="62"/>
                    <w:rPr>
                      <w:rFonts w:eastAsia="宋体"/>
                      <w:b w:val="0"/>
                      <w:bCs/>
                    </w:rPr>
                  </w:pPr>
                  <w:r>
                    <w:rPr>
                      <w:rFonts w:eastAsia="宋体"/>
                      <w:b w:val="0"/>
                      <w:bCs/>
                    </w:rPr>
                    <w:t>11</w:t>
                  </w:r>
                </w:p>
              </w:tc>
              <w:tc>
                <w:tcPr>
                  <w:tcW w:w="706" w:type="pct"/>
                  <w:vAlign w:val="center"/>
                </w:tcPr>
                <w:p w14:paraId="2EF8BBFA">
                  <w:pPr>
                    <w:pStyle w:val="47"/>
                    <w:rPr>
                      <w:rFonts w:eastAsia="宋体"/>
                    </w:rPr>
                  </w:pPr>
                  <w:r>
                    <w:rPr>
                      <w:rFonts w:eastAsia="宋体"/>
                    </w:rPr>
                    <w:t>6#排气筒</w:t>
                  </w:r>
                </w:p>
              </w:tc>
              <w:tc>
                <w:tcPr>
                  <w:tcW w:w="1019" w:type="pct"/>
                  <w:vAlign w:val="center"/>
                </w:tcPr>
                <w:p w14:paraId="3810D654">
                  <w:pPr>
                    <w:widowControl/>
                    <w:jc w:val="center"/>
                    <w:textAlignment w:val="center"/>
                    <w:rPr>
                      <w:szCs w:val="21"/>
                    </w:rPr>
                  </w:pPr>
                  <w:r>
                    <w:rPr>
                      <w:rFonts w:hint="eastAsia" w:ascii="宋体" w:hAnsi="宋体" w:cs="宋体"/>
                      <w:kern w:val="0"/>
                      <w:szCs w:val="21"/>
                    </w:rPr>
                    <w:t>非甲烷总烃</w:t>
                  </w:r>
                </w:p>
              </w:tc>
              <w:tc>
                <w:tcPr>
                  <w:tcW w:w="976" w:type="pct"/>
                  <w:vAlign w:val="center"/>
                </w:tcPr>
                <w:p w14:paraId="77D1379B">
                  <w:pPr>
                    <w:jc w:val="center"/>
                    <w:rPr>
                      <w:szCs w:val="21"/>
                    </w:rPr>
                  </w:pPr>
                  <w:r>
                    <w:rPr>
                      <w:szCs w:val="21"/>
                    </w:rPr>
                    <w:t>0.001</w:t>
                  </w:r>
                </w:p>
              </w:tc>
              <w:tc>
                <w:tcPr>
                  <w:tcW w:w="908" w:type="pct"/>
                  <w:vAlign w:val="center"/>
                </w:tcPr>
                <w:p w14:paraId="76F08C3B">
                  <w:pPr>
                    <w:jc w:val="center"/>
                    <w:rPr>
                      <w:szCs w:val="21"/>
                    </w:rPr>
                  </w:pPr>
                  <w:r>
                    <w:rPr>
                      <w:szCs w:val="21"/>
                    </w:rPr>
                    <w:t>0.00004</w:t>
                  </w:r>
                </w:p>
              </w:tc>
              <w:tc>
                <w:tcPr>
                  <w:tcW w:w="920" w:type="pct"/>
                  <w:vAlign w:val="center"/>
                </w:tcPr>
                <w:p w14:paraId="0E2E5DFC">
                  <w:pPr>
                    <w:jc w:val="center"/>
                    <w:rPr>
                      <w:szCs w:val="21"/>
                    </w:rPr>
                  </w:pPr>
                  <w:r>
                    <w:rPr>
                      <w:szCs w:val="21"/>
                    </w:rPr>
                    <w:t>0.0002</w:t>
                  </w:r>
                </w:p>
              </w:tc>
            </w:tr>
            <w:tr w14:paraId="3A84B0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5" w:type="pct"/>
                  <w:gridSpan w:val="3"/>
                  <w:vMerge w:val="restart"/>
                  <w:vAlign w:val="center"/>
                </w:tcPr>
                <w:p w14:paraId="557BDBF0">
                  <w:pPr>
                    <w:pStyle w:val="47"/>
                    <w:rPr>
                      <w:rFonts w:eastAsia="宋体"/>
                    </w:rPr>
                  </w:pPr>
                  <w:r>
                    <w:rPr>
                      <w:rFonts w:eastAsia="宋体"/>
                    </w:rPr>
                    <w:t>一般排放口合计（有组织排放总计）</w:t>
                  </w:r>
                </w:p>
              </w:tc>
              <w:tc>
                <w:tcPr>
                  <w:tcW w:w="1884" w:type="pct"/>
                  <w:gridSpan w:val="2"/>
                  <w:vAlign w:val="center"/>
                </w:tcPr>
                <w:p w14:paraId="4BBD73E5">
                  <w:pPr>
                    <w:jc w:val="center"/>
                    <w:textAlignment w:val="bottom"/>
                    <w:rPr>
                      <w:szCs w:val="21"/>
                    </w:rPr>
                  </w:pPr>
                  <w:r>
                    <w:rPr>
                      <w:rFonts w:hint="eastAsia"/>
                      <w:szCs w:val="21"/>
                    </w:rPr>
                    <w:t>颗粒物</w:t>
                  </w:r>
                </w:p>
              </w:tc>
              <w:tc>
                <w:tcPr>
                  <w:tcW w:w="920" w:type="pct"/>
                  <w:vAlign w:val="center"/>
                </w:tcPr>
                <w:p w14:paraId="0E0397D8">
                  <w:pPr>
                    <w:snapToGrid w:val="0"/>
                    <w:jc w:val="center"/>
                    <w:rPr>
                      <w:szCs w:val="21"/>
                    </w:rPr>
                  </w:pPr>
                  <w:r>
                    <w:rPr>
                      <w:szCs w:val="21"/>
                    </w:rPr>
                    <w:t>0.013</w:t>
                  </w:r>
                </w:p>
              </w:tc>
            </w:tr>
            <w:tr w14:paraId="230C0A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5" w:type="pct"/>
                  <w:gridSpan w:val="3"/>
                  <w:vMerge w:val="continue"/>
                  <w:vAlign w:val="center"/>
                </w:tcPr>
                <w:p w14:paraId="4BC17F5E">
                  <w:pPr>
                    <w:pStyle w:val="47"/>
                    <w:rPr>
                      <w:rFonts w:eastAsia="宋体"/>
                    </w:rPr>
                  </w:pPr>
                </w:p>
              </w:tc>
              <w:tc>
                <w:tcPr>
                  <w:tcW w:w="1884" w:type="pct"/>
                  <w:gridSpan w:val="2"/>
                  <w:shd w:val="clear" w:color="auto" w:fill="auto"/>
                  <w:vAlign w:val="center"/>
                </w:tcPr>
                <w:p w14:paraId="6D1D0DFB">
                  <w:pPr>
                    <w:jc w:val="center"/>
                    <w:textAlignment w:val="bottom"/>
                    <w:rPr>
                      <w:szCs w:val="21"/>
                    </w:rPr>
                  </w:pPr>
                  <w:r>
                    <w:rPr>
                      <w:szCs w:val="21"/>
                    </w:rPr>
                    <w:t>非甲烷总烃</w:t>
                  </w:r>
                </w:p>
              </w:tc>
              <w:tc>
                <w:tcPr>
                  <w:tcW w:w="920" w:type="pct"/>
                  <w:shd w:val="clear" w:color="auto" w:fill="auto"/>
                  <w:vAlign w:val="center"/>
                </w:tcPr>
                <w:p w14:paraId="6D74CB24">
                  <w:pPr>
                    <w:snapToGrid w:val="0"/>
                    <w:jc w:val="center"/>
                    <w:rPr>
                      <w:szCs w:val="21"/>
                    </w:rPr>
                  </w:pPr>
                  <w:r>
                    <w:rPr>
                      <w:rFonts w:hint="eastAsia"/>
                      <w:szCs w:val="21"/>
                    </w:rPr>
                    <w:t>0.2372</w:t>
                  </w:r>
                </w:p>
              </w:tc>
            </w:tr>
            <w:tr w14:paraId="74E074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5" w:type="pct"/>
                  <w:gridSpan w:val="3"/>
                  <w:vMerge w:val="continue"/>
                  <w:vAlign w:val="center"/>
                </w:tcPr>
                <w:p w14:paraId="37349F15">
                  <w:pPr>
                    <w:pStyle w:val="47"/>
                    <w:rPr>
                      <w:rFonts w:eastAsia="宋体"/>
                    </w:rPr>
                  </w:pPr>
                </w:p>
              </w:tc>
              <w:tc>
                <w:tcPr>
                  <w:tcW w:w="1884" w:type="pct"/>
                  <w:gridSpan w:val="2"/>
                  <w:vAlign w:val="center"/>
                </w:tcPr>
                <w:p w14:paraId="14344F2F">
                  <w:pPr>
                    <w:jc w:val="center"/>
                    <w:textAlignment w:val="bottom"/>
                    <w:rPr>
                      <w:szCs w:val="21"/>
                    </w:rPr>
                  </w:pPr>
                  <w:r>
                    <w:rPr>
                      <w:szCs w:val="21"/>
                    </w:rPr>
                    <w:t>硫化氢</w:t>
                  </w:r>
                </w:p>
              </w:tc>
              <w:tc>
                <w:tcPr>
                  <w:tcW w:w="920" w:type="pct"/>
                  <w:vAlign w:val="center"/>
                </w:tcPr>
                <w:p w14:paraId="7864BDCB">
                  <w:pPr>
                    <w:snapToGrid w:val="0"/>
                    <w:jc w:val="center"/>
                    <w:rPr>
                      <w:szCs w:val="21"/>
                    </w:rPr>
                  </w:pPr>
                  <w:r>
                    <w:rPr>
                      <w:szCs w:val="21"/>
                    </w:rPr>
                    <w:t>0.0418</w:t>
                  </w:r>
                </w:p>
              </w:tc>
            </w:tr>
            <w:tr w14:paraId="6CB9EA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5" w:type="pct"/>
                  <w:gridSpan w:val="3"/>
                  <w:vMerge w:val="continue"/>
                  <w:vAlign w:val="center"/>
                </w:tcPr>
                <w:p w14:paraId="3C7AC8EB">
                  <w:pPr>
                    <w:pStyle w:val="47"/>
                    <w:rPr>
                      <w:rFonts w:eastAsia="宋体"/>
                    </w:rPr>
                  </w:pPr>
                </w:p>
              </w:tc>
              <w:tc>
                <w:tcPr>
                  <w:tcW w:w="1884" w:type="pct"/>
                  <w:gridSpan w:val="2"/>
                  <w:vAlign w:val="center"/>
                </w:tcPr>
                <w:p w14:paraId="62E8902B">
                  <w:pPr>
                    <w:jc w:val="center"/>
                    <w:textAlignment w:val="bottom"/>
                    <w:rPr>
                      <w:szCs w:val="21"/>
                    </w:rPr>
                  </w:pPr>
                  <w:r>
                    <w:rPr>
                      <w:rFonts w:hint="eastAsia"/>
                      <w:szCs w:val="21"/>
                    </w:rPr>
                    <w:t>氟化物</w:t>
                  </w:r>
                </w:p>
              </w:tc>
              <w:tc>
                <w:tcPr>
                  <w:tcW w:w="920" w:type="pct"/>
                  <w:vAlign w:val="center"/>
                </w:tcPr>
                <w:p w14:paraId="44135B01">
                  <w:pPr>
                    <w:snapToGrid w:val="0"/>
                    <w:jc w:val="center"/>
                    <w:rPr>
                      <w:color w:val="FF0000"/>
                      <w:sz w:val="24"/>
                    </w:rPr>
                  </w:pPr>
                  <w:r>
                    <w:rPr>
                      <w:szCs w:val="21"/>
                    </w:rPr>
                    <w:t>0.000152</w:t>
                  </w:r>
                </w:p>
              </w:tc>
            </w:tr>
          </w:tbl>
          <w:p w14:paraId="3651D621">
            <w:pPr>
              <w:pStyle w:val="46"/>
              <w:adjustRightInd w:val="0"/>
              <w:snapToGrid w:val="0"/>
              <w:spacing w:beforeLines="50" w:afterLines="0"/>
              <w:rPr>
                <w:rFonts w:eastAsia="宋体"/>
                <w:sz w:val="21"/>
                <w:szCs w:val="21"/>
              </w:rPr>
            </w:pPr>
            <w:r>
              <w:rPr>
                <w:rFonts w:eastAsia="宋体"/>
                <w:sz w:val="21"/>
                <w:szCs w:val="21"/>
              </w:rPr>
              <w:t>表4-10  扩建项目大气污染物无组织排放核算表</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89"/>
              <w:gridCol w:w="1131"/>
              <w:gridCol w:w="1299"/>
              <w:gridCol w:w="1605"/>
              <w:gridCol w:w="1986"/>
              <w:gridCol w:w="1338"/>
              <w:gridCol w:w="977"/>
            </w:tblGrid>
            <w:tr w14:paraId="431E4E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restart"/>
                  <w:vAlign w:val="center"/>
                </w:tcPr>
                <w:p w14:paraId="2513F305">
                  <w:pPr>
                    <w:pStyle w:val="62"/>
                    <w:rPr>
                      <w:rFonts w:eastAsia="宋体"/>
                    </w:rPr>
                  </w:pPr>
                  <w:r>
                    <w:rPr>
                      <w:rFonts w:eastAsia="宋体"/>
                    </w:rPr>
                    <w:t>排放口编号</w:t>
                  </w:r>
                </w:p>
              </w:tc>
              <w:tc>
                <w:tcPr>
                  <w:tcW w:w="627" w:type="pct"/>
                  <w:vMerge w:val="restart"/>
                  <w:vAlign w:val="center"/>
                </w:tcPr>
                <w:p w14:paraId="2DAB7018">
                  <w:pPr>
                    <w:pStyle w:val="62"/>
                    <w:rPr>
                      <w:rFonts w:eastAsia="宋体"/>
                    </w:rPr>
                  </w:pPr>
                  <w:r>
                    <w:rPr>
                      <w:rFonts w:eastAsia="宋体"/>
                    </w:rPr>
                    <w:t>产污环节</w:t>
                  </w:r>
                </w:p>
              </w:tc>
              <w:tc>
                <w:tcPr>
                  <w:tcW w:w="720" w:type="pct"/>
                  <w:vMerge w:val="restart"/>
                  <w:vAlign w:val="center"/>
                </w:tcPr>
                <w:p w14:paraId="6347DC31">
                  <w:pPr>
                    <w:pStyle w:val="62"/>
                    <w:rPr>
                      <w:rFonts w:eastAsia="宋体"/>
                    </w:rPr>
                  </w:pPr>
                  <w:r>
                    <w:rPr>
                      <w:rFonts w:eastAsia="宋体"/>
                    </w:rPr>
                    <w:t>污染物</w:t>
                  </w:r>
                </w:p>
              </w:tc>
              <w:tc>
                <w:tcPr>
                  <w:tcW w:w="889" w:type="pct"/>
                  <w:vMerge w:val="restart"/>
                  <w:vAlign w:val="center"/>
                </w:tcPr>
                <w:p w14:paraId="0C953E99">
                  <w:pPr>
                    <w:pStyle w:val="62"/>
                    <w:rPr>
                      <w:rFonts w:eastAsia="宋体"/>
                    </w:rPr>
                  </w:pPr>
                  <w:r>
                    <w:rPr>
                      <w:rFonts w:eastAsia="宋体"/>
                    </w:rPr>
                    <w:t>主要污染防治措施</w:t>
                  </w:r>
                </w:p>
              </w:tc>
              <w:tc>
                <w:tcPr>
                  <w:tcW w:w="1840" w:type="pct"/>
                  <w:gridSpan w:val="2"/>
                  <w:vAlign w:val="center"/>
                </w:tcPr>
                <w:p w14:paraId="0847505A">
                  <w:pPr>
                    <w:pStyle w:val="62"/>
                    <w:rPr>
                      <w:rFonts w:eastAsia="宋体"/>
                    </w:rPr>
                  </w:pPr>
                  <w:r>
                    <w:rPr>
                      <w:rFonts w:eastAsia="宋体"/>
                    </w:rPr>
                    <w:t>国家或地方污染物排放标准</w:t>
                  </w:r>
                </w:p>
              </w:tc>
              <w:tc>
                <w:tcPr>
                  <w:tcW w:w="542" w:type="pct"/>
                  <w:vMerge w:val="restart"/>
                  <w:vAlign w:val="center"/>
                </w:tcPr>
                <w:p w14:paraId="25ACF2D0">
                  <w:pPr>
                    <w:pStyle w:val="62"/>
                    <w:rPr>
                      <w:rFonts w:eastAsia="宋体"/>
                    </w:rPr>
                  </w:pPr>
                  <w:r>
                    <w:rPr>
                      <w:rFonts w:eastAsia="宋体"/>
                    </w:rPr>
                    <w:t>年排放量/（t/a）</w:t>
                  </w:r>
                </w:p>
              </w:tc>
            </w:tr>
            <w:tr w14:paraId="2031C3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continue"/>
                  <w:vAlign w:val="center"/>
                </w:tcPr>
                <w:p w14:paraId="670FB35C">
                  <w:pPr>
                    <w:pStyle w:val="47"/>
                    <w:rPr>
                      <w:rFonts w:eastAsia="宋体"/>
                    </w:rPr>
                  </w:pPr>
                </w:p>
              </w:tc>
              <w:tc>
                <w:tcPr>
                  <w:tcW w:w="627" w:type="pct"/>
                  <w:vMerge w:val="continue"/>
                  <w:vAlign w:val="center"/>
                </w:tcPr>
                <w:p w14:paraId="0DC711F4">
                  <w:pPr>
                    <w:pStyle w:val="47"/>
                    <w:rPr>
                      <w:rFonts w:eastAsia="宋体"/>
                    </w:rPr>
                  </w:pPr>
                </w:p>
              </w:tc>
              <w:tc>
                <w:tcPr>
                  <w:tcW w:w="720" w:type="pct"/>
                  <w:vMerge w:val="continue"/>
                  <w:vAlign w:val="center"/>
                </w:tcPr>
                <w:p w14:paraId="2E8059F4">
                  <w:pPr>
                    <w:pStyle w:val="47"/>
                    <w:rPr>
                      <w:rFonts w:eastAsia="宋体"/>
                    </w:rPr>
                  </w:pPr>
                </w:p>
              </w:tc>
              <w:tc>
                <w:tcPr>
                  <w:tcW w:w="889" w:type="pct"/>
                  <w:vMerge w:val="continue"/>
                  <w:vAlign w:val="center"/>
                </w:tcPr>
                <w:p w14:paraId="51BB5F11">
                  <w:pPr>
                    <w:pStyle w:val="47"/>
                    <w:rPr>
                      <w:rFonts w:eastAsia="宋体"/>
                    </w:rPr>
                  </w:pPr>
                </w:p>
              </w:tc>
              <w:tc>
                <w:tcPr>
                  <w:tcW w:w="1100" w:type="pct"/>
                  <w:vAlign w:val="center"/>
                </w:tcPr>
                <w:p w14:paraId="6B53B220">
                  <w:pPr>
                    <w:pStyle w:val="62"/>
                    <w:rPr>
                      <w:rFonts w:eastAsia="宋体"/>
                    </w:rPr>
                  </w:pPr>
                  <w:r>
                    <w:rPr>
                      <w:rFonts w:eastAsia="宋体"/>
                    </w:rPr>
                    <w:t>标准名称</w:t>
                  </w:r>
                </w:p>
              </w:tc>
              <w:tc>
                <w:tcPr>
                  <w:tcW w:w="740" w:type="pct"/>
                  <w:vAlign w:val="center"/>
                </w:tcPr>
                <w:p w14:paraId="0C7690A8">
                  <w:pPr>
                    <w:pStyle w:val="62"/>
                    <w:rPr>
                      <w:rFonts w:eastAsia="宋体"/>
                    </w:rPr>
                  </w:pPr>
                  <w:r>
                    <w:rPr>
                      <w:rFonts w:eastAsia="宋体"/>
                    </w:rPr>
                    <w:t>浓度限值/（mg/m</w:t>
                  </w:r>
                  <w:r>
                    <w:rPr>
                      <w:rFonts w:eastAsia="宋体"/>
                      <w:vertAlign w:val="superscript"/>
                    </w:rPr>
                    <w:t>3</w:t>
                  </w:r>
                  <w:r>
                    <w:rPr>
                      <w:rFonts w:eastAsia="宋体"/>
                    </w:rPr>
                    <w:t>）</w:t>
                  </w:r>
                </w:p>
              </w:tc>
              <w:tc>
                <w:tcPr>
                  <w:tcW w:w="542" w:type="pct"/>
                  <w:vMerge w:val="continue"/>
                  <w:vAlign w:val="center"/>
                </w:tcPr>
                <w:p w14:paraId="57A636F3">
                  <w:pPr>
                    <w:pStyle w:val="47"/>
                    <w:rPr>
                      <w:rFonts w:eastAsia="宋体"/>
                    </w:rPr>
                  </w:pPr>
                </w:p>
              </w:tc>
            </w:tr>
            <w:tr w14:paraId="6BD711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382" w:type="pct"/>
                  <w:vMerge w:val="restart"/>
                  <w:vAlign w:val="center"/>
                </w:tcPr>
                <w:p w14:paraId="2157FAE3">
                  <w:pPr>
                    <w:pStyle w:val="47"/>
                    <w:rPr>
                      <w:rFonts w:eastAsia="宋体"/>
                    </w:rPr>
                  </w:pPr>
                  <w:r>
                    <w:rPr>
                      <w:rFonts w:hint="eastAsia" w:eastAsia="宋体"/>
                    </w:rPr>
                    <w:t>3#</w:t>
                  </w:r>
                  <w:r>
                    <w:rPr>
                      <w:rFonts w:eastAsia="宋体"/>
                    </w:rPr>
                    <w:t>车间</w:t>
                  </w:r>
                </w:p>
              </w:tc>
              <w:tc>
                <w:tcPr>
                  <w:tcW w:w="627" w:type="pct"/>
                  <w:vMerge w:val="restart"/>
                  <w:vAlign w:val="center"/>
                </w:tcPr>
                <w:p w14:paraId="6E2CDF0E">
                  <w:pPr>
                    <w:jc w:val="center"/>
                    <w:rPr>
                      <w:spacing w:val="-2"/>
                      <w:kern w:val="28"/>
                      <w:szCs w:val="21"/>
                    </w:rPr>
                  </w:pPr>
                  <w:r>
                    <w:rPr>
                      <w:rFonts w:hint="eastAsia"/>
                      <w:spacing w:val="-2"/>
                      <w:kern w:val="28"/>
                      <w:szCs w:val="21"/>
                    </w:rPr>
                    <w:t>配料、混炼、返炼、挤出</w:t>
                  </w:r>
                </w:p>
              </w:tc>
              <w:tc>
                <w:tcPr>
                  <w:tcW w:w="720" w:type="pct"/>
                  <w:vAlign w:val="center"/>
                </w:tcPr>
                <w:p w14:paraId="71E37691">
                  <w:pPr>
                    <w:jc w:val="center"/>
                    <w:rPr>
                      <w:szCs w:val="21"/>
                    </w:rPr>
                  </w:pPr>
                  <w:r>
                    <w:rPr>
                      <w:rFonts w:hint="eastAsia"/>
                      <w:szCs w:val="21"/>
                    </w:rPr>
                    <w:t>非甲烷总烃</w:t>
                  </w:r>
                </w:p>
              </w:tc>
              <w:tc>
                <w:tcPr>
                  <w:tcW w:w="889" w:type="pct"/>
                  <w:vAlign w:val="center"/>
                </w:tcPr>
                <w:p w14:paraId="1B984EAC">
                  <w:pPr>
                    <w:pStyle w:val="47"/>
                    <w:rPr>
                      <w:rFonts w:eastAsia="宋体"/>
                    </w:rPr>
                  </w:pPr>
                  <w:r>
                    <w:rPr>
                      <w:rFonts w:eastAsia="宋体"/>
                    </w:rPr>
                    <w:t>加强通风</w:t>
                  </w:r>
                </w:p>
              </w:tc>
              <w:tc>
                <w:tcPr>
                  <w:tcW w:w="1100" w:type="pct"/>
                  <w:vMerge w:val="restart"/>
                  <w:vAlign w:val="center"/>
                </w:tcPr>
                <w:p w14:paraId="10127463">
                  <w:pPr>
                    <w:pStyle w:val="47"/>
                    <w:rPr>
                      <w:rFonts w:eastAsia="宋体"/>
                    </w:rPr>
                  </w:pPr>
                  <w:r>
                    <w:rPr>
                      <w:rFonts w:eastAsia="宋体"/>
                    </w:rPr>
                    <w:t>《橡胶制品工业污染物排放标准》（GB27632-2011）、《恶臭污染物排放标准》（GB14554-93）、</w:t>
                  </w:r>
                  <w:r>
                    <w:rPr>
                      <w:rFonts w:eastAsia="宋体"/>
                      <w:bCs/>
                    </w:rPr>
                    <w:t>《大气污染物综合排放标准》（DB32/4041-2021）</w:t>
                  </w:r>
                </w:p>
              </w:tc>
              <w:tc>
                <w:tcPr>
                  <w:tcW w:w="740" w:type="pct"/>
                  <w:vAlign w:val="center"/>
                </w:tcPr>
                <w:p w14:paraId="6EC604D9">
                  <w:pPr>
                    <w:pStyle w:val="47"/>
                    <w:rPr>
                      <w:rFonts w:eastAsia="宋体"/>
                    </w:rPr>
                  </w:pPr>
                  <w:r>
                    <w:rPr>
                      <w:rFonts w:hint="eastAsia" w:eastAsia="宋体"/>
                    </w:rPr>
                    <w:t>4.0</w:t>
                  </w:r>
                </w:p>
              </w:tc>
              <w:tc>
                <w:tcPr>
                  <w:tcW w:w="542" w:type="pct"/>
                  <w:vAlign w:val="center"/>
                </w:tcPr>
                <w:p w14:paraId="49B2CCE5">
                  <w:pPr>
                    <w:widowControl/>
                    <w:jc w:val="center"/>
                    <w:textAlignment w:val="center"/>
                  </w:pPr>
                  <w:r>
                    <w:rPr>
                      <w:kern w:val="0"/>
                      <w:szCs w:val="21"/>
                    </w:rPr>
                    <w:t>0.143</w:t>
                  </w:r>
                </w:p>
              </w:tc>
            </w:tr>
            <w:tr w14:paraId="55759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continue"/>
                  <w:vAlign w:val="center"/>
                </w:tcPr>
                <w:p w14:paraId="71BD1842">
                  <w:pPr>
                    <w:pStyle w:val="47"/>
                    <w:rPr>
                      <w:rFonts w:eastAsia="宋体"/>
                    </w:rPr>
                  </w:pPr>
                </w:p>
              </w:tc>
              <w:tc>
                <w:tcPr>
                  <w:tcW w:w="627" w:type="pct"/>
                  <w:vMerge w:val="continue"/>
                  <w:vAlign w:val="center"/>
                </w:tcPr>
                <w:p w14:paraId="1FCCDF89">
                  <w:pPr>
                    <w:jc w:val="center"/>
                    <w:rPr>
                      <w:spacing w:val="-2"/>
                      <w:kern w:val="28"/>
                      <w:szCs w:val="21"/>
                    </w:rPr>
                  </w:pPr>
                </w:p>
              </w:tc>
              <w:tc>
                <w:tcPr>
                  <w:tcW w:w="720" w:type="pct"/>
                  <w:vAlign w:val="center"/>
                </w:tcPr>
                <w:p w14:paraId="56D69EB0">
                  <w:pPr>
                    <w:jc w:val="center"/>
                    <w:rPr>
                      <w:szCs w:val="21"/>
                    </w:rPr>
                  </w:pPr>
                  <w:r>
                    <w:rPr>
                      <w:rFonts w:hint="eastAsia"/>
                      <w:szCs w:val="21"/>
                    </w:rPr>
                    <w:t>硫化氢</w:t>
                  </w:r>
                </w:p>
              </w:tc>
              <w:tc>
                <w:tcPr>
                  <w:tcW w:w="889" w:type="pct"/>
                  <w:vAlign w:val="center"/>
                </w:tcPr>
                <w:p w14:paraId="6FEC398C">
                  <w:pPr>
                    <w:pStyle w:val="47"/>
                    <w:rPr>
                      <w:rFonts w:eastAsia="宋体"/>
                    </w:rPr>
                  </w:pPr>
                  <w:r>
                    <w:rPr>
                      <w:rFonts w:eastAsia="宋体"/>
                    </w:rPr>
                    <w:t>加强通风</w:t>
                  </w:r>
                </w:p>
              </w:tc>
              <w:tc>
                <w:tcPr>
                  <w:tcW w:w="1100" w:type="pct"/>
                  <w:vMerge w:val="continue"/>
                  <w:vAlign w:val="center"/>
                </w:tcPr>
                <w:p w14:paraId="296D91BD">
                  <w:pPr>
                    <w:pStyle w:val="47"/>
                    <w:rPr>
                      <w:rFonts w:eastAsia="宋体"/>
                    </w:rPr>
                  </w:pPr>
                </w:p>
              </w:tc>
              <w:tc>
                <w:tcPr>
                  <w:tcW w:w="740" w:type="pct"/>
                  <w:vAlign w:val="center"/>
                </w:tcPr>
                <w:p w14:paraId="6154A736">
                  <w:pPr>
                    <w:pStyle w:val="47"/>
                    <w:rPr>
                      <w:rFonts w:eastAsia="宋体"/>
                    </w:rPr>
                  </w:pPr>
                  <w:r>
                    <w:rPr>
                      <w:rFonts w:hint="eastAsia" w:eastAsia="宋体"/>
                    </w:rPr>
                    <w:t>0.06</w:t>
                  </w:r>
                </w:p>
              </w:tc>
              <w:tc>
                <w:tcPr>
                  <w:tcW w:w="542" w:type="pct"/>
                  <w:vAlign w:val="center"/>
                </w:tcPr>
                <w:p w14:paraId="60EE73E2">
                  <w:pPr>
                    <w:widowControl/>
                    <w:jc w:val="center"/>
                    <w:textAlignment w:val="center"/>
                  </w:pPr>
                  <w:r>
                    <w:rPr>
                      <w:kern w:val="0"/>
                      <w:szCs w:val="21"/>
                    </w:rPr>
                    <w:t>0.014</w:t>
                  </w:r>
                </w:p>
              </w:tc>
            </w:tr>
            <w:tr w14:paraId="7B029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continue"/>
                  <w:vAlign w:val="center"/>
                </w:tcPr>
                <w:p w14:paraId="559B9F90">
                  <w:pPr>
                    <w:pStyle w:val="47"/>
                    <w:rPr>
                      <w:rFonts w:eastAsia="宋体"/>
                    </w:rPr>
                  </w:pPr>
                </w:p>
              </w:tc>
              <w:tc>
                <w:tcPr>
                  <w:tcW w:w="627" w:type="pct"/>
                  <w:vMerge w:val="continue"/>
                  <w:vAlign w:val="center"/>
                </w:tcPr>
                <w:p w14:paraId="565B32A0">
                  <w:pPr>
                    <w:pStyle w:val="47"/>
                    <w:rPr>
                      <w:rFonts w:eastAsia="宋体"/>
                    </w:rPr>
                  </w:pPr>
                </w:p>
              </w:tc>
              <w:tc>
                <w:tcPr>
                  <w:tcW w:w="720" w:type="pct"/>
                  <w:vAlign w:val="center"/>
                </w:tcPr>
                <w:p w14:paraId="057BD948">
                  <w:pPr>
                    <w:jc w:val="center"/>
                    <w:rPr>
                      <w:szCs w:val="21"/>
                    </w:rPr>
                  </w:pPr>
                  <w:r>
                    <w:rPr>
                      <w:rFonts w:hint="eastAsia"/>
                      <w:szCs w:val="21"/>
                    </w:rPr>
                    <w:t>颗粒物</w:t>
                  </w:r>
                </w:p>
              </w:tc>
              <w:tc>
                <w:tcPr>
                  <w:tcW w:w="889" w:type="pct"/>
                  <w:vAlign w:val="center"/>
                </w:tcPr>
                <w:p w14:paraId="62E630DE">
                  <w:pPr>
                    <w:pStyle w:val="47"/>
                    <w:rPr>
                      <w:rFonts w:eastAsia="宋体"/>
                    </w:rPr>
                  </w:pPr>
                  <w:r>
                    <w:rPr>
                      <w:rFonts w:eastAsia="宋体"/>
                    </w:rPr>
                    <w:t>加强通风</w:t>
                  </w:r>
                </w:p>
              </w:tc>
              <w:tc>
                <w:tcPr>
                  <w:tcW w:w="1100" w:type="pct"/>
                  <w:vMerge w:val="continue"/>
                  <w:vAlign w:val="center"/>
                </w:tcPr>
                <w:p w14:paraId="159F7DCA">
                  <w:pPr>
                    <w:pStyle w:val="47"/>
                    <w:rPr>
                      <w:rFonts w:eastAsia="宋体"/>
                    </w:rPr>
                  </w:pPr>
                </w:p>
              </w:tc>
              <w:tc>
                <w:tcPr>
                  <w:tcW w:w="740" w:type="pct"/>
                  <w:vAlign w:val="center"/>
                </w:tcPr>
                <w:p w14:paraId="05A13770">
                  <w:pPr>
                    <w:pStyle w:val="47"/>
                    <w:rPr>
                      <w:rFonts w:eastAsia="宋体"/>
                    </w:rPr>
                  </w:pPr>
                  <w:r>
                    <w:rPr>
                      <w:rFonts w:hint="eastAsia" w:eastAsia="宋体"/>
                    </w:rPr>
                    <w:t>1.0</w:t>
                  </w:r>
                </w:p>
              </w:tc>
              <w:tc>
                <w:tcPr>
                  <w:tcW w:w="542" w:type="pct"/>
                  <w:vAlign w:val="center"/>
                </w:tcPr>
                <w:p w14:paraId="18AFA57D">
                  <w:pPr>
                    <w:widowControl/>
                    <w:jc w:val="center"/>
                    <w:textAlignment w:val="center"/>
                  </w:pPr>
                  <w:r>
                    <w:rPr>
                      <w:kern w:val="0"/>
                      <w:szCs w:val="21"/>
                    </w:rPr>
                    <w:t>0.124</w:t>
                  </w:r>
                </w:p>
              </w:tc>
            </w:tr>
            <w:tr w14:paraId="34AAA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restart"/>
                  <w:vAlign w:val="center"/>
                </w:tcPr>
                <w:p w14:paraId="4592D495">
                  <w:pPr>
                    <w:pStyle w:val="47"/>
                    <w:rPr>
                      <w:rFonts w:eastAsia="宋体"/>
                    </w:rPr>
                  </w:pPr>
                  <w:r>
                    <w:rPr>
                      <w:rFonts w:hint="eastAsia" w:eastAsia="宋体"/>
                    </w:rPr>
                    <w:t>1#车间</w:t>
                  </w:r>
                </w:p>
              </w:tc>
              <w:tc>
                <w:tcPr>
                  <w:tcW w:w="627" w:type="pct"/>
                  <w:vMerge w:val="restart"/>
                  <w:vAlign w:val="center"/>
                </w:tcPr>
                <w:p w14:paraId="7A0F0315">
                  <w:pPr>
                    <w:jc w:val="center"/>
                    <w:rPr>
                      <w:spacing w:val="-2"/>
                      <w:kern w:val="28"/>
                      <w:szCs w:val="21"/>
                    </w:rPr>
                  </w:pPr>
                  <w:r>
                    <w:rPr>
                      <w:spacing w:val="-2"/>
                      <w:kern w:val="28"/>
                      <w:szCs w:val="21"/>
                    </w:rPr>
                    <w:t>硫化</w:t>
                  </w:r>
                  <w:r>
                    <w:rPr>
                      <w:rFonts w:hint="eastAsia"/>
                      <w:spacing w:val="-2"/>
                      <w:kern w:val="28"/>
                      <w:szCs w:val="21"/>
                    </w:rPr>
                    <w:t>、二次硫化</w:t>
                  </w:r>
                </w:p>
              </w:tc>
              <w:tc>
                <w:tcPr>
                  <w:tcW w:w="720" w:type="pct"/>
                  <w:vAlign w:val="center"/>
                </w:tcPr>
                <w:p w14:paraId="603FA48F">
                  <w:pPr>
                    <w:jc w:val="center"/>
                    <w:rPr>
                      <w:szCs w:val="21"/>
                    </w:rPr>
                  </w:pPr>
                  <w:r>
                    <w:rPr>
                      <w:rFonts w:hint="eastAsia"/>
                      <w:szCs w:val="21"/>
                    </w:rPr>
                    <w:t>非甲烷总烃</w:t>
                  </w:r>
                </w:p>
              </w:tc>
              <w:tc>
                <w:tcPr>
                  <w:tcW w:w="889" w:type="pct"/>
                  <w:vAlign w:val="center"/>
                </w:tcPr>
                <w:p w14:paraId="1DE49907">
                  <w:pPr>
                    <w:jc w:val="center"/>
                    <w:rPr>
                      <w:szCs w:val="21"/>
                    </w:rPr>
                  </w:pPr>
                  <w:r>
                    <w:rPr>
                      <w:szCs w:val="21"/>
                    </w:rPr>
                    <w:t>加强通风</w:t>
                  </w:r>
                </w:p>
              </w:tc>
              <w:tc>
                <w:tcPr>
                  <w:tcW w:w="1100" w:type="pct"/>
                  <w:vMerge w:val="continue"/>
                  <w:vAlign w:val="center"/>
                </w:tcPr>
                <w:p w14:paraId="1934D29C">
                  <w:pPr>
                    <w:pStyle w:val="47"/>
                    <w:rPr>
                      <w:rFonts w:eastAsia="宋体"/>
                    </w:rPr>
                  </w:pPr>
                </w:p>
              </w:tc>
              <w:tc>
                <w:tcPr>
                  <w:tcW w:w="740" w:type="pct"/>
                  <w:vAlign w:val="center"/>
                </w:tcPr>
                <w:p w14:paraId="243B60B5">
                  <w:pPr>
                    <w:pStyle w:val="47"/>
                    <w:rPr>
                      <w:rFonts w:eastAsia="宋体"/>
                    </w:rPr>
                  </w:pPr>
                  <w:r>
                    <w:rPr>
                      <w:rFonts w:hint="eastAsia" w:eastAsia="宋体"/>
                    </w:rPr>
                    <w:t>4.0</w:t>
                  </w:r>
                </w:p>
              </w:tc>
              <w:tc>
                <w:tcPr>
                  <w:tcW w:w="542" w:type="pct"/>
                  <w:vAlign w:val="center"/>
                </w:tcPr>
                <w:p w14:paraId="34ABDD2A">
                  <w:pPr>
                    <w:widowControl/>
                    <w:jc w:val="center"/>
                    <w:textAlignment w:val="center"/>
                  </w:pPr>
                  <w:r>
                    <w:rPr>
                      <w:kern w:val="0"/>
                      <w:szCs w:val="21"/>
                    </w:rPr>
                    <w:t>0.061</w:t>
                  </w:r>
                </w:p>
              </w:tc>
            </w:tr>
            <w:tr w14:paraId="4395AC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continue"/>
                  <w:vAlign w:val="center"/>
                </w:tcPr>
                <w:p w14:paraId="4905307D">
                  <w:pPr>
                    <w:pStyle w:val="47"/>
                    <w:rPr>
                      <w:rFonts w:eastAsia="宋体"/>
                    </w:rPr>
                  </w:pPr>
                </w:p>
              </w:tc>
              <w:tc>
                <w:tcPr>
                  <w:tcW w:w="627" w:type="pct"/>
                  <w:vMerge w:val="continue"/>
                  <w:vAlign w:val="center"/>
                </w:tcPr>
                <w:p w14:paraId="2E5AB93F">
                  <w:pPr>
                    <w:jc w:val="center"/>
                    <w:rPr>
                      <w:szCs w:val="21"/>
                    </w:rPr>
                  </w:pPr>
                </w:p>
              </w:tc>
              <w:tc>
                <w:tcPr>
                  <w:tcW w:w="720" w:type="pct"/>
                  <w:vAlign w:val="center"/>
                </w:tcPr>
                <w:p w14:paraId="6E16E2C9">
                  <w:pPr>
                    <w:jc w:val="center"/>
                    <w:rPr>
                      <w:szCs w:val="21"/>
                    </w:rPr>
                  </w:pPr>
                  <w:r>
                    <w:rPr>
                      <w:rFonts w:hint="eastAsia"/>
                      <w:szCs w:val="21"/>
                    </w:rPr>
                    <w:t>硫化氢</w:t>
                  </w:r>
                </w:p>
              </w:tc>
              <w:tc>
                <w:tcPr>
                  <w:tcW w:w="889" w:type="pct"/>
                  <w:vAlign w:val="center"/>
                </w:tcPr>
                <w:p w14:paraId="5B3065C0">
                  <w:pPr>
                    <w:jc w:val="center"/>
                    <w:rPr>
                      <w:szCs w:val="21"/>
                    </w:rPr>
                  </w:pPr>
                  <w:r>
                    <w:rPr>
                      <w:szCs w:val="21"/>
                    </w:rPr>
                    <w:t>加强通风</w:t>
                  </w:r>
                </w:p>
              </w:tc>
              <w:tc>
                <w:tcPr>
                  <w:tcW w:w="1100" w:type="pct"/>
                  <w:vMerge w:val="continue"/>
                  <w:vAlign w:val="center"/>
                </w:tcPr>
                <w:p w14:paraId="6E888413">
                  <w:pPr>
                    <w:pStyle w:val="47"/>
                    <w:rPr>
                      <w:rFonts w:eastAsia="宋体"/>
                    </w:rPr>
                  </w:pPr>
                </w:p>
              </w:tc>
              <w:tc>
                <w:tcPr>
                  <w:tcW w:w="740" w:type="pct"/>
                  <w:vAlign w:val="center"/>
                </w:tcPr>
                <w:p w14:paraId="059A8E99">
                  <w:pPr>
                    <w:pStyle w:val="47"/>
                    <w:rPr>
                      <w:rFonts w:eastAsia="宋体"/>
                    </w:rPr>
                  </w:pPr>
                  <w:r>
                    <w:rPr>
                      <w:rFonts w:hint="eastAsia" w:eastAsia="宋体"/>
                    </w:rPr>
                    <w:t>0.06</w:t>
                  </w:r>
                </w:p>
              </w:tc>
              <w:tc>
                <w:tcPr>
                  <w:tcW w:w="542" w:type="pct"/>
                  <w:vAlign w:val="center"/>
                </w:tcPr>
                <w:p w14:paraId="5C081388">
                  <w:pPr>
                    <w:widowControl/>
                    <w:jc w:val="center"/>
                    <w:textAlignment w:val="center"/>
                  </w:pPr>
                  <w:r>
                    <w:rPr>
                      <w:kern w:val="0"/>
                      <w:szCs w:val="21"/>
                    </w:rPr>
                    <w:t>0.017</w:t>
                  </w:r>
                </w:p>
              </w:tc>
            </w:tr>
            <w:tr w14:paraId="75100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continue"/>
                  <w:vAlign w:val="center"/>
                </w:tcPr>
                <w:p w14:paraId="1224AB19">
                  <w:pPr>
                    <w:pStyle w:val="47"/>
                    <w:rPr>
                      <w:rFonts w:eastAsia="宋体"/>
                    </w:rPr>
                  </w:pPr>
                </w:p>
              </w:tc>
              <w:tc>
                <w:tcPr>
                  <w:tcW w:w="627" w:type="pct"/>
                  <w:vMerge w:val="continue"/>
                  <w:vAlign w:val="center"/>
                </w:tcPr>
                <w:p w14:paraId="3C321FD7">
                  <w:pPr>
                    <w:jc w:val="center"/>
                    <w:rPr>
                      <w:szCs w:val="21"/>
                    </w:rPr>
                  </w:pPr>
                </w:p>
              </w:tc>
              <w:tc>
                <w:tcPr>
                  <w:tcW w:w="720" w:type="pct"/>
                  <w:vAlign w:val="center"/>
                </w:tcPr>
                <w:p w14:paraId="05996623">
                  <w:pPr>
                    <w:jc w:val="center"/>
                    <w:rPr>
                      <w:szCs w:val="21"/>
                    </w:rPr>
                  </w:pPr>
                  <w:r>
                    <w:rPr>
                      <w:rFonts w:hint="eastAsia"/>
                      <w:szCs w:val="21"/>
                    </w:rPr>
                    <w:t>氟化物</w:t>
                  </w:r>
                </w:p>
              </w:tc>
              <w:tc>
                <w:tcPr>
                  <w:tcW w:w="889" w:type="pct"/>
                  <w:vAlign w:val="center"/>
                </w:tcPr>
                <w:p w14:paraId="582F8D7B">
                  <w:pPr>
                    <w:pStyle w:val="47"/>
                    <w:rPr>
                      <w:rFonts w:eastAsia="宋体"/>
                    </w:rPr>
                  </w:pPr>
                  <w:r>
                    <w:rPr>
                      <w:rFonts w:eastAsia="宋体"/>
                    </w:rPr>
                    <w:t>加强通风</w:t>
                  </w:r>
                </w:p>
              </w:tc>
              <w:tc>
                <w:tcPr>
                  <w:tcW w:w="1100" w:type="pct"/>
                  <w:vMerge w:val="continue"/>
                  <w:vAlign w:val="center"/>
                </w:tcPr>
                <w:p w14:paraId="7D96C9FA">
                  <w:pPr>
                    <w:pStyle w:val="47"/>
                    <w:rPr>
                      <w:rFonts w:eastAsia="宋体"/>
                    </w:rPr>
                  </w:pPr>
                </w:p>
              </w:tc>
              <w:tc>
                <w:tcPr>
                  <w:tcW w:w="740" w:type="pct"/>
                  <w:vAlign w:val="center"/>
                </w:tcPr>
                <w:p w14:paraId="20924060">
                  <w:pPr>
                    <w:pStyle w:val="47"/>
                    <w:rPr>
                      <w:rFonts w:eastAsia="宋体"/>
                    </w:rPr>
                  </w:pPr>
                  <w:r>
                    <w:rPr>
                      <w:rFonts w:hint="eastAsia" w:eastAsia="宋体"/>
                    </w:rPr>
                    <w:t>0.02</w:t>
                  </w:r>
                </w:p>
              </w:tc>
              <w:tc>
                <w:tcPr>
                  <w:tcW w:w="542" w:type="pct"/>
                  <w:vAlign w:val="center"/>
                </w:tcPr>
                <w:p w14:paraId="24B1F804">
                  <w:pPr>
                    <w:widowControl/>
                    <w:jc w:val="center"/>
                    <w:textAlignment w:val="center"/>
                  </w:pPr>
                  <w:r>
                    <w:rPr>
                      <w:kern w:val="0"/>
                      <w:szCs w:val="21"/>
                    </w:rPr>
                    <w:t>0.000105</w:t>
                  </w:r>
                </w:p>
              </w:tc>
            </w:tr>
            <w:tr w14:paraId="1008F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restart"/>
                  <w:vAlign w:val="center"/>
                </w:tcPr>
                <w:p w14:paraId="4BCE3ED3">
                  <w:pPr>
                    <w:pStyle w:val="47"/>
                    <w:rPr>
                      <w:rFonts w:eastAsia="宋体"/>
                    </w:rPr>
                  </w:pPr>
                  <w:r>
                    <w:rPr>
                      <w:rFonts w:hint="eastAsia" w:eastAsia="宋体"/>
                    </w:rPr>
                    <w:t>4#车间</w:t>
                  </w:r>
                </w:p>
              </w:tc>
              <w:tc>
                <w:tcPr>
                  <w:tcW w:w="627" w:type="pct"/>
                  <w:vMerge w:val="restart"/>
                  <w:vAlign w:val="center"/>
                </w:tcPr>
                <w:p w14:paraId="5BD990E5">
                  <w:pPr>
                    <w:jc w:val="center"/>
                    <w:rPr>
                      <w:spacing w:val="-2"/>
                      <w:kern w:val="28"/>
                      <w:szCs w:val="21"/>
                    </w:rPr>
                  </w:pPr>
                  <w:r>
                    <w:rPr>
                      <w:rFonts w:hint="eastAsia"/>
                      <w:spacing w:val="-2"/>
                      <w:kern w:val="28"/>
                      <w:szCs w:val="21"/>
                    </w:rPr>
                    <w:t>浸喷涂胶及干燥、</w:t>
                  </w:r>
                  <w:r>
                    <w:rPr>
                      <w:spacing w:val="-2"/>
                      <w:kern w:val="28"/>
                      <w:szCs w:val="21"/>
                    </w:rPr>
                    <w:t>硫化</w:t>
                  </w:r>
                  <w:r>
                    <w:rPr>
                      <w:rFonts w:hint="eastAsia"/>
                      <w:spacing w:val="-2"/>
                      <w:kern w:val="28"/>
                      <w:szCs w:val="21"/>
                    </w:rPr>
                    <w:t>、二次硫化</w:t>
                  </w:r>
                </w:p>
              </w:tc>
              <w:tc>
                <w:tcPr>
                  <w:tcW w:w="720" w:type="pct"/>
                  <w:vAlign w:val="center"/>
                </w:tcPr>
                <w:p w14:paraId="6032BFCB">
                  <w:pPr>
                    <w:jc w:val="center"/>
                    <w:rPr>
                      <w:szCs w:val="21"/>
                    </w:rPr>
                  </w:pPr>
                  <w:r>
                    <w:rPr>
                      <w:rFonts w:hint="eastAsia"/>
                      <w:szCs w:val="21"/>
                    </w:rPr>
                    <w:t>非甲烷总烃</w:t>
                  </w:r>
                </w:p>
              </w:tc>
              <w:tc>
                <w:tcPr>
                  <w:tcW w:w="889" w:type="pct"/>
                  <w:vAlign w:val="center"/>
                </w:tcPr>
                <w:p w14:paraId="20A0C9E4">
                  <w:pPr>
                    <w:pStyle w:val="47"/>
                  </w:pPr>
                  <w:r>
                    <w:rPr>
                      <w:rFonts w:eastAsia="宋体"/>
                    </w:rPr>
                    <w:t>加强通风</w:t>
                  </w:r>
                </w:p>
              </w:tc>
              <w:tc>
                <w:tcPr>
                  <w:tcW w:w="1100" w:type="pct"/>
                  <w:vMerge w:val="continue"/>
                  <w:vAlign w:val="center"/>
                </w:tcPr>
                <w:p w14:paraId="3F7C10C4">
                  <w:pPr>
                    <w:pStyle w:val="47"/>
                    <w:rPr>
                      <w:rFonts w:eastAsia="宋体"/>
                    </w:rPr>
                  </w:pPr>
                </w:p>
              </w:tc>
              <w:tc>
                <w:tcPr>
                  <w:tcW w:w="740" w:type="pct"/>
                  <w:vAlign w:val="center"/>
                </w:tcPr>
                <w:p w14:paraId="30B92769">
                  <w:pPr>
                    <w:pStyle w:val="47"/>
                    <w:rPr>
                      <w:rFonts w:eastAsia="宋体"/>
                    </w:rPr>
                  </w:pPr>
                  <w:r>
                    <w:rPr>
                      <w:rFonts w:hint="eastAsia" w:eastAsia="宋体"/>
                    </w:rPr>
                    <w:t>4.0</w:t>
                  </w:r>
                </w:p>
              </w:tc>
              <w:tc>
                <w:tcPr>
                  <w:tcW w:w="542" w:type="pct"/>
                  <w:vAlign w:val="center"/>
                </w:tcPr>
                <w:p w14:paraId="0F6393F8">
                  <w:pPr>
                    <w:widowControl/>
                    <w:jc w:val="center"/>
                    <w:textAlignment w:val="center"/>
                  </w:pPr>
                  <w:r>
                    <w:rPr>
                      <w:rFonts w:hint="eastAsia"/>
                      <w:kern w:val="0"/>
                      <w:szCs w:val="21"/>
                    </w:rPr>
                    <w:t>0.0611</w:t>
                  </w:r>
                </w:p>
              </w:tc>
            </w:tr>
            <w:tr w14:paraId="6DC089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continue"/>
                  <w:vAlign w:val="center"/>
                </w:tcPr>
                <w:p w14:paraId="2E7C7E5D">
                  <w:pPr>
                    <w:pStyle w:val="47"/>
                    <w:rPr>
                      <w:rFonts w:eastAsia="宋体"/>
                    </w:rPr>
                  </w:pPr>
                </w:p>
              </w:tc>
              <w:tc>
                <w:tcPr>
                  <w:tcW w:w="627" w:type="pct"/>
                  <w:vMerge w:val="continue"/>
                  <w:vAlign w:val="center"/>
                </w:tcPr>
                <w:p w14:paraId="5D3B4A88">
                  <w:pPr>
                    <w:jc w:val="center"/>
                    <w:rPr>
                      <w:spacing w:val="-2"/>
                      <w:kern w:val="28"/>
                      <w:szCs w:val="21"/>
                    </w:rPr>
                  </w:pPr>
                </w:p>
              </w:tc>
              <w:tc>
                <w:tcPr>
                  <w:tcW w:w="720" w:type="pct"/>
                  <w:vAlign w:val="center"/>
                </w:tcPr>
                <w:p w14:paraId="54F86895">
                  <w:pPr>
                    <w:jc w:val="center"/>
                    <w:rPr>
                      <w:szCs w:val="21"/>
                    </w:rPr>
                  </w:pPr>
                  <w:r>
                    <w:rPr>
                      <w:rFonts w:hint="eastAsia"/>
                      <w:szCs w:val="21"/>
                    </w:rPr>
                    <w:t>硫化氢</w:t>
                  </w:r>
                </w:p>
              </w:tc>
              <w:tc>
                <w:tcPr>
                  <w:tcW w:w="889" w:type="pct"/>
                  <w:vAlign w:val="center"/>
                </w:tcPr>
                <w:p w14:paraId="1FDA3507">
                  <w:pPr>
                    <w:pStyle w:val="47"/>
                  </w:pPr>
                  <w:r>
                    <w:rPr>
                      <w:rFonts w:eastAsia="宋体"/>
                    </w:rPr>
                    <w:t>加强通风</w:t>
                  </w:r>
                </w:p>
              </w:tc>
              <w:tc>
                <w:tcPr>
                  <w:tcW w:w="1100" w:type="pct"/>
                  <w:vMerge w:val="continue"/>
                  <w:vAlign w:val="center"/>
                </w:tcPr>
                <w:p w14:paraId="67838ADD">
                  <w:pPr>
                    <w:pStyle w:val="47"/>
                    <w:rPr>
                      <w:rFonts w:eastAsia="宋体"/>
                    </w:rPr>
                  </w:pPr>
                </w:p>
              </w:tc>
              <w:tc>
                <w:tcPr>
                  <w:tcW w:w="740" w:type="pct"/>
                  <w:vAlign w:val="center"/>
                </w:tcPr>
                <w:p w14:paraId="3D2EA8B4">
                  <w:pPr>
                    <w:pStyle w:val="47"/>
                    <w:rPr>
                      <w:rFonts w:eastAsia="宋体"/>
                    </w:rPr>
                  </w:pPr>
                  <w:r>
                    <w:rPr>
                      <w:rFonts w:hint="eastAsia" w:eastAsia="宋体"/>
                    </w:rPr>
                    <w:t>0.06</w:t>
                  </w:r>
                </w:p>
              </w:tc>
              <w:tc>
                <w:tcPr>
                  <w:tcW w:w="542" w:type="pct"/>
                  <w:vAlign w:val="center"/>
                </w:tcPr>
                <w:p w14:paraId="1C8E3096">
                  <w:pPr>
                    <w:widowControl/>
                    <w:jc w:val="center"/>
                    <w:textAlignment w:val="center"/>
                  </w:pPr>
                  <w:r>
                    <w:rPr>
                      <w:kern w:val="0"/>
                      <w:szCs w:val="21"/>
                    </w:rPr>
                    <w:t>0.017</w:t>
                  </w:r>
                </w:p>
              </w:tc>
            </w:tr>
            <w:tr w14:paraId="511884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82" w:type="pct"/>
                  <w:vMerge w:val="continue"/>
                  <w:vAlign w:val="center"/>
                </w:tcPr>
                <w:p w14:paraId="22CB4B0C">
                  <w:pPr>
                    <w:pStyle w:val="47"/>
                    <w:rPr>
                      <w:rFonts w:eastAsia="宋体"/>
                    </w:rPr>
                  </w:pPr>
                </w:p>
              </w:tc>
              <w:tc>
                <w:tcPr>
                  <w:tcW w:w="627" w:type="pct"/>
                  <w:vMerge w:val="continue"/>
                  <w:vAlign w:val="center"/>
                </w:tcPr>
                <w:p w14:paraId="2BD1C6E2">
                  <w:pPr>
                    <w:jc w:val="center"/>
                    <w:rPr>
                      <w:spacing w:val="-2"/>
                      <w:kern w:val="28"/>
                      <w:szCs w:val="21"/>
                    </w:rPr>
                  </w:pPr>
                </w:p>
              </w:tc>
              <w:tc>
                <w:tcPr>
                  <w:tcW w:w="720" w:type="pct"/>
                  <w:vAlign w:val="center"/>
                </w:tcPr>
                <w:p w14:paraId="63A2D92A">
                  <w:pPr>
                    <w:jc w:val="center"/>
                    <w:rPr>
                      <w:szCs w:val="21"/>
                    </w:rPr>
                  </w:pPr>
                  <w:r>
                    <w:rPr>
                      <w:rFonts w:hint="eastAsia"/>
                      <w:szCs w:val="21"/>
                    </w:rPr>
                    <w:t>氟化物</w:t>
                  </w:r>
                </w:p>
              </w:tc>
              <w:tc>
                <w:tcPr>
                  <w:tcW w:w="889" w:type="pct"/>
                  <w:vAlign w:val="center"/>
                </w:tcPr>
                <w:p w14:paraId="4EFBE79D">
                  <w:pPr>
                    <w:pStyle w:val="47"/>
                  </w:pPr>
                  <w:r>
                    <w:rPr>
                      <w:rFonts w:eastAsia="宋体"/>
                    </w:rPr>
                    <w:t>加强通风</w:t>
                  </w:r>
                </w:p>
              </w:tc>
              <w:tc>
                <w:tcPr>
                  <w:tcW w:w="1100" w:type="pct"/>
                  <w:vMerge w:val="continue"/>
                  <w:vAlign w:val="center"/>
                </w:tcPr>
                <w:p w14:paraId="53368961">
                  <w:pPr>
                    <w:pStyle w:val="47"/>
                    <w:rPr>
                      <w:rFonts w:eastAsia="宋体"/>
                    </w:rPr>
                  </w:pPr>
                </w:p>
              </w:tc>
              <w:tc>
                <w:tcPr>
                  <w:tcW w:w="740" w:type="pct"/>
                  <w:vAlign w:val="center"/>
                </w:tcPr>
                <w:p w14:paraId="29FDA9F8">
                  <w:pPr>
                    <w:pStyle w:val="47"/>
                    <w:rPr>
                      <w:rFonts w:eastAsia="宋体"/>
                    </w:rPr>
                  </w:pPr>
                  <w:r>
                    <w:rPr>
                      <w:rFonts w:hint="eastAsia" w:eastAsia="宋体"/>
                    </w:rPr>
                    <w:t>0.02</w:t>
                  </w:r>
                </w:p>
              </w:tc>
              <w:tc>
                <w:tcPr>
                  <w:tcW w:w="542" w:type="pct"/>
                  <w:vAlign w:val="center"/>
                </w:tcPr>
                <w:p w14:paraId="5813FB9F">
                  <w:pPr>
                    <w:widowControl/>
                    <w:jc w:val="center"/>
                    <w:textAlignment w:val="center"/>
                  </w:pPr>
                  <w:r>
                    <w:rPr>
                      <w:kern w:val="0"/>
                      <w:szCs w:val="21"/>
                    </w:rPr>
                    <w:t>0.000105</w:t>
                  </w:r>
                </w:p>
              </w:tc>
            </w:tr>
            <w:tr w14:paraId="063671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7"/>
                  <w:vAlign w:val="center"/>
                </w:tcPr>
                <w:p w14:paraId="0EB5A961">
                  <w:pPr>
                    <w:pStyle w:val="47"/>
                    <w:rPr>
                      <w:rFonts w:eastAsia="宋体"/>
                    </w:rPr>
                  </w:pPr>
                  <w:r>
                    <w:rPr>
                      <w:rFonts w:eastAsia="宋体"/>
                    </w:rPr>
                    <w:t>无组织排放</w:t>
                  </w:r>
                </w:p>
              </w:tc>
            </w:tr>
            <w:tr w14:paraId="2096D2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9" w:type="pct"/>
                  <w:gridSpan w:val="3"/>
                  <w:vMerge w:val="restart"/>
                  <w:vAlign w:val="center"/>
                </w:tcPr>
                <w:p w14:paraId="00A7CDC5">
                  <w:pPr>
                    <w:pStyle w:val="47"/>
                    <w:rPr>
                      <w:rFonts w:eastAsia="宋体"/>
                    </w:rPr>
                  </w:pPr>
                  <w:r>
                    <w:rPr>
                      <w:rFonts w:eastAsia="宋体"/>
                    </w:rPr>
                    <w:t>无组织排放总计</w:t>
                  </w:r>
                </w:p>
              </w:tc>
              <w:tc>
                <w:tcPr>
                  <w:tcW w:w="2730" w:type="pct"/>
                  <w:gridSpan w:val="3"/>
                  <w:vAlign w:val="bottom"/>
                </w:tcPr>
                <w:p w14:paraId="3C01A78B">
                  <w:pPr>
                    <w:jc w:val="center"/>
                    <w:rPr>
                      <w:szCs w:val="21"/>
                    </w:rPr>
                  </w:pPr>
                  <w:r>
                    <w:rPr>
                      <w:rFonts w:hint="eastAsia"/>
                      <w:szCs w:val="21"/>
                    </w:rPr>
                    <w:t>颗粒物</w:t>
                  </w:r>
                </w:p>
              </w:tc>
              <w:tc>
                <w:tcPr>
                  <w:tcW w:w="542" w:type="pct"/>
                  <w:vAlign w:val="center"/>
                </w:tcPr>
                <w:p w14:paraId="7CB95ED6">
                  <w:pPr>
                    <w:jc w:val="center"/>
                    <w:rPr>
                      <w:szCs w:val="21"/>
                    </w:rPr>
                  </w:pPr>
                  <w:r>
                    <w:rPr>
                      <w:szCs w:val="21"/>
                    </w:rPr>
                    <w:t>0.124</w:t>
                  </w:r>
                </w:p>
              </w:tc>
            </w:tr>
            <w:tr w14:paraId="61B8B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9" w:type="pct"/>
                  <w:gridSpan w:val="3"/>
                  <w:vMerge w:val="continue"/>
                  <w:vAlign w:val="center"/>
                </w:tcPr>
                <w:p w14:paraId="5E59258E">
                  <w:pPr>
                    <w:pStyle w:val="47"/>
                    <w:rPr>
                      <w:rFonts w:eastAsia="宋体"/>
                    </w:rPr>
                  </w:pPr>
                </w:p>
              </w:tc>
              <w:tc>
                <w:tcPr>
                  <w:tcW w:w="2730" w:type="pct"/>
                  <w:gridSpan w:val="3"/>
                  <w:vAlign w:val="bottom"/>
                </w:tcPr>
                <w:p w14:paraId="0F30E284">
                  <w:pPr>
                    <w:jc w:val="center"/>
                    <w:rPr>
                      <w:szCs w:val="21"/>
                    </w:rPr>
                  </w:pPr>
                  <w:r>
                    <w:rPr>
                      <w:rFonts w:hint="eastAsia"/>
                      <w:szCs w:val="21"/>
                    </w:rPr>
                    <w:t>非甲烷总烃</w:t>
                  </w:r>
                </w:p>
              </w:tc>
              <w:tc>
                <w:tcPr>
                  <w:tcW w:w="542" w:type="pct"/>
                  <w:vAlign w:val="center"/>
                </w:tcPr>
                <w:p w14:paraId="63F22A8E">
                  <w:pPr>
                    <w:jc w:val="center"/>
                    <w:rPr>
                      <w:szCs w:val="21"/>
                    </w:rPr>
                  </w:pPr>
                  <w:r>
                    <w:rPr>
                      <w:rFonts w:hint="eastAsia"/>
                      <w:szCs w:val="21"/>
                    </w:rPr>
                    <w:t>0.2651</w:t>
                  </w:r>
                </w:p>
              </w:tc>
            </w:tr>
            <w:tr w14:paraId="05184D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9" w:type="pct"/>
                  <w:gridSpan w:val="3"/>
                  <w:vMerge w:val="continue"/>
                  <w:vAlign w:val="center"/>
                </w:tcPr>
                <w:p w14:paraId="7AEADCFC">
                  <w:pPr>
                    <w:pStyle w:val="47"/>
                    <w:rPr>
                      <w:rFonts w:eastAsia="宋体"/>
                    </w:rPr>
                  </w:pPr>
                </w:p>
              </w:tc>
              <w:tc>
                <w:tcPr>
                  <w:tcW w:w="2730" w:type="pct"/>
                  <w:gridSpan w:val="3"/>
                  <w:vAlign w:val="bottom"/>
                </w:tcPr>
                <w:p w14:paraId="5FA398C2">
                  <w:pPr>
                    <w:jc w:val="center"/>
                    <w:rPr>
                      <w:szCs w:val="21"/>
                    </w:rPr>
                  </w:pPr>
                  <w:r>
                    <w:rPr>
                      <w:rFonts w:hint="eastAsia"/>
                      <w:szCs w:val="21"/>
                    </w:rPr>
                    <w:t>硫化氢</w:t>
                  </w:r>
                </w:p>
              </w:tc>
              <w:tc>
                <w:tcPr>
                  <w:tcW w:w="542" w:type="pct"/>
                  <w:vAlign w:val="center"/>
                </w:tcPr>
                <w:p w14:paraId="2D4CA317">
                  <w:pPr>
                    <w:jc w:val="center"/>
                    <w:rPr>
                      <w:szCs w:val="21"/>
                    </w:rPr>
                  </w:pPr>
                  <w:r>
                    <w:rPr>
                      <w:szCs w:val="21"/>
                    </w:rPr>
                    <w:t>0.048</w:t>
                  </w:r>
                </w:p>
              </w:tc>
            </w:tr>
            <w:tr w14:paraId="4DB5D4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9" w:type="pct"/>
                  <w:gridSpan w:val="3"/>
                  <w:vMerge w:val="continue"/>
                  <w:vAlign w:val="center"/>
                </w:tcPr>
                <w:p w14:paraId="3226586A">
                  <w:pPr>
                    <w:pStyle w:val="47"/>
                    <w:rPr>
                      <w:rFonts w:eastAsia="宋体"/>
                    </w:rPr>
                  </w:pPr>
                </w:p>
              </w:tc>
              <w:tc>
                <w:tcPr>
                  <w:tcW w:w="2730" w:type="pct"/>
                  <w:gridSpan w:val="3"/>
                  <w:vAlign w:val="bottom"/>
                </w:tcPr>
                <w:p w14:paraId="511CDEE4">
                  <w:pPr>
                    <w:jc w:val="center"/>
                    <w:rPr>
                      <w:szCs w:val="21"/>
                    </w:rPr>
                  </w:pPr>
                  <w:r>
                    <w:rPr>
                      <w:rFonts w:hint="eastAsia"/>
                      <w:szCs w:val="21"/>
                    </w:rPr>
                    <w:t>氟化物</w:t>
                  </w:r>
                </w:p>
              </w:tc>
              <w:tc>
                <w:tcPr>
                  <w:tcW w:w="542" w:type="pct"/>
                  <w:vAlign w:val="center"/>
                </w:tcPr>
                <w:p w14:paraId="3480EC79">
                  <w:pPr>
                    <w:jc w:val="center"/>
                    <w:rPr>
                      <w:szCs w:val="21"/>
                    </w:rPr>
                  </w:pPr>
                  <w:r>
                    <w:rPr>
                      <w:szCs w:val="21"/>
                    </w:rPr>
                    <w:t>0.00021</w:t>
                  </w:r>
                </w:p>
              </w:tc>
            </w:tr>
          </w:tbl>
          <w:p w14:paraId="0A8833FD">
            <w:pPr>
              <w:pStyle w:val="46"/>
              <w:adjustRightInd w:val="0"/>
              <w:snapToGrid w:val="0"/>
              <w:spacing w:beforeLines="50" w:afterLines="0"/>
              <w:rPr>
                <w:rFonts w:eastAsia="宋体"/>
                <w:sz w:val="21"/>
                <w:szCs w:val="21"/>
              </w:rPr>
            </w:pPr>
            <w:r>
              <w:rPr>
                <w:rFonts w:eastAsia="宋体"/>
                <w:sz w:val="21"/>
                <w:szCs w:val="21"/>
              </w:rPr>
              <w:t>表4-11  扩建项目大气污染物年排放量核算表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3484"/>
              <w:gridCol w:w="3383"/>
            </w:tblGrid>
            <w:tr w14:paraId="1270F7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vAlign w:val="center"/>
                </w:tcPr>
                <w:p w14:paraId="335B57D4">
                  <w:pPr>
                    <w:pStyle w:val="58"/>
                    <w:rPr>
                      <w:rFonts w:eastAsia="宋体"/>
                      <w:szCs w:val="21"/>
                    </w:rPr>
                  </w:pPr>
                  <w:r>
                    <w:rPr>
                      <w:rFonts w:eastAsia="宋体"/>
                      <w:szCs w:val="21"/>
                    </w:rPr>
                    <w:t>序号</w:t>
                  </w:r>
                </w:p>
              </w:tc>
              <w:tc>
                <w:tcPr>
                  <w:tcW w:w="1929" w:type="pct"/>
                  <w:vAlign w:val="center"/>
                </w:tcPr>
                <w:p w14:paraId="283DC09C">
                  <w:pPr>
                    <w:pStyle w:val="58"/>
                    <w:rPr>
                      <w:rFonts w:eastAsia="宋体"/>
                      <w:szCs w:val="21"/>
                    </w:rPr>
                  </w:pPr>
                  <w:r>
                    <w:rPr>
                      <w:rFonts w:eastAsia="宋体"/>
                      <w:szCs w:val="21"/>
                    </w:rPr>
                    <w:t>污染物</w:t>
                  </w:r>
                </w:p>
              </w:tc>
              <w:tc>
                <w:tcPr>
                  <w:tcW w:w="1873" w:type="pct"/>
                  <w:vAlign w:val="center"/>
                </w:tcPr>
                <w:p w14:paraId="618D146B">
                  <w:pPr>
                    <w:pStyle w:val="58"/>
                    <w:rPr>
                      <w:rFonts w:eastAsia="宋体"/>
                      <w:szCs w:val="21"/>
                    </w:rPr>
                  </w:pPr>
                  <w:r>
                    <w:rPr>
                      <w:rFonts w:eastAsia="宋体"/>
                      <w:szCs w:val="21"/>
                    </w:rPr>
                    <w:t>年排放量/（t/a）</w:t>
                  </w:r>
                </w:p>
              </w:tc>
            </w:tr>
            <w:tr w14:paraId="023E9F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vAlign w:val="center"/>
                </w:tcPr>
                <w:p w14:paraId="499B384D">
                  <w:pPr>
                    <w:pStyle w:val="47"/>
                    <w:rPr>
                      <w:rFonts w:eastAsia="宋体"/>
                    </w:rPr>
                  </w:pPr>
                  <w:r>
                    <w:rPr>
                      <w:rFonts w:eastAsia="宋体"/>
                    </w:rPr>
                    <w:t>1</w:t>
                  </w:r>
                </w:p>
              </w:tc>
              <w:tc>
                <w:tcPr>
                  <w:tcW w:w="1929" w:type="pct"/>
                  <w:vAlign w:val="bottom"/>
                </w:tcPr>
                <w:p w14:paraId="371C9CB3">
                  <w:pPr>
                    <w:jc w:val="center"/>
                  </w:pPr>
                  <w:r>
                    <w:rPr>
                      <w:rFonts w:hint="eastAsia"/>
                      <w:szCs w:val="21"/>
                    </w:rPr>
                    <w:t>颗粒物</w:t>
                  </w:r>
                </w:p>
              </w:tc>
              <w:tc>
                <w:tcPr>
                  <w:tcW w:w="1873" w:type="pct"/>
                  <w:vAlign w:val="center"/>
                </w:tcPr>
                <w:p w14:paraId="0C4CA2CC">
                  <w:pPr>
                    <w:jc w:val="center"/>
                    <w:rPr>
                      <w:szCs w:val="21"/>
                    </w:rPr>
                  </w:pPr>
                  <w:r>
                    <w:rPr>
                      <w:szCs w:val="21"/>
                    </w:rPr>
                    <w:t>0.137</w:t>
                  </w:r>
                </w:p>
              </w:tc>
            </w:tr>
            <w:tr w14:paraId="7898B9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shd w:val="clear" w:color="auto" w:fill="auto"/>
                  <w:vAlign w:val="center"/>
                </w:tcPr>
                <w:p w14:paraId="716CAD1D">
                  <w:pPr>
                    <w:pStyle w:val="47"/>
                    <w:rPr>
                      <w:rFonts w:eastAsia="宋体"/>
                    </w:rPr>
                  </w:pPr>
                  <w:r>
                    <w:rPr>
                      <w:rFonts w:eastAsia="宋体"/>
                    </w:rPr>
                    <w:t>2</w:t>
                  </w:r>
                </w:p>
              </w:tc>
              <w:tc>
                <w:tcPr>
                  <w:tcW w:w="1929" w:type="pct"/>
                  <w:vAlign w:val="bottom"/>
                </w:tcPr>
                <w:p w14:paraId="00364F80">
                  <w:pPr>
                    <w:jc w:val="center"/>
                  </w:pPr>
                  <w:r>
                    <w:rPr>
                      <w:rFonts w:hint="eastAsia"/>
                      <w:szCs w:val="21"/>
                    </w:rPr>
                    <w:t>非甲烷总烃</w:t>
                  </w:r>
                </w:p>
              </w:tc>
              <w:tc>
                <w:tcPr>
                  <w:tcW w:w="1873" w:type="pct"/>
                  <w:vAlign w:val="center"/>
                </w:tcPr>
                <w:p w14:paraId="720E1F77">
                  <w:pPr>
                    <w:jc w:val="center"/>
                    <w:rPr>
                      <w:szCs w:val="21"/>
                    </w:rPr>
                  </w:pPr>
                  <w:r>
                    <w:rPr>
                      <w:szCs w:val="21"/>
                    </w:rPr>
                    <w:t>0.5023</w:t>
                  </w:r>
                </w:p>
              </w:tc>
            </w:tr>
            <w:tr w14:paraId="25AFB3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shd w:val="clear" w:color="auto" w:fill="auto"/>
                  <w:vAlign w:val="center"/>
                </w:tcPr>
                <w:p w14:paraId="3083E9FB">
                  <w:pPr>
                    <w:pStyle w:val="47"/>
                    <w:rPr>
                      <w:rFonts w:eastAsia="宋体"/>
                    </w:rPr>
                  </w:pPr>
                  <w:r>
                    <w:rPr>
                      <w:rFonts w:eastAsia="宋体"/>
                    </w:rPr>
                    <w:t>3</w:t>
                  </w:r>
                </w:p>
              </w:tc>
              <w:tc>
                <w:tcPr>
                  <w:tcW w:w="1929" w:type="pct"/>
                  <w:vAlign w:val="bottom"/>
                </w:tcPr>
                <w:p w14:paraId="4B402690">
                  <w:pPr>
                    <w:jc w:val="center"/>
                  </w:pPr>
                  <w:r>
                    <w:rPr>
                      <w:rFonts w:hint="eastAsia"/>
                      <w:szCs w:val="21"/>
                    </w:rPr>
                    <w:t>硫化氢</w:t>
                  </w:r>
                </w:p>
              </w:tc>
              <w:tc>
                <w:tcPr>
                  <w:tcW w:w="1873" w:type="pct"/>
                  <w:vAlign w:val="center"/>
                </w:tcPr>
                <w:p w14:paraId="57582EF9">
                  <w:pPr>
                    <w:jc w:val="center"/>
                    <w:rPr>
                      <w:szCs w:val="21"/>
                    </w:rPr>
                  </w:pPr>
                  <w:r>
                    <w:rPr>
                      <w:szCs w:val="21"/>
                    </w:rPr>
                    <w:t>0.0898</w:t>
                  </w:r>
                </w:p>
              </w:tc>
            </w:tr>
            <w:tr w14:paraId="23AFE3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pct"/>
                  <w:shd w:val="clear" w:color="auto" w:fill="auto"/>
                  <w:vAlign w:val="center"/>
                </w:tcPr>
                <w:p w14:paraId="02CAE299">
                  <w:pPr>
                    <w:pStyle w:val="47"/>
                    <w:rPr>
                      <w:rFonts w:eastAsia="宋体"/>
                    </w:rPr>
                  </w:pPr>
                  <w:r>
                    <w:rPr>
                      <w:rFonts w:eastAsia="宋体"/>
                    </w:rPr>
                    <w:t>4</w:t>
                  </w:r>
                </w:p>
              </w:tc>
              <w:tc>
                <w:tcPr>
                  <w:tcW w:w="1929" w:type="pct"/>
                  <w:vAlign w:val="bottom"/>
                </w:tcPr>
                <w:p w14:paraId="6F2BCE99">
                  <w:pPr>
                    <w:jc w:val="center"/>
                  </w:pPr>
                  <w:r>
                    <w:rPr>
                      <w:rFonts w:hint="eastAsia"/>
                      <w:szCs w:val="21"/>
                    </w:rPr>
                    <w:t>氟化物</w:t>
                  </w:r>
                </w:p>
              </w:tc>
              <w:tc>
                <w:tcPr>
                  <w:tcW w:w="1873" w:type="pct"/>
                  <w:vAlign w:val="center"/>
                </w:tcPr>
                <w:p w14:paraId="77C79899">
                  <w:pPr>
                    <w:jc w:val="center"/>
                    <w:rPr>
                      <w:sz w:val="24"/>
                    </w:rPr>
                  </w:pPr>
                  <w:r>
                    <w:t>0.000362</w:t>
                  </w:r>
                </w:p>
              </w:tc>
            </w:tr>
          </w:tbl>
          <w:p w14:paraId="4CBAE777">
            <w:pPr>
              <w:pStyle w:val="64"/>
              <w:adjustRightInd w:val="0"/>
              <w:snapToGrid w:val="0"/>
              <w:spacing w:beforeLines="50" w:line="360" w:lineRule="auto"/>
              <w:ind w:firstLine="422"/>
              <w:rPr>
                <w:rFonts w:eastAsia="宋体"/>
                <w:b/>
                <w:sz w:val="21"/>
                <w:szCs w:val="21"/>
              </w:rPr>
            </w:pPr>
            <w:r>
              <w:rPr>
                <w:rFonts w:eastAsia="宋体"/>
                <w:b/>
                <w:sz w:val="21"/>
                <w:szCs w:val="21"/>
              </w:rPr>
              <w:t>（10）卫生防护距离</w:t>
            </w:r>
          </w:p>
          <w:p w14:paraId="23A3F468">
            <w:pPr>
              <w:pStyle w:val="64"/>
              <w:adjustRightInd w:val="0"/>
              <w:snapToGrid w:val="0"/>
              <w:spacing w:line="360" w:lineRule="auto"/>
              <w:ind w:firstLine="420"/>
              <w:jc w:val="both"/>
              <w:rPr>
                <w:rFonts w:eastAsia="宋体"/>
                <w:bCs/>
                <w:sz w:val="21"/>
                <w:szCs w:val="21"/>
              </w:rPr>
            </w:pPr>
            <w:r>
              <w:rPr>
                <w:rFonts w:eastAsia="宋体"/>
                <w:bCs/>
                <w:sz w:val="21"/>
                <w:szCs w:val="21"/>
              </w:rPr>
              <w:t>根据《大气有害物质无组织排放卫生防护距离推导技术导则》（GB/T39499-2020）规定，无组织排入有害气体的生产单元（生产区、车间、工段）与居民区之间应设置卫生防护距离，卫生防护距离L按下式计算：</w:t>
            </w:r>
          </w:p>
          <w:p w14:paraId="4D38E140">
            <w:pPr>
              <w:pStyle w:val="64"/>
              <w:spacing w:line="360" w:lineRule="auto"/>
              <w:ind w:firstLine="420"/>
              <w:jc w:val="center"/>
              <w:rPr>
                <w:rFonts w:eastAsia="宋体"/>
                <w:bCs/>
                <w:sz w:val="21"/>
                <w:szCs w:val="21"/>
              </w:rPr>
            </w:pPr>
            <w:r>
              <w:rPr>
                <w:rFonts w:eastAsia="宋体"/>
                <w:bCs/>
                <w:sz w:val="21"/>
                <w:szCs w:val="21"/>
              </w:rPr>
              <w:object>
                <v:shape id="_x0000_i1025" o:spt="75" type="#_x0000_t75" style="height:35.25pt;width:139.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14:paraId="0C896994">
            <w:pPr>
              <w:pStyle w:val="64"/>
              <w:spacing w:line="360" w:lineRule="auto"/>
              <w:ind w:firstLine="420"/>
              <w:rPr>
                <w:rFonts w:eastAsia="宋体"/>
                <w:bCs/>
                <w:sz w:val="21"/>
                <w:szCs w:val="21"/>
              </w:rPr>
            </w:pPr>
            <w:r>
              <w:rPr>
                <w:rFonts w:eastAsia="宋体"/>
                <w:bCs/>
                <w:sz w:val="21"/>
                <w:szCs w:val="21"/>
              </w:rPr>
              <w:t>式中：</w:t>
            </w:r>
          </w:p>
          <w:p w14:paraId="0011D3F5">
            <w:pPr>
              <w:pStyle w:val="64"/>
              <w:spacing w:line="360" w:lineRule="auto"/>
              <w:ind w:firstLine="420"/>
              <w:rPr>
                <w:rFonts w:eastAsia="宋体"/>
                <w:bCs/>
                <w:sz w:val="21"/>
                <w:szCs w:val="21"/>
              </w:rPr>
            </w:pPr>
            <w:r>
              <w:rPr>
                <w:rFonts w:eastAsia="宋体"/>
                <w:bCs/>
                <w:sz w:val="21"/>
                <w:szCs w:val="21"/>
              </w:rPr>
              <w:t>Qc——大气有害物质的无组织排放量（kg/h）；</w:t>
            </w:r>
          </w:p>
          <w:p w14:paraId="7432113B">
            <w:pPr>
              <w:pStyle w:val="64"/>
              <w:spacing w:line="360" w:lineRule="auto"/>
              <w:ind w:firstLine="420"/>
              <w:rPr>
                <w:rFonts w:eastAsia="宋体"/>
                <w:bCs/>
                <w:sz w:val="21"/>
                <w:szCs w:val="21"/>
              </w:rPr>
            </w:pPr>
            <w:r>
              <w:rPr>
                <w:rFonts w:eastAsia="宋体"/>
                <w:bCs/>
                <w:sz w:val="21"/>
                <w:szCs w:val="21"/>
              </w:rPr>
              <w:t>Cm——大气有害物质环境空气质量的标准限值（mg/m</w:t>
            </w:r>
            <w:r>
              <w:rPr>
                <w:rFonts w:eastAsia="宋体"/>
                <w:bCs/>
                <w:sz w:val="21"/>
                <w:szCs w:val="21"/>
                <w:vertAlign w:val="superscript"/>
              </w:rPr>
              <w:t>3</w:t>
            </w:r>
            <w:r>
              <w:rPr>
                <w:rFonts w:eastAsia="宋体"/>
                <w:bCs/>
                <w:sz w:val="21"/>
                <w:szCs w:val="21"/>
              </w:rPr>
              <w:t>）；</w:t>
            </w:r>
          </w:p>
          <w:p w14:paraId="7B197BD4">
            <w:pPr>
              <w:pStyle w:val="64"/>
              <w:spacing w:line="360" w:lineRule="auto"/>
              <w:ind w:firstLine="420"/>
              <w:rPr>
                <w:rFonts w:eastAsia="宋体"/>
                <w:bCs/>
                <w:sz w:val="21"/>
                <w:szCs w:val="21"/>
              </w:rPr>
            </w:pPr>
            <w:r>
              <w:rPr>
                <w:rFonts w:eastAsia="宋体"/>
                <w:bCs/>
                <w:sz w:val="21"/>
                <w:szCs w:val="21"/>
              </w:rPr>
              <w:t>L——大气有害物质卫生防护距离初值（m）；</w:t>
            </w:r>
          </w:p>
          <w:p w14:paraId="5754CD42">
            <w:pPr>
              <w:pStyle w:val="64"/>
              <w:spacing w:line="360" w:lineRule="auto"/>
              <w:ind w:firstLine="420"/>
              <w:rPr>
                <w:rFonts w:eastAsia="宋体"/>
                <w:bCs/>
                <w:sz w:val="21"/>
                <w:szCs w:val="21"/>
              </w:rPr>
            </w:pPr>
            <w:r>
              <w:rPr>
                <w:rFonts w:eastAsia="宋体"/>
                <w:bCs/>
                <w:sz w:val="21"/>
                <w:szCs w:val="21"/>
              </w:rPr>
              <w:t>r——大气有害物质无组织排放源所在生产单元的等效半径（m）</w:t>
            </w:r>
          </w:p>
          <w:p w14:paraId="28CA0B9D">
            <w:pPr>
              <w:pStyle w:val="64"/>
              <w:snapToGrid w:val="0"/>
              <w:spacing w:line="360" w:lineRule="auto"/>
              <w:ind w:firstLine="420"/>
              <w:rPr>
                <w:rFonts w:eastAsia="宋体"/>
                <w:b/>
                <w:sz w:val="21"/>
                <w:szCs w:val="21"/>
              </w:rPr>
            </w:pPr>
            <w:r>
              <w:rPr>
                <w:rFonts w:eastAsia="宋体"/>
                <w:bCs/>
                <w:sz w:val="21"/>
                <w:szCs w:val="21"/>
              </w:rPr>
              <w:t>A、B、C、D——卫生防护距离初值计算系数，见下表。</w:t>
            </w:r>
          </w:p>
          <w:p w14:paraId="1B6176C3">
            <w:pPr>
              <w:pStyle w:val="64"/>
              <w:spacing w:line="240" w:lineRule="auto"/>
              <w:ind w:firstLine="0" w:firstLineChars="0"/>
              <w:jc w:val="center"/>
              <w:rPr>
                <w:rFonts w:eastAsia="宋体"/>
                <w:b/>
                <w:sz w:val="21"/>
                <w:szCs w:val="21"/>
              </w:rPr>
            </w:pPr>
            <w:r>
              <w:rPr>
                <w:rFonts w:eastAsia="宋体"/>
                <w:b/>
                <w:sz w:val="21"/>
                <w:szCs w:val="21"/>
              </w:rPr>
              <w:t>表4-12  卫生防护距离计算系数表</w:t>
            </w:r>
          </w:p>
          <w:tbl>
            <w:tblPr>
              <w:tblStyle w:val="25"/>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845"/>
              <w:gridCol w:w="736"/>
              <w:gridCol w:w="772"/>
              <w:gridCol w:w="687"/>
              <w:gridCol w:w="760"/>
              <w:gridCol w:w="791"/>
              <w:gridCol w:w="742"/>
              <w:gridCol w:w="596"/>
              <w:gridCol w:w="713"/>
              <w:gridCol w:w="666"/>
            </w:tblGrid>
            <w:tr w14:paraId="47ACDE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restart"/>
                  <w:tcBorders>
                    <w:bottom w:val="single" w:color="000000" w:sz="4" w:space="0"/>
                    <w:right w:val="single" w:color="000000" w:sz="4" w:space="0"/>
                  </w:tcBorders>
                  <w:noWrap/>
                  <w:vAlign w:val="center"/>
                </w:tcPr>
                <w:p w14:paraId="2DE157FF">
                  <w:pPr>
                    <w:jc w:val="center"/>
                    <w:textAlignment w:val="center"/>
                    <w:rPr>
                      <w:b/>
                      <w:bCs/>
                      <w:szCs w:val="21"/>
                    </w:rPr>
                  </w:pPr>
                  <w:r>
                    <w:rPr>
                      <w:b/>
                      <w:bCs/>
                      <w:szCs w:val="21"/>
                    </w:rPr>
                    <w:t>计算系数</w:t>
                  </w:r>
                </w:p>
              </w:tc>
              <w:tc>
                <w:tcPr>
                  <w:tcW w:w="1021" w:type="pct"/>
                  <w:vMerge w:val="restart"/>
                  <w:tcBorders>
                    <w:left w:val="single" w:color="000000" w:sz="4" w:space="0"/>
                    <w:bottom w:val="single" w:color="000000" w:sz="4" w:space="0"/>
                    <w:right w:val="single" w:color="000000" w:sz="4" w:space="0"/>
                  </w:tcBorders>
                  <w:noWrap/>
                  <w:vAlign w:val="center"/>
                </w:tcPr>
                <w:p w14:paraId="032822D7">
                  <w:pPr>
                    <w:jc w:val="center"/>
                    <w:textAlignment w:val="center"/>
                    <w:rPr>
                      <w:b/>
                      <w:bCs/>
                      <w:szCs w:val="21"/>
                    </w:rPr>
                  </w:pPr>
                  <w:r>
                    <w:rPr>
                      <w:b/>
                      <w:bCs/>
                      <w:szCs w:val="21"/>
                    </w:rPr>
                    <w:t>工业企业所在地区近5年平均风速/(m/s)</w:t>
                  </w:r>
                </w:p>
              </w:tc>
              <w:tc>
                <w:tcPr>
                  <w:tcW w:w="3578" w:type="pct"/>
                  <w:gridSpan w:val="9"/>
                  <w:tcBorders>
                    <w:left w:val="single" w:color="000000" w:sz="4" w:space="0"/>
                    <w:bottom w:val="single" w:color="000000" w:sz="4" w:space="0"/>
                  </w:tcBorders>
                  <w:noWrap/>
                  <w:vAlign w:val="center"/>
                </w:tcPr>
                <w:p w14:paraId="64EFAD1D">
                  <w:pPr>
                    <w:jc w:val="center"/>
                    <w:textAlignment w:val="center"/>
                    <w:rPr>
                      <w:b/>
                      <w:bCs/>
                      <w:szCs w:val="21"/>
                    </w:rPr>
                  </w:pPr>
                  <w:r>
                    <w:rPr>
                      <w:b/>
                      <w:bCs/>
                      <w:szCs w:val="21"/>
                    </w:rPr>
                    <w:t>卫生防护距离L/m</w:t>
                  </w:r>
                </w:p>
              </w:tc>
            </w:tr>
            <w:tr w14:paraId="18753C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bottom w:val="single" w:color="000000" w:sz="4" w:space="0"/>
                    <w:right w:val="single" w:color="000000" w:sz="4" w:space="0"/>
                  </w:tcBorders>
                  <w:noWrap/>
                  <w:vAlign w:val="center"/>
                </w:tcPr>
                <w:p w14:paraId="6C0DE0C3">
                  <w:pPr>
                    <w:jc w:val="center"/>
                    <w:textAlignment w:val="center"/>
                    <w:rPr>
                      <w:b/>
                      <w:bCs/>
                      <w:szCs w:val="21"/>
                    </w:rPr>
                  </w:pP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12A5A471">
                  <w:pPr>
                    <w:jc w:val="center"/>
                    <w:textAlignment w:val="center"/>
                    <w:rPr>
                      <w:b/>
                      <w:bCs/>
                      <w:szCs w:val="21"/>
                    </w:rPr>
                  </w:pPr>
                </w:p>
              </w:tc>
              <w:tc>
                <w:tcPr>
                  <w:tcW w:w="1214" w:type="pct"/>
                  <w:gridSpan w:val="3"/>
                  <w:tcBorders>
                    <w:top w:val="single" w:color="000000" w:sz="4" w:space="0"/>
                    <w:left w:val="single" w:color="000000" w:sz="4" w:space="0"/>
                    <w:bottom w:val="single" w:color="000000" w:sz="4" w:space="0"/>
                    <w:right w:val="single" w:color="000000" w:sz="4" w:space="0"/>
                  </w:tcBorders>
                  <w:noWrap/>
                  <w:vAlign w:val="center"/>
                </w:tcPr>
                <w:p w14:paraId="6D8D0E69">
                  <w:pPr>
                    <w:jc w:val="center"/>
                    <w:textAlignment w:val="center"/>
                    <w:rPr>
                      <w:szCs w:val="21"/>
                    </w:rPr>
                  </w:pPr>
                  <w:r>
                    <w:rPr>
                      <w:szCs w:val="21"/>
                    </w:rPr>
                    <w:t>L≤1000</w:t>
                  </w:r>
                </w:p>
              </w:tc>
              <w:tc>
                <w:tcPr>
                  <w:tcW w:w="1270" w:type="pct"/>
                  <w:gridSpan w:val="3"/>
                  <w:tcBorders>
                    <w:top w:val="single" w:color="000000" w:sz="4" w:space="0"/>
                    <w:left w:val="single" w:color="000000" w:sz="4" w:space="0"/>
                    <w:bottom w:val="single" w:color="000000" w:sz="4" w:space="0"/>
                    <w:right w:val="single" w:color="000000" w:sz="4" w:space="0"/>
                  </w:tcBorders>
                  <w:noWrap/>
                  <w:vAlign w:val="center"/>
                </w:tcPr>
                <w:p w14:paraId="4EDEB2B4">
                  <w:pPr>
                    <w:jc w:val="center"/>
                    <w:textAlignment w:val="center"/>
                    <w:rPr>
                      <w:szCs w:val="21"/>
                    </w:rPr>
                  </w:pPr>
                  <w:r>
                    <w:rPr>
                      <w:szCs w:val="21"/>
                    </w:rPr>
                    <w:t>1000&lt;L≤2000</w:t>
                  </w:r>
                </w:p>
              </w:tc>
              <w:tc>
                <w:tcPr>
                  <w:tcW w:w="1094" w:type="pct"/>
                  <w:gridSpan w:val="3"/>
                  <w:tcBorders>
                    <w:top w:val="single" w:color="000000" w:sz="4" w:space="0"/>
                    <w:left w:val="single" w:color="000000" w:sz="4" w:space="0"/>
                    <w:bottom w:val="single" w:color="000000" w:sz="4" w:space="0"/>
                  </w:tcBorders>
                  <w:noWrap/>
                  <w:vAlign w:val="center"/>
                </w:tcPr>
                <w:p w14:paraId="69620941">
                  <w:pPr>
                    <w:jc w:val="center"/>
                    <w:textAlignment w:val="center"/>
                    <w:rPr>
                      <w:szCs w:val="21"/>
                    </w:rPr>
                  </w:pPr>
                  <w:r>
                    <w:rPr>
                      <w:szCs w:val="21"/>
                    </w:rPr>
                    <w:t>L&gt;2000</w:t>
                  </w:r>
                </w:p>
              </w:tc>
            </w:tr>
            <w:tr w14:paraId="6E7AFA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bottom w:val="single" w:color="000000" w:sz="4" w:space="0"/>
                    <w:right w:val="single" w:color="000000" w:sz="4" w:space="0"/>
                  </w:tcBorders>
                  <w:noWrap/>
                  <w:vAlign w:val="center"/>
                </w:tcPr>
                <w:p w14:paraId="47CC32E2">
                  <w:pPr>
                    <w:jc w:val="center"/>
                    <w:textAlignment w:val="center"/>
                    <w:rPr>
                      <w:b/>
                      <w:bCs/>
                      <w:szCs w:val="21"/>
                    </w:rPr>
                  </w:pP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61406244">
                  <w:pPr>
                    <w:jc w:val="center"/>
                    <w:textAlignment w:val="center"/>
                    <w:rPr>
                      <w:b/>
                      <w:bCs/>
                      <w:szCs w:val="21"/>
                    </w:rPr>
                  </w:pPr>
                </w:p>
              </w:tc>
              <w:tc>
                <w:tcPr>
                  <w:tcW w:w="3578" w:type="pct"/>
                  <w:gridSpan w:val="9"/>
                  <w:tcBorders>
                    <w:top w:val="single" w:color="000000" w:sz="4" w:space="0"/>
                    <w:left w:val="single" w:color="000000" w:sz="4" w:space="0"/>
                    <w:bottom w:val="single" w:color="000000" w:sz="4" w:space="0"/>
                  </w:tcBorders>
                  <w:noWrap/>
                  <w:vAlign w:val="center"/>
                </w:tcPr>
                <w:p w14:paraId="31EE6F19">
                  <w:pPr>
                    <w:jc w:val="center"/>
                    <w:textAlignment w:val="center"/>
                    <w:rPr>
                      <w:b/>
                      <w:bCs/>
                      <w:szCs w:val="21"/>
                    </w:rPr>
                  </w:pPr>
                  <w:r>
                    <w:rPr>
                      <w:b/>
                      <w:bCs/>
                      <w:szCs w:val="21"/>
                    </w:rPr>
                    <w:t>工业大气污染源构成类别</w:t>
                  </w:r>
                </w:p>
              </w:tc>
            </w:tr>
            <w:tr w14:paraId="6484E8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bottom w:val="single" w:color="000000" w:sz="4" w:space="0"/>
                    <w:right w:val="single" w:color="000000" w:sz="4" w:space="0"/>
                  </w:tcBorders>
                  <w:noWrap/>
                  <w:vAlign w:val="center"/>
                </w:tcPr>
                <w:p w14:paraId="72D03EAC">
                  <w:pPr>
                    <w:jc w:val="center"/>
                    <w:textAlignment w:val="center"/>
                    <w:rPr>
                      <w:b/>
                      <w:bCs/>
                      <w:szCs w:val="21"/>
                    </w:rPr>
                  </w:pP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340DA636">
                  <w:pPr>
                    <w:jc w:val="center"/>
                    <w:textAlignment w:val="center"/>
                    <w:rPr>
                      <w:b/>
                      <w:bCs/>
                      <w:szCs w:val="21"/>
                    </w:rPr>
                  </w:pP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E130794">
                  <w:pPr>
                    <w:jc w:val="center"/>
                    <w:textAlignment w:val="center"/>
                    <w:rPr>
                      <w:szCs w:val="21"/>
                    </w:rPr>
                  </w:pPr>
                  <w:r>
                    <w:rPr>
                      <w:szCs w:val="21"/>
                    </w:rPr>
                    <w:t>Ⅰ</w:t>
                  </w: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81A02BC">
                  <w:pPr>
                    <w:jc w:val="center"/>
                    <w:textAlignment w:val="center"/>
                    <w:rPr>
                      <w:szCs w:val="21"/>
                    </w:rPr>
                  </w:pPr>
                  <w:r>
                    <w:rPr>
                      <w:szCs w:val="21"/>
                    </w:rPr>
                    <w:t>Ⅱ</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9168BCD">
                  <w:pPr>
                    <w:jc w:val="center"/>
                    <w:textAlignment w:val="center"/>
                    <w:rPr>
                      <w:szCs w:val="21"/>
                    </w:rPr>
                  </w:pPr>
                  <w:r>
                    <w:rPr>
                      <w:szCs w:val="21"/>
                    </w:rPr>
                    <w:t>Ⅲ</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D0EFC76">
                  <w:pPr>
                    <w:jc w:val="center"/>
                    <w:textAlignment w:val="center"/>
                    <w:rPr>
                      <w:szCs w:val="21"/>
                    </w:rPr>
                  </w:pPr>
                  <w:r>
                    <w:rPr>
                      <w:szCs w:val="21"/>
                    </w:rPr>
                    <w:t>Ⅰ</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7AA3C3C2">
                  <w:pPr>
                    <w:jc w:val="center"/>
                    <w:textAlignment w:val="center"/>
                    <w:rPr>
                      <w:szCs w:val="21"/>
                    </w:rPr>
                  </w:pPr>
                  <w:r>
                    <w:rPr>
                      <w:szCs w:val="21"/>
                    </w:rPr>
                    <w:t>Ⅱ</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00E6998C">
                  <w:pPr>
                    <w:jc w:val="center"/>
                    <w:textAlignment w:val="center"/>
                    <w:rPr>
                      <w:szCs w:val="21"/>
                    </w:rPr>
                  </w:pPr>
                  <w:r>
                    <w:rPr>
                      <w:szCs w:val="21"/>
                    </w:rPr>
                    <w:t>Ⅲ</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AF50E26">
                  <w:pPr>
                    <w:jc w:val="center"/>
                    <w:textAlignment w:val="center"/>
                    <w:rPr>
                      <w:szCs w:val="21"/>
                    </w:rPr>
                  </w:pPr>
                  <w:r>
                    <w:rPr>
                      <w:szCs w:val="21"/>
                    </w:rPr>
                    <w:t>Ⅰ</w:t>
                  </w:r>
                </w:p>
              </w:tc>
              <w:tc>
                <w:tcPr>
                  <w:tcW w:w="395" w:type="pct"/>
                  <w:tcBorders>
                    <w:top w:val="single" w:color="000000" w:sz="4" w:space="0"/>
                    <w:left w:val="single" w:color="000000" w:sz="4" w:space="0"/>
                    <w:bottom w:val="single" w:color="000000" w:sz="4" w:space="0"/>
                    <w:right w:val="single" w:color="000000" w:sz="4" w:space="0"/>
                  </w:tcBorders>
                  <w:noWrap/>
                  <w:vAlign w:val="center"/>
                </w:tcPr>
                <w:p w14:paraId="24FEEAB3">
                  <w:pPr>
                    <w:jc w:val="center"/>
                    <w:textAlignment w:val="center"/>
                    <w:rPr>
                      <w:szCs w:val="21"/>
                    </w:rPr>
                  </w:pPr>
                  <w:r>
                    <w:rPr>
                      <w:szCs w:val="21"/>
                    </w:rPr>
                    <w:t>Ⅱ</w:t>
                  </w:r>
                </w:p>
              </w:tc>
              <w:tc>
                <w:tcPr>
                  <w:tcW w:w="367" w:type="pct"/>
                  <w:tcBorders>
                    <w:top w:val="single" w:color="000000" w:sz="4" w:space="0"/>
                    <w:left w:val="single" w:color="000000" w:sz="4" w:space="0"/>
                    <w:bottom w:val="single" w:color="000000" w:sz="4" w:space="0"/>
                  </w:tcBorders>
                  <w:noWrap/>
                  <w:vAlign w:val="center"/>
                </w:tcPr>
                <w:p w14:paraId="26658DA4">
                  <w:pPr>
                    <w:jc w:val="center"/>
                    <w:textAlignment w:val="center"/>
                    <w:rPr>
                      <w:szCs w:val="21"/>
                    </w:rPr>
                  </w:pPr>
                  <w:r>
                    <w:rPr>
                      <w:szCs w:val="21"/>
                    </w:rPr>
                    <w:t>Ⅲ</w:t>
                  </w:r>
                </w:p>
              </w:tc>
            </w:tr>
            <w:tr w14:paraId="296A51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restart"/>
                  <w:tcBorders>
                    <w:top w:val="single" w:color="000000" w:sz="4" w:space="0"/>
                    <w:bottom w:val="single" w:color="000000" w:sz="4" w:space="0"/>
                    <w:right w:val="single" w:color="000000" w:sz="4" w:space="0"/>
                  </w:tcBorders>
                  <w:noWrap/>
                  <w:vAlign w:val="center"/>
                </w:tcPr>
                <w:p w14:paraId="593B02B3">
                  <w:pPr>
                    <w:jc w:val="center"/>
                    <w:textAlignment w:val="center"/>
                    <w:rPr>
                      <w:szCs w:val="21"/>
                    </w:rPr>
                  </w:pPr>
                  <w:r>
                    <w:rPr>
                      <w:szCs w:val="21"/>
                    </w:rPr>
                    <w:t>A</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11536A4B">
                  <w:pPr>
                    <w:jc w:val="center"/>
                    <w:textAlignment w:val="center"/>
                    <w:rPr>
                      <w:szCs w:val="21"/>
                    </w:rPr>
                  </w:pPr>
                  <w:r>
                    <w:rPr>
                      <w:szCs w:val="21"/>
                    </w:rPr>
                    <w:t>&lt;2</w:t>
                  </w:r>
                </w:p>
              </w:tc>
              <w:tc>
                <w:tcPr>
                  <w:tcW w:w="407" w:type="pct"/>
                  <w:tcBorders>
                    <w:top w:val="single" w:color="000000" w:sz="4" w:space="0"/>
                    <w:left w:val="single" w:color="000000" w:sz="4" w:space="0"/>
                    <w:bottom w:val="single" w:color="auto" w:sz="4" w:space="0"/>
                  </w:tcBorders>
                  <w:noWrap/>
                  <w:vAlign w:val="center"/>
                </w:tcPr>
                <w:p w14:paraId="6335EE4A">
                  <w:pPr>
                    <w:jc w:val="center"/>
                    <w:textAlignment w:val="center"/>
                    <w:rPr>
                      <w:szCs w:val="21"/>
                    </w:rPr>
                  </w:pPr>
                  <w:r>
                    <w:rPr>
                      <w:szCs w:val="21"/>
                    </w:rPr>
                    <w:t>400</w:t>
                  </w:r>
                </w:p>
              </w:tc>
              <w:tc>
                <w:tcPr>
                  <w:tcW w:w="427" w:type="pct"/>
                  <w:tcBorders>
                    <w:top w:val="single" w:color="000000" w:sz="4" w:space="0"/>
                    <w:left w:val="single" w:color="000000" w:sz="4" w:space="0"/>
                    <w:bottom w:val="single" w:color="auto" w:sz="4" w:space="0"/>
                  </w:tcBorders>
                  <w:noWrap/>
                  <w:vAlign w:val="center"/>
                </w:tcPr>
                <w:p w14:paraId="463937D8">
                  <w:pPr>
                    <w:jc w:val="center"/>
                    <w:textAlignment w:val="center"/>
                    <w:rPr>
                      <w:szCs w:val="21"/>
                    </w:rPr>
                  </w:pPr>
                  <w:r>
                    <w:rPr>
                      <w:szCs w:val="21"/>
                    </w:rPr>
                    <w:t>400</w:t>
                  </w:r>
                </w:p>
              </w:tc>
              <w:tc>
                <w:tcPr>
                  <w:tcW w:w="379" w:type="pct"/>
                  <w:tcBorders>
                    <w:top w:val="single" w:color="000000" w:sz="4" w:space="0"/>
                    <w:left w:val="single" w:color="000000" w:sz="4" w:space="0"/>
                    <w:bottom w:val="single" w:color="auto" w:sz="4" w:space="0"/>
                  </w:tcBorders>
                  <w:noWrap/>
                  <w:vAlign w:val="center"/>
                </w:tcPr>
                <w:p w14:paraId="6F67590B">
                  <w:pPr>
                    <w:jc w:val="center"/>
                    <w:textAlignment w:val="center"/>
                    <w:rPr>
                      <w:szCs w:val="21"/>
                    </w:rPr>
                  </w:pPr>
                  <w:r>
                    <w:rPr>
                      <w:szCs w:val="21"/>
                    </w:rPr>
                    <w:t>400</w:t>
                  </w:r>
                </w:p>
              </w:tc>
              <w:tc>
                <w:tcPr>
                  <w:tcW w:w="421" w:type="pct"/>
                  <w:tcBorders>
                    <w:top w:val="single" w:color="000000" w:sz="4" w:space="0"/>
                    <w:left w:val="single" w:color="000000" w:sz="4" w:space="0"/>
                    <w:bottom w:val="single" w:color="auto" w:sz="4" w:space="0"/>
                  </w:tcBorders>
                  <w:noWrap/>
                  <w:vAlign w:val="center"/>
                </w:tcPr>
                <w:p w14:paraId="193A2CFF">
                  <w:pPr>
                    <w:jc w:val="center"/>
                    <w:textAlignment w:val="center"/>
                    <w:rPr>
                      <w:szCs w:val="21"/>
                    </w:rPr>
                  </w:pPr>
                  <w:r>
                    <w:rPr>
                      <w:szCs w:val="21"/>
                    </w:rPr>
                    <w:t>400</w:t>
                  </w:r>
                </w:p>
              </w:tc>
              <w:tc>
                <w:tcPr>
                  <w:tcW w:w="438" w:type="pct"/>
                  <w:tcBorders>
                    <w:top w:val="single" w:color="000000" w:sz="4" w:space="0"/>
                    <w:left w:val="single" w:color="000000" w:sz="4" w:space="0"/>
                    <w:bottom w:val="single" w:color="auto" w:sz="4" w:space="0"/>
                  </w:tcBorders>
                  <w:noWrap/>
                  <w:vAlign w:val="center"/>
                </w:tcPr>
                <w:p w14:paraId="03821D23">
                  <w:pPr>
                    <w:jc w:val="center"/>
                    <w:textAlignment w:val="center"/>
                    <w:rPr>
                      <w:szCs w:val="21"/>
                    </w:rPr>
                  </w:pPr>
                  <w:r>
                    <w:rPr>
                      <w:szCs w:val="21"/>
                    </w:rPr>
                    <w:t>400</w:t>
                  </w:r>
                </w:p>
              </w:tc>
              <w:tc>
                <w:tcPr>
                  <w:tcW w:w="409" w:type="pct"/>
                  <w:tcBorders>
                    <w:top w:val="single" w:color="000000" w:sz="4" w:space="0"/>
                    <w:left w:val="single" w:color="000000" w:sz="4" w:space="0"/>
                    <w:bottom w:val="single" w:color="auto" w:sz="4" w:space="0"/>
                  </w:tcBorders>
                  <w:noWrap/>
                  <w:vAlign w:val="center"/>
                </w:tcPr>
                <w:p w14:paraId="22EE4A1F">
                  <w:pPr>
                    <w:jc w:val="center"/>
                    <w:textAlignment w:val="center"/>
                    <w:rPr>
                      <w:szCs w:val="21"/>
                    </w:rPr>
                  </w:pPr>
                  <w:r>
                    <w:rPr>
                      <w:szCs w:val="21"/>
                    </w:rPr>
                    <w:t>400</w:t>
                  </w:r>
                </w:p>
              </w:tc>
              <w:tc>
                <w:tcPr>
                  <w:tcW w:w="330" w:type="pct"/>
                  <w:tcBorders>
                    <w:top w:val="single" w:color="000000" w:sz="4" w:space="0"/>
                    <w:left w:val="single" w:color="000000" w:sz="4" w:space="0"/>
                    <w:bottom w:val="single" w:color="auto" w:sz="4" w:space="0"/>
                  </w:tcBorders>
                  <w:noWrap/>
                  <w:vAlign w:val="center"/>
                </w:tcPr>
                <w:p w14:paraId="1EA84F9A">
                  <w:pPr>
                    <w:jc w:val="center"/>
                    <w:textAlignment w:val="center"/>
                    <w:rPr>
                      <w:szCs w:val="21"/>
                    </w:rPr>
                  </w:pPr>
                  <w:r>
                    <w:rPr>
                      <w:szCs w:val="21"/>
                    </w:rPr>
                    <w:t>80</w:t>
                  </w:r>
                </w:p>
              </w:tc>
              <w:tc>
                <w:tcPr>
                  <w:tcW w:w="395" w:type="pct"/>
                  <w:tcBorders>
                    <w:top w:val="single" w:color="000000" w:sz="4" w:space="0"/>
                    <w:left w:val="single" w:color="000000" w:sz="4" w:space="0"/>
                    <w:bottom w:val="single" w:color="auto" w:sz="4" w:space="0"/>
                  </w:tcBorders>
                  <w:noWrap/>
                  <w:vAlign w:val="center"/>
                </w:tcPr>
                <w:p w14:paraId="3E18F844">
                  <w:pPr>
                    <w:jc w:val="center"/>
                    <w:textAlignment w:val="center"/>
                    <w:rPr>
                      <w:szCs w:val="21"/>
                    </w:rPr>
                  </w:pPr>
                  <w:r>
                    <w:rPr>
                      <w:szCs w:val="21"/>
                    </w:rPr>
                    <w:t>80</w:t>
                  </w:r>
                </w:p>
              </w:tc>
              <w:tc>
                <w:tcPr>
                  <w:tcW w:w="367" w:type="pct"/>
                  <w:tcBorders>
                    <w:top w:val="single" w:color="000000" w:sz="4" w:space="0"/>
                    <w:left w:val="single" w:color="000000" w:sz="4" w:space="0"/>
                    <w:bottom w:val="single" w:color="auto" w:sz="4" w:space="0"/>
                  </w:tcBorders>
                  <w:noWrap/>
                  <w:vAlign w:val="center"/>
                </w:tcPr>
                <w:p w14:paraId="1738B366">
                  <w:pPr>
                    <w:jc w:val="center"/>
                    <w:textAlignment w:val="center"/>
                    <w:rPr>
                      <w:szCs w:val="21"/>
                    </w:rPr>
                  </w:pPr>
                  <w:r>
                    <w:rPr>
                      <w:szCs w:val="21"/>
                    </w:rPr>
                    <w:t>80</w:t>
                  </w:r>
                </w:p>
              </w:tc>
            </w:tr>
            <w:tr w14:paraId="3AD534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bottom w:val="single" w:color="000000" w:sz="4" w:space="0"/>
                    <w:right w:val="single" w:color="000000" w:sz="4" w:space="0"/>
                  </w:tcBorders>
                  <w:noWrap/>
                  <w:vAlign w:val="center"/>
                </w:tcPr>
                <w:p w14:paraId="249B908D">
                  <w:pPr>
                    <w:jc w:val="center"/>
                    <w:textAlignment w:val="center"/>
                    <w:rPr>
                      <w:szCs w:val="21"/>
                    </w:rPr>
                  </w:pPr>
                </w:p>
              </w:tc>
              <w:tc>
                <w:tcPr>
                  <w:tcW w:w="1021" w:type="pct"/>
                  <w:tcBorders>
                    <w:top w:val="single" w:color="000000" w:sz="4" w:space="0"/>
                    <w:left w:val="single" w:color="000000" w:sz="4" w:space="0"/>
                    <w:bottom w:val="single" w:color="000000" w:sz="4" w:space="0"/>
                    <w:right w:val="single" w:color="auto" w:sz="4" w:space="0"/>
                  </w:tcBorders>
                  <w:noWrap/>
                  <w:vAlign w:val="center"/>
                </w:tcPr>
                <w:p w14:paraId="5CFB4FB3">
                  <w:pPr>
                    <w:jc w:val="center"/>
                    <w:textAlignment w:val="center"/>
                    <w:rPr>
                      <w:szCs w:val="21"/>
                    </w:rPr>
                  </w:pPr>
                  <w:r>
                    <w:rPr>
                      <w:szCs w:val="21"/>
                    </w:rPr>
                    <w:t>2~4</w:t>
                  </w:r>
                </w:p>
              </w:tc>
              <w:tc>
                <w:tcPr>
                  <w:tcW w:w="407" w:type="pct"/>
                  <w:tcBorders>
                    <w:top w:val="single" w:color="auto" w:sz="4" w:space="0"/>
                    <w:left w:val="single" w:color="auto" w:sz="4" w:space="0"/>
                    <w:bottom w:val="single" w:color="auto" w:sz="4" w:space="0"/>
                    <w:right w:val="single" w:color="auto" w:sz="4" w:space="0"/>
                  </w:tcBorders>
                  <w:noWrap/>
                  <w:vAlign w:val="center"/>
                </w:tcPr>
                <w:p w14:paraId="4430879C">
                  <w:pPr>
                    <w:jc w:val="center"/>
                    <w:textAlignment w:val="center"/>
                    <w:rPr>
                      <w:szCs w:val="21"/>
                    </w:rPr>
                  </w:pPr>
                  <w:r>
                    <w:rPr>
                      <w:szCs w:val="21"/>
                    </w:rPr>
                    <w:t>700</w:t>
                  </w:r>
                </w:p>
              </w:tc>
              <w:tc>
                <w:tcPr>
                  <w:tcW w:w="427" w:type="pct"/>
                  <w:tcBorders>
                    <w:top w:val="single" w:color="auto" w:sz="4" w:space="0"/>
                    <w:left w:val="single" w:color="auto" w:sz="4" w:space="0"/>
                    <w:bottom w:val="single" w:color="auto" w:sz="4" w:space="0"/>
                    <w:right w:val="single" w:color="auto" w:sz="4" w:space="0"/>
                  </w:tcBorders>
                  <w:noWrap/>
                  <w:vAlign w:val="center"/>
                </w:tcPr>
                <w:p w14:paraId="6121290C">
                  <w:pPr>
                    <w:jc w:val="center"/>
                    <w:textAlignment w:val="center"/>
                    <w:rPr>
                      <w:szCs w:val="21"/>
                    </w:rPr>
                  </w:pPr>
                  <w:r>
                    <w:rPr>
                      <w:szCs w:val="21"/>
                    </w:rPr>
                    <w:t>470</w:t>
                  </w:r>
                </w:p>
              </w:tc>
              <w:tc>
                <w:tcPr>
                  <w:tcW w:w="379" w:type="pct"/>
                  <w:tcBorders>
                    <w:top w:val="single" w:color="auto" w:sz="4" w:space="0"/>
                    <w:left w:val="single" w:color="auto" w:sz="4" w:space="0"/>
                    <w:bottom w:val="single" w:color="auto" w:sz="4" w:space="0"/>
                    <w:right w:val="single" w:color="auto" w:sz="4" w:space="0"/>
                  </w:tcBorders>
                  <w:noWrap/>
                  <w:vAlign w:val="center"/>
                </w:tcPr>
                <w:p w14:paraId="75584C7D">
                  <w:pPr>
                    <w:jc w:val="center"/>
                    <w:textAlignment w:val="center"/>
                    <w:rPr>
                      <w:szCs w:val="21"/>
                    </w:rPr>
                  </w:pPr>
                  <w:r>
                    <w:rPr>
                      <w:szCs w:val="21"/>
                    </w:rPr>
                    <w:t>350</w:t>
                  </w:r>
                </w:p>
              </w:tc>
              <w:tc>
                <w:tcPr>
                  <w:tcW w:w="421" w:type="pct"/>
                  <w:tcBorders>
                    <w:top w:val="single" w:color="auto" w:sz="4" w:space="0"/>
                    <w:left w:val="single" w:color="auto" w:sz="4" w:space="0"/>
                    <w:bottom w:val="single" w:color="auto" w:sz="4" w:space="0"/>
                    <w:right w:val="single" w:color="auto" w:sz="4" w:space="0"/>
                  </w:tcBorders>
                  <w:noWrap/>
                  <w:vAlign w:val="center"/>
                </w:tcPr>
                <w:p w14:paraId="0952F526">
                  <w:pPr>
                    <w:jc w:val="center"/>
                    <w:textAlignment w:val="center"/>
                    <w:rPr>
                      <w:szCs w:val="21"/>
                    </w:rPr>
                  </w:pPr>
                  <w:r>
                    <w:rPr>
                      <w:szCs w:val="21"/>
                    </w:rPr>
                    <w:t>700</w:t>
                  </w:r>
                </w:p>
              </w:tc>
              <w:tc>
                <w:tcPr>
                  <w:tcW w:w="438" w:type="pct"/>
                  <w:tcBorders>
                    <w:top w:val="single" w:color="auto" w:sz="4" w:space="0"/>
                    <w:left w:val="single" w:color="auto" w:sz="4" w:space="0"/>
                    <w:bottom w:val="single" w:color="auto" w:sz="4" w:space="0"/>
                    <w:right w:val="single" w:color="auto" w:sz="4" w:space="0"/>
                  </w:tcBorders>
                  <w:noWrap/>
                  <w:vAlign w:val="center"/>
                </w:tcPr>
                <w:p w14:paraId="36FBAC6D">
                  <w:pPr>
                    <w:jc w:val="center"/>
                    <w:textAlignment w:val="center"/>
                    <w:rPr>
                      <w:szCs w:val="21"/>
                    </w:rPr>
                  </w:pPr>
                  <w:r>
                    <w:rPr>
                      <w:szCs w:val="21"/>
                    </w:rPr>
                    <w:t>470</w:t>
                  </w:r>
                </w:p>
              </w:tc>
              <w:tc>
                <w:tcPr>
                  <w:tcW w:w="409" w:type="pct"/>
                  <w:tcBorders>
                    <w:top w:val="single" w:color="auto" w:sz="4" w:space="0"/>
                    <w:left w:val="single" w:color="auto" w:sz="4" w:space="0"/>
                    <w:bottom w:val="single" w:color="auto" w:sz="4" w:space="0"/>
                    <w:right w:val="single" w:color="auto" w:sz="4" w:space="0"/>
                  </w:tcBorders>
                  <w:noWrap/>
                  <w:vAlign w:val="center"/>
                </w:tcPr>
                <w:p w14:paraId="4EB26E00">
                  <w:pPr>
                    <w:jc w:val="center"/>
                    <w:textAlignment w:val="center"/>
                    <w:rPr>
                      <w:szCs w:val="21"/>
                    </w:rPr>
                  </w:pPr>
                  <w:r>
                    <w:rPr>
                      <w:szCs w:val="21"/>
                    </w:rPr>
                    <w:t>350</w:t>
                  </w:r>
                </w:p>
              </w:tc>
              <w:tc>
                <w:tcPr>
                  <w:tcW w:w="330" w:type="pct"/>
                  <w:tcBorders>
                    <w:top w:val="single" w:color="auto" w:sz="4" w:space="0"/>
                    <w:left w:val="single" w:color="auto" w:sz="4" w:space="0"/>
                    <w:bottom w:val="single" w:color="auto" w:sz="4" w:space="0"/>
                    <w:right w:val="single" w:color="auto" w:sz="4" w:space="0"/>
                  </w:tcBorders>
                  <w:noWrap/>
                  <w:vAlign w:val="center"/>
                </w:tcPr>
                <w:p w14:paraId="5C07A321">
                  <w:pPr>
                    <w:jc w:val="center"/>
                    <w:textAlignment w:val="center"/>
                    <w:rPr>
                      <w:szCs w:val="21"/>
                    </w:rPr>
                  </w:pPr>
                  <w:r>
                    <w:rPr>
                      <w:szCs w:val="21"/>
                    </w:rPr>
                    <w:t>380</w:t>
                  </w:r>
                </w:p>
              </w:tc>
              <w:tc>
                <w:tcPr>
                  <w:tcW w:w="395" w:type="pct"/>
                  <w:tcBorders>
                    <w:top w:val="single" w:color="auto" w:sz="4" w:space="0"/>
                    <w:left w:val="single" w:color="auto" w:sz="4" w:space="0"/>
                    <w:bottom w:val="single" w:color="auto" w:sz="4" w:space="0"/>
                    <w:right w:val="single" w:color="auto" w:sz="4" w:space="0"/>
                  </w:tcBorders>
                  <w:noWrap/>
                  <w:vAlign w:val="center"/>
                </w:tcPr>
                <w:p w14:paraId="33C4C64E">
                  <w:pPr>
                    <w:jc w:val="center"/>
                    <w:textAlignment w:val="center"/>
                    <w:rPr>
                      <w:szCs w:val="21"/>
                    </w:rPr>
                  </w:pPr>
                  <w:r>
                    <w:rPr>
                      <w:szCs w:val="21"/>
                    </w:rPr>
                    <w:t>250</w:t>
                  </w:r>
                </w:p>
              </w:tc>
              <w:tc>
                <w:tcPr>
                  <w:tcW w:w="367" w:type="pct"/>
                  <w:tcBorders>
                    <w:top w:val="single" w:color="auto" w:sz="4" w:space="0"/>
                    <w:left w:val="single" w:color="auto" w:sz="4" w:space="0"/>
                    <w:bottom w:val="single" w:color="auto" w:sz="4" w:space="0"/>
                  </w:tcBorders>
                  <w:noWrap/>
                  <w:vAlign w:val="center"/>
                </w:tcPr>
                <w:p w14:paraId="454C4677">
                  <w:pPr>
                    <w:jc w:val="center"/>
                    <w:textAlignment w:val="center"/>
                    <w:rPr>
                      <w:szCs w:val="21"/>
                    </w:rPr>
                  </w:pPr>
                  <w:r>
                    <w:rPr>
                      <w:szCs w:val="21"/>
                    </w:rPr>
                    <w:t>190</w:t>
                  </w:r>
                </w:p>
              </w:tc>
            </w:tr>
            <w:tr w14:paraId="1A6C60A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bottom w:val="single" w:color="000000" w:sz="4" w:space="0"/>
                    <w:right w:val="single" w:color="000000" w:sz="4" w:space="0"/>
                  </w:tcBorders>
                  <w:noWrap/>
                  <w:vAlign w:val="center"/>
                </w:tcPr>
                <w:p w14:paraId="46CAAD4D">
                  <w:pPr>
                    <w:jc w:val="center"/>
                    <w:textAlignment w:val="center"/>
                    <w:rPr>
                      <w:szCs w:val="21"/>
                    </w:rPr>
                  </w:pPr>
                </w:p>
              </w:tc>
              <w:tc>
                <w:tcPr>
                  <w:tcW w:w="1021" w:type="pct"/>
                  <w:tcBorders>
                    <w:top w:val="single" w:color="000000" w:sz="4" w:space="0"/>
                    <w:left w:val="single" w:color="000000" w:sz="4" w:space="0"/>
                    <w:bottom w:val="single" w:color="000000" w:sz="4" w:space="0"/>
                    <w:right w:val="single" w:color="auto" w:sz="4" w:space="0"/>
                  </w:tcBorders>
                  <w:noWrap/>
                  <w:vAlign w:val="center"/>
                </w:tcPr>
                <w:p w14:paraId="6826E587">
                  <w:pPr>
                    <w:jc w:val="center"/>
                    <w:textAlignment w:val="center"/>
                    <w:rPr>
                      <w:szCs w:val="21"/>
                    </w:rPr>
                  </w:pPr>
                  <w:r>
                    <w:rPr>
                      <w:szCs w:val="21"/>
                    </w:rPr>
                    <w:t>&gt;4</w:t>
                  </w:r>
                </w:p>
              </w:tc>
              <w:tc>
                <w:tcPr>
                  <w:tcW w:w="407" w:type="pct"/>
                  <w:tcBorders>
                    <w:top w:val="single" w:color="auto" w:sz="4" w:space="0"/>
                    <w:left w:val="single" w:color="auto" w:sz="4" w:space="0"/>
                    <w:bottom w:val="single" w:color="auto" w:sz="4" w:space="0"/>
                    <w:right w:val="single" w:color="auto" w:sz="4" w:space="0"/>
                  </w:tcBorders>
                  <w:noWrap/>
                  <w:vAlign w:val="center"/>
                </w:tcPr>
                <w:p w14:paraId="202617D4">
                  <w:pPr>
                    <w:jc w:val="center"/>
                    <w:textAlignment w:val="center"/>
                    <w:rPr>
                      <w:szCs w:val="21"/>
                    </w:rPr>
                  </w:pPr>
                  <w:r>
                    <w:rPr>
                      <w:szCs w:val="21"/>
                    </w:rPr>
                    <w:t>530</w:t>
                  </w:r>
                </w:p>
              </w:tc>
              <w:tc>
                <w:tcPr>
                  <w:tcW w:w="427" w:type="pct"/>
                  <w:tcBorders>
                    <w:top w:val="single" w:color="auto" w:sz="4" w:space="0"/>
                    <w:left w:val="single" w:color="auto" w:sz="4" w:space="0"/>
                    <w:bottom w:val="single" w:color="auto" w:sz="4" w:space="0"/>
                    <w:right w:val="single" w:color="auto" w:sz="4" w:space="0"/>
                  </w:tcBorders>
                  <w:noWrap/>
                  <w:vAlign w:val="center"/>
                </w:tcPr>
                <w:p w14:paraId="70E11BBB">
                  <w:pPr>
                    <w:jc w:val="center"/>
                    <w:textAlignment w:val="center"/>
                    <w:rPr>
                      <w:szCs w:val="21"/>
                    </w:rPr>
                  </w:pPr>
                  <w:r>
                    <w:rPr>
                      <w:szCs w:val="21"/>
                    </w:rPr>
                    <w:t>350</w:t>
                  </w:r>
                </w:p>
              </w:tc>
              <w:tc>
                <w:tcPr>
                  <w:tcW w:w="379" w:type="pct"/>
                  <w:tcBorders>
                    <w:top w:val="single" w:color="auto" w:sz="4" w:space="0"/>
                    <w:left w:val="single" w:color="auto" w:sz="4" w:space="0"/>
                    <w:bottom w:val="single" w:color="auto" w:sz="4" w:space="0"/>
                    <w:right w:val="single" w:color="auto" w:sz="4" w:space="0"/>
                  </w:tcBorders>
                  <w:noWrap/>
                  <w:vAlign w:val="center"/>
                </w:tcPr>
                <w:p w14:paraId="308EDC9C">
                  <w:pPr>
                    <w:jc w:val="center"/>
                    <w:textAlignment w:val="center"/>
                    <w:rPr>
                      <w:szCs w:val="21"/>
                    </w:rPr>
                  </w:pPr>
                  <w:r>
                    <w:rPr>
                      <w:szCs w:val="21"/>
                    </w:rPr>
                    <w:t>260</w:t>
                  </w:r>
                </w:p>
              </w:tc>
              <w:tc>
                <w:tcPr>
                  <w:tcW w:w="421" w:type="pct"/>
                  <w:tcBorders>
                    <w:top w:val="single" w:color="auto" w:sz="4" w:space="0"/>
                    <w:left w:val="single" w:color="auto" w:sz="4" w:space="0"/>
                    <w:bottom w:val="single" w:color="auto" w:sz="4" w:space="0"/>
                    <w:right w:val="single" w:color="auto" w:sz="4" w:space="0"/>
                  </w:tcBorders>
                  <w:noWrap/>
                  <w:vAlign w:val="center"/>
                </w:tcPr>
                <w:p w14:paraId="5ADB5BEF">
                  <w:pPr>
                    <w:jc w:val="center"/>
                    <w:textAlignment w:val="center"/>
                    <w:rPr>
                      <w:szCs w:val="21"/>
                    </w:rPr>
                  </w:pPr>
                  <w:r>
                    <w:rPr>
                      <w:szCs w:val="21"/>
                    </w:rPr>
                    <w:t>530</w:t>
                  </w:r>
                </w:p>
              </w:tc>
              <w:tc>
                <w:tcPr>
                  <w:tcW w:w="438" w:type="pct"/>
                  <w:tcBorders>
                    <w:top w:val="single" w:color="auto" w:sz="4" w:space="0"/>
                    <w:left w:val="single" w:color="auto" w:sz="4" w:space="0"/>
                    <w:bottom w:val="single" w:color="auto" w:sz="4" w:space="0"/>
                    <w:right w:val="single" w:color="auto" w:sz="4" w:space="0"/>
                  </w:tcBorders>
                  <w:noWrap/>
                  <w:vAlign w:val="center"/>
                </w:tcPr>
                <w:p w14:paraId="73713212">
                  <w:pPr>
                    <w:jc w:val="center"/>
                    <w:textAlignment w:val="center"/>
                    <w:rPr>
                      <w:szCs w:val="21"/>
                    </w:rPr>
                  </w:pPr>
                  <w:r>
                    <w:rPr>
                      <w:szCs w:val="21"/>
                    </w:rPr>
                    <w:t>350</w:t>
                  </w:r>
                </w:p>
              </w:tc>
              <w:tc>
                <w:tcPr>
                  <w:tcW w:w="409" w:type="pct"/>
                  <w:tcBorders>
                    <w:top w:val="single" w:color="auto" w:sz="4" w:space="0"/>
                    <w:left w:val="single" w:color="auto" w:sz="4" w:space="0"/>
                    <w:bottom w:val="single" w:color="auto" w:sz="4" w:space="0"/>
                    <w:right w:val="single" w:color="auto" w:sz="4" w:space="0"/>
                  </w:tcBorders>
                  <w:noWrap/>
                  <w:vAlign w:val="center"/>
                </w:tcPr>
                <w:p w14:paraId="2128C0EC">
                  <w:pPr>
                    <w:jc w:val="center"/>
                    <w:textAlignment w:val="center"/>
                    <w:rPr>
                      <w:szCs w:val="21"/>
                    </w:rPr>
                  </w:pPr>
                  <w:r>
                    <w:rPr>
                      <w:szCs w:val="21"/>
                    </w:rPr>
                    <w:t>260</w:t>
                  </w:r>
                </w:p>
              </w:tc>
              <w:tc>
                <w:tcPr>
                  <w:tcW w:w="330" w:type="pct"/>
                  <w:tcBorders>
                    <w:top w:val="single" w:color="auto" w:sz="4" w:space="0"/>
                    <w:left w:val="single" w:color="auto" w:sz="4" w:space="0"/>
                    <w:bottom w:val="single" w:color="auto" w:sz="4" w:space="0"/>
                    <w:right w:val="single" w:color="auto" w:sz="4" w:space="0"/>
                  </w:tcBorders>
                  <w:noWrap/>
                  <w:vAlign w:val="center"/>
                </w:tcPr>
                <w:p w14:paraId="4839810C">
                  <w:pPr>
                    <w:jc w:val="center"/>
                    <w:textAlignment w:val="center"/>
                    <w:rPr>
                      <w:szCs w:val="21"/>
                    </w:rPr>
                  </w:pPr>
                  <w:r>
                    <w:rPr>
                      <w:szCs w:val="21"/>
                    </w:rPr>
                    <w:t>290</w:t>
                  </w:r>
                </w:p>
              </w:tc>
              <w:tc>
                <w:tcPr>
                  <w:tcW w:w="395" w:type="pct"/>
                  <w:tcBorders>
                    <w:top w:val="single" w:color="auto" w:sz="4" w:space="0"/>
                    <w:left w:val="single" w:color="auto" w:sz="4" w:space="0"/>
                    <w:bottom w:val="single" w:color="auto" w:sz="4" w:space="0"/>
                    <w:right w:val="single" w:color="auto" w:sz="4" w:space="0"/>
                  </w:tcBorders>
                  <w:noWrap/>
                  <w:vAlign w:val="center"/>
                </w:tcPr>
                <w:p w14:paraId="253E1B1C">
                  <w:pPr>
                    <w:jc w:val="center"/>
                    <w:textAlignment w:val="center"/>
                    <w:rPr>
                      <w:szCs w:val="21"/>
                    </w:rPr>
                  </w:pPr>
                  <w:r>
                    <w:rPr>
                      <w:szCs w:val="21"/>
                    </w:rPr>
                    <w:t>190</w:t>
                  </w:r>
                </w:p>
              </w:tc>
              <w:tc>
                <w:tcPr>
                  <w:tcW w:w="367" w:type="pct"/>
                  <w:tcBorders>
                    <w:top w:val="single" w:color="auto" w:sz="4" w:space="0"/>
                    <w:left w:val="single" w:color="auto" w:sz="4" w:space="0"/>
                    <w:bottom w:val="single" w:color="auto" w:sz="4" w:space="0"/>
                  </w:tcBorders>
                  <w:noWrap/>
                  <w:vAlign w:val="center"/>
                </w:tcPr>
                <w:p w14:paraId="453E63D7">
                  <w:pPr>
                    <w:jc w:val="center"/>
                    <w:textAlignment w:val="center"/>
                    <w:rPr>
                      <w:szCs w:val="21"/>
                    </w:rPr>
                  </w:pPr>
                  <w:r>
                    <w:rPr>
                      <w:szCs w:val="21"/>
                    </w:rPr>
                    <w:t>140</w:t>
                  </w:r>
                </w:p>
              </w:tc>
            </w:tr>
            <w:tr w14:paraId="41DAEF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restart"/>
                  <w:tcBorders>
                    <w:top w:val="single" w:color="000000" w:sz="4" w:space="0"/>
                    <w:bottom w:val="single" w:color="000000" w:sz="4" w:space="0"/>
                    <w:right w:val="single" w:color="000000" w:sz="4" w:space="0"/>
                  </w:tcBorders>
                  <w:noWrap/>
                  <w:vAlign w:val="center"/>
                </w:tcPr>
                <w:p w14:paraId="38EBAC4A">
                  <w:pPr>
                    <w:jc w:val="center"/>
                    <w:textAlignment w:val="center"/>
                    <w:rPr>
                      <w:szCs w:val="21"/>
                    </w:rPr>
                  </w:pPr>
                  <w:r>
                    <w:rPr>
                      <w:szCs w:val="21"/>
                    </w:rPr>
                    <w:t>B</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03D5EA9E">
                  <w:pPr>
                    <w:jc w:val="center"/>
                    <w:textAlignment w:val="center"/>
                    <w:rPr>
                      <w:szCs w:val="21"/>
                    </w:rPr>
                  </w:pPr>
                  <w:r>
                    <w:rPr>
                      <w:szCs w:val="21"/>
                    </w:rPr>
                    <w:t>&lt;2</w:t>
                  </w:r>
                </w:p>
              </w:tc>
              <w:tc>
                <w:tcPr>
                  <w:tcW w:w="1214" w:type="pct"/>
                  <w:gridSpan w:val="3"/>
                  <w:tcBorders>
                    <w:top w:val="single" w:color="auto" w:sz="4" w:space="0"/>
                    <w:left w:val="single" w:color="000000" w:sz="4" w:space="0"/>
                    <w:bottom w:val="single" w:color="auto" w:sz="4" w:space="0"/>
                    <w:right w:val="single" w:color="auto" w:sz="4" w:space="0"/>
                  </w:tcBorders>
                  <w:noWrap/>
                  <w:vAlign w:val="center"/>
                </w:tcPr>
                <w:p w14:paraId="68602479">
                  <w:pPr>
                    <w:jc w:val="center"/>
                    <w:textAlignment w:val="center"/>
                    <w:rPr>
                      <w:szCs w:val="21"/>
                    </w:rPr>
                  </w:pPr>
                  <w:r>
                    <w:rPr>
                      <w:szCs w:val="21"/>
                    </w:rPr>
                    <w:t>0.01</w:t>
                  </w:r>
                </w:p>
              </w:tc>
              <w:tc>
                <w:tcPr>
                  <w:tcW w:w="1270" w:type="pct"/>
                  <w:gridSpan w:val="3"/>
                  <w:tcBorders>
                    <w:top w:val="single" w:color="auto" w:sz="4" w:space="0"/>
                    <w:left w:val="single" w:color="auto" w:sz="4" w:space="0"/>
                    <w:bottom w:val="single" w:color="auto" w:sz="4" w:space="0"/>
                    <w:right w:val="single" w:color="auto" w:sz="4" w:space="0"/>
                  </w:tcBorders>
                  <w:noWrap/>
                  <w:vAlign w:val="center"/>
                </w:tcPr>
                <w:p w14:paraId="50297B7D">
                  <w:pPr>
                    <w:jc w:val="center"/>
                    <w:textAlignment w:val="center"/>
                    <w:rPr>
                      <w:szCs w:val="21"/>
                    </w:rPr>
                  </w:pPr>
                  <w:r>
                    <w:rPr>
                      <w:szCs w:val="21"/>
                    </w:rPr>
                    <w:t>0.015</w:t>
                  </w:r>
                </w:p>
              </w:tc>
              <w:tc>
                <w:tcPr>
                  <w:tcW w:w="1094" w:type="pct"/>
                  <w:gridSpan w:val="3"/>
                  <w:tcBorders>
                    <w:top w:val="single" w:color="auto" w:sz="4" w:space="0"/>
                    <w:left w:val="single" w:color="auto" w:sz="4" w:space="0"/>
                    <w:bottom w:val="single" w:color="auto" w:sz="4" w:space="0"/>
                  </w:tcBorders>
                  <w:noWrap/>
                  <w:vAlign w:val="center"/>
                </w:tcPr>
                <w:p w14:paraId="1BD01D3D">
                  <w:pPr>
                    <w:jc w:val="center"/>
                    <w:textAlignment w:val="center"/>
                    <w:rPr>
                      <w:szCs w:val="21"/>
                    </w:rPr>
                  </w:pPr>
                  <w:r>
                    <w:rPr>
                      <w:szCs w:val="21"/>
                    </w:rPr>
                    <w:t>0.015</w:t>
                  </w:r>
                </w:p>
              </w:tc>
            </w:tr>
            <w:tr w14:paraId="036EB8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bottom w:val="single" w:color="000000" w:sz="4" w:space="0"/>
                    <w:right w:val="single" w:color="000000" w:sz="4" w:space="0"/>
                  </w:tcBorders>
                  <w:noWrap/>
                  <w:vAlign w:val="center"/>
                </w:tcPr>
                <w:p w14:paraId="373B6761">
                  <w:pPr>
                    <w:jc w:val="center"/>
                    <w:textAlignment w:val="center"/>
                    <w:rPr>
                      <w:szCs w:val="21"/>
                    </w:rPr>
                  </w:pP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3EDE7AAA">
                  <w:pPr>
                    <w:jc w:val="center"/>
                    <w:textAlignment w:val="center"/>
                    <w:rPr>
                      <w:szCs w:val="21"/>
                    </w:rPr>
                  </w:pPr>
                  <w:r>
                    <w:rPr>
                      <w:szCs w:val="21"/>
                    </w:rPr>
                    <w:t>&gt;2</w:t>
                  </w:r>
                </w:p>
              </w:tc>
              <w:tc>
                <w:tcPr>
                  <w:tcW w:w="1214" w:type="pct"/>
                  <w:gridSpan w:val="3"/>
                  <w:tcBorders>
                    <w:top w:val="single" w:color="auto" w:sz="4" w:space="0"/>
                    <w:left w:val="single" w:color="000000" w:sz="4" w:space="0"/>
                    <w:bottom w:val="single" w:color="auto" w:sz="4" w:space="0"/>
                    <w:right w:val="single" w:color="auto" w:sz="4" w:space="0"/>
                  </w:tcBorders>
                  <w:noWrap/>
                  <w:vAlign w:val="center"/>
                </w:tcPr>
                <w:p w14:paraId="315DDDFF">
                  <w:pPr>
                    <w:jc w:val="center"/>
                    <w:textAlignment w:val="center"/>
                    <w:rPr>
                      <w:szCs w:val="21"/>
                    </w:rPr>
                  </w:pPr>
                  <w:r>
                    <w:rPr>
                      <w:szCs w:val="21"/>
                    </w:rPr>
                    <w:t>0.021</w:t>
                  </w:r>
                </w:p>
              </w:tc>
              <w:tc>
                <w:tcPr>
                  <w:tcW w:w="1270" w:type="pct"/>
                  <w:gridSpan w:val="3"/>
                  <w:tcBorders>
                    <w:top w:val="single" w:color="auto" w:sz="4" w:space="0"/>
                    <w:left w:val="single" w:color="auto" w:sz="4" w:space="0"/>
                    <w:bottom w:val="single" w:color="auto" w:sz="4" w:space="0"/>
                    <w:right w:val="single" w:color="auto" w:sz="4" w:space="0"/>
                  </w:tcBorders>
                  <w:noWrap/>
                  <w:vAlign w:val="center"/>
                </w:tcPr>
                <w:p w14:paraId="7D1A7117">
                  <w:pPr>
                    <w:jc w:val="center"/>
                    <w:textAlignment w:val="center"/>
                    <w:rPr>
                      <w:szCs w:val="21"/>
                    </w:rPr>
                  </w:pPr>
                  <w:r>
                    <w:rPr>
                      <w:szCs w:val="21"/>
                    </w:rPr>
                    <w:t>0.036</w:t>
                  </w:r>
                </w:p>
              </w:tc>
              <w:tc>
                <w:tcPr>
                  <w:tcW w:w="1094" w:type="pct"/>
                  <w:gridSpan w:val="3"/>
                  <w:tcBorders>
                    <w:top w:val="single" w:color="auto" w:sz="4" w:space="0"/>
                    <w:left w:val="single" w:color="auto" w:sz="4" w:space="0"/>
                    <w:bottom w:val="single" w:color="auto" w:sz="4" w:space="0"/>
                  </w:tcBorders>
                  <w:noWrap/>
                  <w:vAlign w:val="center"/>
                </w:tcPr>
                <w:p w14:paraId="1944F687">
                  <w:pPr>
                    <w:jc w:val="center"/>
                    <w:textAlignment w:val="center"/>
                    <w:rPr>
                      <w:szCs w:val="21"/>
                    </w:rPr>
                  </w:pPr>
                  <w:r>
                    <w:rPr>
                      <w:szCs w:val="21"/>
                    </w:rPr>
                    <w:t>0.036</w:t>
                  </w:r>
                </w:p>
              </w:tc>
            </w:tr>
            <w:tr w14:paraId="65CAAF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restart"/>
                  <w:tcBorders>
                    <w:top w:val="single" w:color="000000" w:sz="4" w:space="0"/>
                    <w:bottom w:val="single" w:color="000000" w:sz="4" w:space="0"/>
                    <w:right w:val="single" w:color="000000" w:sz="4" w:space="0"/>
                  </w:tcBorders>
                  <w:noWrap/>
                  <w:vAlign w:val="center"/>
                </w:tcPr>
                <w:p w14:paraId="7426CC3F">
                  <w:pPr>
                    <w:jc w:val="center"/>
                    <w:textAlignment w:val="center"/>
                    <w:rPr>
                      <w:szCs w:val="21"/>
                    </w:rPr>
                  </w:pPr>
                  <w:r>
                    <w:rPr>
                      <w:szCs w:val="21"/>
                    </w:rPr>
                    <w:t>C</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7A33022D">
                  <w:pPr>
                    <w:jc w:val="center"/>
                    <w:textAlignment w:val="center"/>
                    <w:rPr>
                      <w:szCs w:val="21"/>
                    </w:rPr>
                  </w:pPr>
                  <w:r>
                    <w:rPr>
                      <w:szCs w:val="21"/>
                    </w:rPr>
                    <w:t>&lt;2</w:t>
                  </w:r>
                </w:p>
              </w:tc>
              <w:tc>
                <w:tcPr>
                  <w:tcW w:w="1214" w:type="pct"/>
                  <w:gridSpan w:val="3"/>
                  <w:tcBorders>
                    <w:top w:val="single" w:color="auto" w:sz="4" w:space="0"/>
                    <w:left w:val="single" w:color="000000" w:sz="4" w:space="0"/>
                    <w:bottom w:val="single" w:color="auto" w:sz="4" w:space="0"/>
                    <w:right w:val="single" w:color="auto" w:sz="4" w:space="0"/>
                  </w:tcBorders>
                  <w:noWrap/>
                  <w:vAlign w:val="center"/>
                </w:tcPr>
                <w:p w14:paraId="7FE848FE">
                  <w:pPr>
                    <w:jc w:val="center"/>
                    <w:textAlignment w:val="center"/>
                    <w:rPr>
                      <w:szCs w:val="21"/>
                    </w:rPr>
                  </w:pPr>
                  <w:r>
                    <w:rPr>
                      <w:szCs w:val="21"/>
                    </w:rPr>
                    <w:t>1.85</w:t>
                  </w:r>
                </w:p>
              </w:tc>
              <w:tc>
                <w:tcPr>
                  <w:tcW w:w="1270" w:type="pct"/>
                  <w:gridSpan w:val="3"/>
                  <w:tcBorders>
                    <w:top w:val="single" w:color="auto" w:sz="4" w:space="0"/>
                    <w:left w:val="single" w:color="auto" w:sz="4" w:space="0"/>
                    <w:bottom w:val="single" w:color="auto" w:sz="4" w:space="0"/>
                    <w:right w:val="single" w:color="auto" w:sz="4" w:space="0"/>
                  </w:tcBorders>
                  <w:noWrap/>
                  <w:vAlign w:val="center"/>
                </w:tcPr>
                <w:p w14:paraId="35CB17D1">
                  <w:pPr>
                    <w:jc w:val="center"/>
                    <w:textAlignment w:val="center"/>
                    <w:rPr>
                      <w:szCs w:val="21"/>
                    </w:rPr>
                  </w:pPr>
                  <w:r>
                    <w:rPr>
                      <w:szCs w:val="21"/>
                    </w:rPr>
                    <w:t>1.79</w:t>
                  </w:r>
                </w:p>
              </w:tc>
              <w:tc>
                <w:tcPr>
                  <w:tcW w:w="1094" w:type="pct"/>
                  <w:gridSpan w:val="3"/>
                  <w:tcBorders>
                    <w:top w:val="single" w:color="auto" w:sz="4" w:space="0"/>
                    <w:left w:val="single" w:color="auto" w:sz="4" w:space="0"/>
                    <w:bottom w:val="single" w:color="auto" w:sz="4" w:space="0"/>
                  </w:tcBorders>
                  <w:noWrap/>
                  <w:vAlign w:val="center"/>
                </w:tcPr>
                <w:p w14:paraId="34E40EDD">
                  <w:pPr>
                    <w:jc w:val="center"/>
                    <w:textAlignment w:val="center"/>
                    <w:rPr>
                      <w:szCs w:val="21"/>
                    </w:rPr>
                  </w:pPr>
                  <w:r>
                    <w:rPr>
                      <w:szCs w:val="21"/>
                    </w:rPr>
                    <w:t>1.79</w:t>
                  </w:r>
                </w:p>
              </w:tc>
            </w:tr>
            <w:tr w14:paraId="077FFA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bottom w:val="single" w:color="000000" w:sz="4" w:space="0"/>
                    <w:right w:val="single" w:color="000000" w:sz="4" w:space="0"/>
                  </w:tcBorders>
                  <w:noWrap/>
                  <w:vAlign w:val="center"/>
                </w:tcPr>
                <w:p w14:paraId="6E2F6E1C">
                  <w:pPr>
                    <w:jc w:val="center"/>
                    <w:textAlignment w:val="center"/>
                    <w:rPr>
                      <w:szCs w:val="21"/>
                    </w:rPr>
                  </w:pP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38755AC5">
                  <w:pPr>
                    <w:jc w:val="center"/>
                    <w:textAlignment w:val="center"/>
                    <w:rPr>
                      <w:szCs w:val="21"/>
                    </w:rPr>
                  </w:pPr>
                  <w:r>
                    <w:rPr>
                      <w:szCs w:val="21"/>
                    </w:rPr>
                    <w:t>&gt;2</w:t>
                  </w:r>
                </w:p>
              </w:tc>
              <w:tc>
                <w:tcPr>
                  <w:tcW w:w="1214" w:type="pct"/>
                  <w:gridSpan w:val="3"/>
                  <w:tcBorders>
                    <w:top w:val="single" w:color="auto" w:sz="4" w:space="0"/>
                    <w:left w:val="single" w:color="000000" w:sz="4" w:space="0"/>
                    <w:bottom w:val="single" w:color="auto" w:sz="4" w:space="0"/>
                    <w:right w:val="single" w:color="auto" w:sz="4" w:space="0"/>
                  </w:tcBorders>
                  <w:noWrap/>
                  <w:vAlign w:val="center"/>
                </w:tcPr>
                <w:p w14:paraId="3B39FB25">
                  <w:pPr>
                    <w:jc w:val="center"/>
                    <w:textAlignment w:val="center"/>
                    <w:rPr>
                      <w:szCs w:val="21"/>
                    </w:rPr>
                  </w:pPr>
                  <w:r>
                    <w:rPr>
                      <w:szCs w:val="21"/>
                    </w:rPr>
                    <w:t>1.85</w:t>
                  </w:r>
                </w:p>
              </w:tc>
              <w:tc>
                <w:tcPr>
                  <w:tcW w:w="1270" w:type="pct"/>
                  <w:gridSpan w:val="3"/>
                  <w:tcBorders>
                    <w:top w:val="single" w:color="auto" w:sz="4" w:space="0"/>
                    <w:left w:val="single" w:color="auto" w:sz="4" w:space="0"/>
                    <w:bottom w:val="single" w:color="auto" w:sz="4" w:space="0"/>
                    <w:right w:val="single" w:color="auto" w:sz="4" w:space="0"/>
                  </w:tcBorders>
                  <w:noWrap/>
                  <w:vAlign w:val="center"/>
                </w:tcPr>
                <w:p w14:paraId="154E6617">
                  <w:pPr>
                    <w:jc w:val="center"/>
                    <w:textAlignment w:val="center"/>
                    <w:rPr>
                      <w:szCs w:val="21"/>
                    </w:rPr>
                  </w:pPr>
                  <w:r>
                    <w:rPr>
                      <w:szCs w:val="21"/>
                    </w:rPr>
                    <w:t>1.77</w:t>
                  </w:r>
                </w:p>
              </w:tc>
              <w:tc>
                <w:tcPr>
                  <w:tcW w:w="1094" w:type="pct"/>
                  <w:gridSpan w:val="3"/>
                  <w:tcBorders>
                    <w:top w:val="single" w:color="auto" w:sz="4" w:space="0"/>
                    <w:left w:val="single" w:color="auto" w:sz="4" w:space="0"/>
                    <w:bottom w:val="single" w:color="auto" w:sz="4" w:space="0"/>
                  </w:tcBorders>
                  <w:noWrap/>
                  <w:vAlign w:val="center"/>
                </w:tcPr>
                <w:p w14:paraId="203FAC9D">
                  <w:pPr>
                    <w:jc w:val="center"/>
                    <w:textAlignment w:val="center"/>
                    <w:rPr>
                      <w:szCs w:val="21"/>
                    </w:rPr>
                  </w:pPr>
                  <w:r>
                    <w:rPr>
                      <w:szCs w:val="21"/>
                    </w:rPr>
                    <w:t>1.77</w:t>
                  </w:r>
                </w:p>
              </w:tc>
            </w:tr>
            <w:tr w14:paraId="135974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restart"/>
                  <w:tcBorders>
                    <w:top w:val="single" w:color="000000" w:sz="4" w:space="0"/>
                    <w:bottom w:val="single" w:color="000000" w:sz="4" w:space="0"/>
                    <w:right w:val="single" w:color="000000" w:sz="4" w:space="0"/>
                  </w:tcBorders>
                  <w:noWrap/>
                  <w:vAlign w:val="center"/>
                </w:tcPr>
                <w:p w14:paraId="6FCB7FBE">
                  <w:pPr>
                    <w:jc w:val="center"/>
                    <w:textAlignment w:val="center"/>
                    <w:rPr>
                      <w:szCs w:val="21"/>
                    </w:rPr>
                  </w:pPr>
                  <w:r>
                    <w:rPr>
                      <w:szCs w:val="21"/>
                    </w:rPr>
                    <w:t>D</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46057B5B">
                  <w:pPr>
                    <w:jc w:val="center"/>
                    <w:textAlignment w:val="center"/>
                    <w:rPr>
                      <w:szCs w:val="21"/>
                    </w:rPr>
                  </w:pPr>
                  <w:r>
                    <w:rPr>
                      <w:szCs w:val="21"/>
                    </w:rPr>
                    <w:t>&lt;2</w:t>
                  </w:r>
                </w:p>
              </w:tc>
              <w:tc>
                <w:tcPr>
                  <w:tcW w:w="1214" w:type="pct"/>
                  <w:gridSpan w:val="3"/>
                  <w:tcBorders>
                    <w:top w:val="single" w:color="auto" w:sz="4" w:space="0"/>
                    <w:left w:val="single" w:color="000000" w:sz="4" w:space="0"/>
                    <w:bottom w:val="single" w:color="auto" w:sz="4" w:space="0"/>
                    <w:right w:val="single" w:color="auto" w:sz="4" w:space="0"/>
                  </w:tcBorders>
                  <w:noWrap/>
                  <w:vAlign w:val="center"/>
                </w:tcPr>
                <w:p w14:paraId="3420DFB2">
                  <w:pPr>
                    <w:jc w:val="center"/>
                    <w:textAlignment w:val="center"/>
                    <w:rPr>
                      <w:szCs w:val="21"/>
                    </w:rPr>
                  </w:pPr>
                  <w:r>
                    <w:rPr>
                      <w:szCs w:val="21"/>
                    </w:rPr>
                    <w:t>0.78</w:t>
                  </w:r>
                </w:p>
              </w:tc>
              <w:tc>
                <w:tcPr>
                  <w:tcW w:w="1270" w:type="pct"/>
                  <w:gridSpan w:val="3"/>
                  <w:tcBorders>
                    <w:top w:val="single" w:color="auto" w:sz="4" w:space="0"/>
                    <w:left w:val="single" w:color="auto" w:sz="4" w:space="0"/>
                    <w:bottom w:val="single" w:color="auto" w:sz="4" w:space="0"/>
                    <w:right w:val="single" w:color="auto" w:sz="4" w:space="0"/>
                  </w:tcBorders>
                  <w:noWrap/>
                  <w:vAlign w:val="center"/>
                </w:tcPr>
                <w:p w14:paraId="267A64E5">
                  <w:pPr>
                    <w:jc w:val="center"/>
                    <w:textAlignment w:val="center"/>
                    <w:rPr>
                      <w:szCs w:val="21"/>
                    </w:rPr>
                  </w:pPr>
                  <w:r>
                    <w:rPr>
                      <w:szCs w:val="21"/>
                    </w:rPr>
                    <w:t>0.78</w:t>
                  </w:r>
                </w:p>
              </w:tc>
              <w:tc>
                <w:tcPr>
                  <w:tcW w:w="1094" w:type="pct"/>
                  <w:gridSpan w:val="3"/>
                  <w:tcBorders>
                    <w:top w:val="single" w:color="auto" w:sz="4" w:space="0"/>
                    <w:left w:val="single" w:color="auto" w:sz="4" w:space="0"/>
                    <w:bottom w:val="single" w:color="auto" w:sz="4" w:space="0"/>
                  </w:tcBorders>
                  <w:noWrap/>
                  <w:vAlign w:val="center"/>
                </w:tcPr>
                <w:p w14:paraId="149F3463">
                  <w:pPr>
                    <w:jc w:val="center"/>
                    <w:textAlignment w:val="center"/>
                    <w:rPr>
                      <w:szCs w:val="21"/>
                    </w:rPr>
                  </w:pPr>
                  <w:r>
                    <w:rPr>
                      <w:szCs w:val="21"/>
                    </w:rPr>
                    <w:t>0.57</w:t>
                  </w:r>
                </w:p>
              </w:tc>
            </w:tr>
            <w:tr w14:paraId="5B8509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99" w:type="pct"/>
                  <w:vMerge w:val="continue"/>
                  <w:tcBorders>
                    <w:top w:val="single" w:color="000000" w:sz="4" w:space="0"/>
                    <w:right w:val="single" w:color="000000" w:sz="4" w:space="0"/>
                  </w:tcBorders>
                  <w:noWrap/>
                  <w:vAlign w:val="center"/>
                </w:tcPr>
                <w:p w14:paraId="6BD6B325">
                  <w:pPr>
                    <w:jc w:val="center"/>
                    <w:rPr>
                      <w:szCs w:val="21"/>
                    </w:rPr>
                  </w:pPr>
                </w:p>
              </w:tc>
              <w:tc>
                <w:tcPr>
                  <w:tcW w:w="1021" w:type="pct"/>
                  <w:tcBorders>
                    <w:top w:val="single" w:color="000000" w:sz="4" w:space="0"/>
                    <w:left w:val="single" w:color="000000" w:sz="4" w:space="0"/>
                    <w:right w:val="single" w:color="000000" w:sz="4" w:space="0"/>
                  </w:tcBorders>
                  <w:noWrap/>
                  <w:vAlign w:val="center"/>
                </w:tcPr>
                <w:p w14:paraId="7953FE6B">
                  <w:pPr>
                    <w:jc w:val="center"/>
                    <w:textAlignment w:val="center"/>
                    <w:rPr>
                      <w:szCs w:val="21"/>
                    </w:rPr>
                  </w:pPr>
                  <w:r>
                    <w:rPr>
                      <w:szCs w:val="21"/>
                    </w:rPr>
                    <w:t>&gt;2</w:t>
                  </w:r>
                </w:p>
              </w:tc>
              <w:tc>
                <w:tcPr>
                  <w:tcW w:w="1214" w:type="pct"/>
                  <w:gridSpan w:val="3"/>
                  <w:tcBorders>
                    <w:top w:val="single" w:color="auto" w:sz="4" w:space="0"/>
                    <w:left w:val="single" w:color="000000" w:sz="4" w:space="0"/>
                    <w:right w:val="single" w:color="auto" w:sz="4" w:space="0"/>
                  </w:tcBorders>
                  <w:noWrap/>
                  <w:vAlign w:val="center"/>
                </w:tcPr>
                <w:p w14:paraId="3ED64BBB">
                  <w:pPr>
                    <w:widowControl/>
                    <w:jc w:val="center"/>
                    <w:textAlignment w:val="bottom"/>
                    <w:rPr>
                      <w:szCs w:val="21"/>
                    </w:rPr>
                  </w:pPr>
                  <w:r>
                    <w:rPr>
                      <w:szCs w:val="21"/>
                    </w:rPr>
                    <w:t>0.84</w:t>
                  </w:r>
                </w:p>
              </w:tc>
              <w:tc>
                <w:tcPr>
                  <w:tcW w:w="1270" w:type="pct"/>
                  <w:gridSpan w:val="3"/>
                  <w:tcBorders>
                    <w:top w:val="single" w:color="auto" w:sz="4" w:space="0"/>
                    <w:left w:val="single" w:color="auto" w:sz="4" w:space="0"/>
                    <w:right w:val="single" w:color="auto" w:sz="4" w:space="0"/>
                  </w:tcBorders>
                  <w:noWrap/>
                  <w:vAlign w:val="center"/>
                </w:tcPr>
                <w:p w14:paraId="73CC5C40">
                  <w:pPr>
                    <w:widowControl/>
                    <w:jc w:val="center"/>
                    <w:textAlignment w:val="bottom"/>
                    <w:rPr>
                      <w:szCs w:val="21"/>
                    </w:rPr>
                  </w:pPr>
                  <w:r>
                    <w:rPr>
                      <w:szCs w:val="21"/>
                    </w:rPr>
                    <w:t>0.84</w:t>
                  </w:r>
                </w:p>
              </w:tc>
              <w:tc>
                <w:tcPr>
                  <w:tcW w:w="1094" w:type="pct"/>
                  <w:gridSpan w:val="3"/>
                  <w:tcBorders>
                    <w:top w:val="single" w:color="auto" w:sz="4" w:space="0"/>
                    <w:left w:val="single" w:color="auto" w:sz="4" w:space="0"/>
                  </w:tcBorders>
                  <w:noWrap/>
                  <w:vAlign w:val="center"/>
                </w:tcPr>
                <w:p w14:paraId="783E504F">
                  <w:pPr>
                    <w:widowControl/>
                    <w:jc w:val="center"/>
                    <w:textAlignment w:val="bottom"/>
                    <w:rPr>
                      <w:szCs w:val="21"/>
                    </w:rPr>
                  </w:pPr>
                  <w:r>
                    <w:rPr>
                      <w:szCs w:val="21"/>
                    </w:rPr>
                    <w:t>0.76</w:t>
                  </w:r>
                </w:p>
              </w:tc>
            </w:tr>
          </w:tbl>
          <w:p w14:paraId="2E1A0733">
            <w:pPr>
              <w:pStyle w:val="64"/>
              <w:adjustRightInd w:val="0"/>
              <w:snapToGrid w:val="0"/>
              <w:spacing w:beforeLines="50" w:line="360" w:lineRule="auto"/>
              <w:ind w:firstLine="420"/>
              <w:jc w:val="both"/>
              <w:rPr>
                <w:rFonts w:eastAsia="宋体"/>
                <w:bCs/>
                <w:sz w:val="21"/>
                <w:szCs w:val="21"/>
              </w:rPr>
            </w:pPr>
            <w:r>
              <w:rPr>
                <w:rFonts w:eastAsia="宋体"/>
                <w:sz w:val="21"/>
                <w:szCs w:val="21"/>
              </w:rPr>
              <w:t>根据扩建项目及现有项目废气无组织排放情况，</w:t>
            </w:r>
            <w:r>
              <w:rPr>
                <w:rFonts w:eastAsia="宋体"/>
                <w:bCs/>
                <w:sz w:val="21"/>
                <w:szCs w:val="21"/>
              </w:rPr>
              <w:t>及表4-12计算系数计算得建设项目完成后全厂卫生防护距离见表4-13。</w:t>
            </w:r>
          </w:p>
          <w:p w14:paraId="7CE02853">
            <w:pPr>
              <w:pStyle w:val="64"/>
              <w:adjustRightInd w:val="0"/>
              <w:snapToGrid w:val="0"/>
              <w:spacing w:line="240" w:lineRule="auto"/>
              <w:ind w:firstLine="0" w:firstLineChars="0"/>
              <w:jc w:val="center"/>
              <w:rPr>
                <w:rFonts w:eastAsia="宋体"/>
                <w:b/>
                <w:sz w:val="21"/>
                <w:szCs w:val="21"/>
              </w:rPr>
            </w:pPr>
            <w:r>
              <w:rPr>
                <w:rFonts w:eastAsia="宋体"/>
                <w:b/>
                <w:sz w:val="21"/>
                <w:szCs w:val="21"/>
              </w:rPr>
              <w:t>表4-13  卫生防护距离计算结果表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62"/>
              <w:gridCol w:w="1350"/>
              <w:gridCol w:w="1593"/>
              <w:gridCol w:w="1434"/>
              <w:gridCol w:w="1800"/>
              <w:gridCol w:w="1691"/>
            </w:tblGrid>
            <w:tr w14:paraId="7E4327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Align w:val="center"/>
                </w:tcPr>
                <w:p w14:paraId="7B557CF6">
                  <w:pPr>
                    <w:pStyle w:val="64"/>
                    <w:adjustRightInd w:val="0"/>
                    <w:snapToGrid w:val="0"/>
                    <w:spacing w:line="240" w:lineRule="auto"/>
                    <w:ind w:firstLine="0" w:firstLineChars="0"/>
                    <w:jc w:val="center"/>
                    <w:rPr>
                      <w:rFonts w:eastAsia="宋体"/>
                      <w:b/>
                      <w:sz w:val="21"/>
                      <w:szCs w:val="21"/>
                    </w:rPr>
                  </w:pPr>
                  <w:r>
                    <w:rPr>
                      <w:rFonts w:eastAsia="宋体"/>
                      <w:b/>
                      <w:sz w:val="21"/>
                      <w:szCs w:val="21"/>
                    </w:rPr>
                    <w:t>污染源</w:t>
                  </w:r>
                </w:p>
              </w:tc>
              <w:tc>
                <w:tcPr>
                  <w:tcW w:w="1350" w:type="dxa"/>
                  <w:vAlign w:val="center"/>
                </w:tcPr>
                <w:p w14:paraId="41F3A9ED">
                  <w:pPr>
                    <w:pStyle w:val="64"/>
                    <w:adjustRightInd w:val="0"/>
                    <w:snapToGrid w:val="0"/>
                    <w:spacing w:line="240" w:lineRule="auto"/>
                    <w:ind w:firstLine="0" w:firstLineChars="0"/>
                    <w:jc w:val="center"/>
                    <w:rPr>
                      <w:rFonts w:eastAsia="宋体"/>
                      <w:b/>
                      <w:sz w:val="21"/>
                      <w:szCs w:val="21"/>
                    </w:rPr>
                  </w:pPr>
                  <w:r>
                    <w:rPr>
                      <w:rFonts w:eastAsia="宋体"/>
                      <w:b/>
                      <w:sz w:val="21"/>
                      <w:szCs w:val="21"/>
                    </w:rPr>
                    <w:t>污染源类型</w:t>
                  </w:r>
                </w:p>
              </w:tc>
              <w:tc>
                <w:tcPr>
                  <w:tcW w:w="1593" w:type="dxa"/>
                  <w:vAlign w:val="center"/>
                </w:tcPr>
                <w:p w14:paraId="4560F5AD">
                  <w:pPr>
                    <w:pStyle w:val="64"/>
                    <w:adjustRightInd w:val="0"/>
                    <w:snapToGrid w:val="0"/>
                    <w:spacing w:line="240" w:lineRule="auto"/>
                    <w:ind w:firstLine="0" w:firstLineChars="0"/>
                    <w:jc w:val="center"/>
                    <w:rPr>
                      <w:rFonts w:eastAsia="宋体"/>
                      <w:b/>
                      <w:sz w:val="21"/>
                      <w:szCs w:val="21"/>
                    </w:rPr>
                  </w:pPr>
                  <w:r>
                    <w:rPr>
                      <w:rFonts w:eastAsia="宋体"/>
                      <w:b/>
                      <w:sz w:val="21"/>
                      <w:szCs w:val="21"/>
                    </w:rPr>
                    <w:t>污染物</w:t>
                  </w:r>
                </w:p>
              </w:tc>
              <w:tc>
                <w:tcPr>
                  <w:tcW w:w="1434" w:type="dxa"/>
                  <w:vAlign w:val="center"/>
                </w:tcPr>
                <w:p w14:paraId="1931747B">
                  <w:pPr>
                    <w:pStyle w:val="64"/>
                    <w:adjustRightInd w:val="0"/>
                    <w:snapToGrid w:val="0"/>
                    <w:spacing w:line="240" w:lineRule="auto"/>
                    <w:ind w:firstLine="0" w:firstLineChars="0"/>
                    <w:jc w:val="center"/>
                    <w:rPr>
                      <w:rFonts w:eastAsia="宋体"/>
                      <w:b/>
                      <w:sz w:val="21"/>
                      <w:szCs w:val="21"/>
                    </w:rPr>
                  </w:pPr>
                  <w:r>
                    <w:rPr>
                      <w:rFonts w:eastAsia="宋体"/>
                      <w:b/>
                      <w:sz w:val="21"/>
                      <w:szCs w:val="21"/>
                    </w:rPr>
                    <w:t>计算值（m）</w:t>
                  </w:r>
                </w:p>
              </w:tc>
              <w:tc>
                <w:tcPr>
                  <w:tcW w:w="1800" w:type="dxa"/>
                  <w:vAlign w:val="center"/>
                </w:tcPr>
                <w:p w14:paraId="3FD8148F">
                  <w:pPr>
                    <w:pStyle w:val="64"/>
                    <w:adjustRightInd w:val="0"/>
                    <w:snapToGrid w:val="0"/>
                    <w:spacing w:line="240" w:lineRule="auto"/>
                    <w:ind w:firstLine="0" w:firstLineChars="0"/>
                    <w:jc w:val="center"/>
                    <w:rPr>
                      <w:rFonts w:eastAsia="宋体"/>
                      <w:b/>
                      <w:sz w:val="21"/>
                      <w:szCs w:val="21"/>
                    </w:rPr>
                  </w:pPr>
                  <w:r>
                    <w:rPr>
                      <w:rFonts w:eastAsia="宋体"/>
                      <w:b/>
                      <w:sz w:val="21"/>
                      <w:szCs w:val="21"/>
                    </w:rPr>
                    <w:t>卫生防护距离（m）</w:t>
                  </w:r>
                </w:p>
              </w:tc>
              <w:tc>
                <w:tcPr>
                  <w:tcW w:w="1691" w:type="dxa"/>
                  <w:vAlign w:val="center"/>
                </w:tcPr>
                <w:p w14:paraId="276D4A77">
                  <w:pPr>
                    <w:pStyle w:val="64"/>
                    <w:adjustRightInd w:val="0"/>
                    <w:snapToGrid w:val="0"/>
                    <w:spacing w:line="240" w:lineRule="auto"/>
                    <w:ind w:firstLine="0" w:firstLineChars="0"/>
                    <w:jc w:val="center"/>
                    <w:rPr>
                      <w:rFonts w:eastAsia="宋体"/>
                      <w:b/>
                      <w:sz w:val="21"/>
                      <w:szCs w:val="21"/>
                    </w:rPr>
                  </w:pPr>
                  <w:r>
                    <w:rPr>
                      <w:rFonts w:eastAsia="宋体"/>
                      <w:b/>
                      <w:sz w:val="21"/>
                      <w:szCs w:val="21"/>
                    </w:rPr>
                    <w:t>提级后距离（m）</w:t>
                  </w:r>
                </w:p>
              </w:tc>
            </w:tr>
            <w:tr w14:paraId="6B69B1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restart"/>
                  <w:vAlign w:val="center"/>
                </w:tcPr>
                <w:p w14:paraId="2403A322">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rPr>
                    <w:t>3#</w:t>
                  </w:r>
                  <w:r>
                    <w:rPr>
                      <w:rFonts w:eastAsia="宋体"/>
                      <w:bCs/>
                      <w:sz w:val="21"/>
                      <w:szCs w:val="21"/>
                    </w:rPr>
                    <w:t>车间</w:t>
                  </w:r>
                </w:p>
              </w:tc>
              <w:tc>
                <w:tcPr>
                  <w:tcW w:w="1350" w:type="dxa"/>
                  <w:vMerge w:val="restart"/>
                  <w:vAlign w:val="center"/>
                </w:tcPr>
                <w:p w14:paraId="1FAB81A2">
                  <w:pPr>
                    <w:pStyle w:val="64"/>
                    <w:adjustRightInd w:val="0"/>
                    <w:snapToGrid w:val="0"/>
                    <w:spacing w:line="240" w:lineRule="auto"/>
                    <w:ind w:firstLine="0" w:firstLineChars="0"/>
                    <w:jc w:val="center"/>
                    <w:rPr>
                      <w:rFonts w:eastAsia="宋体"/>
                      <w:bCs/>
                      <w:sz w:val="21"/>
                      <w:szCs w:val="21"/>
                    </w:rPr>
                  </w:pPr>
                  <w:r>
                    <w:rPr>
                      <w:rFonts w:eastAsia="宋体"/>
                      <w:bCs/>
                      <w:sz w:val="21"/>
                      <w:szCs w:val="21"/>
                    </w:rPr>
                    <w:t>面源</w:t>
                  </w:r>
                </w:p>
              </w:tc>
              <w:tc>
                <w:tcPr>
                  <w:tcW w:w="1593" w:type="dxa"/>
                  <w:vAlign w:val="center"/>
                </w:tcPr>
                <w:p w14:paraId="4FEC2968">
                  <w:pPr>
                    <w:jc w:val="center"/>
                    <w:rPr>
                      <w:bCs/>
                      <w:szCs w:val="21"/>
                    </w:rPr>
                  </w:pPr>
                  <w:r>
                    <w:rPr>
                      <w:rFonts w:hint="eastAsia"/>
                      <w:szCs w:val="21"/>
                    </w:rPr>
                    <w:t>非甲烷总烃</w:t>
                  </w:r>
                </w:p>
              </w:tc>
              <w:tc>
                <w:tcPr>
                  <w:tcW w:w="1434" w:type="dxa"/>
                  <w:vAlign w:val="center"/>
                </w:tcPr>
                <w:p w14:paraId="39A4A6F3">
                  <w:pPr>
                    <w:pStyle w:val="64"/>
                    <w:adjustRightInd w:val="0"/>
                    <w:snapToGrid w:val="0"/>
                    <w:spacing w:line="240" w:lineRule="auto"/>
                    <w:ind w:firstLine="0" w:firstLineChars="0"/>
                    <w:jc w:val="center"/>
                    <w:rPr>
                      <w:rFonts w:hint="default" w:eastAsia="宋体"/>
                      <w:bCs/>
                      <w:sz w:val="21"/>
                      <w:szCs w:val="21"/>
                      <w:lang w:val="en-US" w:eastAsia="zh-CN"/>
                    </w:rPr>
                  </w:pPr>
                  <w:r>
                    <w:rPr>
                      <w:rFonts w:hint="eastAsia" w:eastAsia="宋体"/>
                      <w:bCs/>
                      <w:sz w:val="21"/>
                      <w:szCs w:val="21"/>
                      <w:lang w:val="en-US" w:eastAsia="zh-CN"/>
                    </w:rPr>
                    <w:t>&lt;50</w:t>
                  </w:r>
                </w:p>
              </w:tc>
              <w:tc>
                <w:tcPr>
                  <w:tcW w:w="1800" w:type="dxa"/>
                  <w:vAlign w:val="center"/>
                </w:tcPr>
                <w:p w14:paraId="53DD48B6">
                  <w:pPr>
                    <w:pStyle w:val="64"/>
                    <w:adjustRightInd w:val="0"/>
                    <w:snapToGrid w:val="0"/>
                    <w:spacing w:line="240" w:lineRule="auto"/>
                    <w:ind w:firstLine="0" w:firstLineChars="0"/>
                    <w:jc w:val="center"/>
                    <w:rPr>
                      <w:rFonts w:eastAsia="宋体"/>
                      <w:bCs/>
                      <w:sz w:val="21"/>
                      <w:szCs w:val="21"/>
                    </w:rPr>
                  </w:pPr>
                  <w:r>
                    <w:rPr>
                      <w:rFonts w:eastAsia="宋体"/>
                      <w:bCs/>
                      <w:sz w:val="21"/>
                      <w:szCs w:val="21"/>
                    </w:rPr>
                    <w:t>50</w:t>
                  </w:r>
                </w:p>
              </w:tc>
              <w:tc>
                <w:tcPr>
                  <w:tcW w:w="1691" w:type="dxa"/>
                  <w:vMerge w:val="restart"/>
                  <w:vAlign w:val="center"/>
                </w:tcPr>
                <w:p w14:paraId="61CA17BB">
                  <w:pPr>
                    <w:pStyle w:val="64"/>
                    <w:adjustRightInd w:val="0"/>
                    <w:snapToGrid w:val="0"/>
                    <w:spacing w:line="240" w:lineRule="auto"/>
                    <w:ind w:firstLine="0" w:firstLineChars="0"/>
                    <w:jc w:val="center"/>
                    <w:rPr>
                      <w:rFonts w:eastAsia="宋体"/>
                      <w:bCs/>
                      <w:sz w:val="21"/>
                      <w:szCs w:val="21"/>
                    </w:rPr>
                  </w:pPr>
                  <w:r>
                    <w:rPr>
                      <w:rFonts w:eastAsia="宋体"/>
                      <w:bCs/>
                      <w:sz w:val="21"/>
                      <w:szCs w:val="21"/>
                    </w:rPr>
                    <w:t>100</w:t>
                  </w:r>
                </w:p>
              </w:tc>
            </w:tr>
            <w:tr w14:paraId="00ED06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continue"/>
                  <w:vAlign w:val="center"/>
                </w:tcPr>
                <w:p w14:paraId="48B55EFA">
                  <w:pPr>
                    <w:pStyle w:val="64"/>
                    <w:adjustRightInd w:val="0"/>
                    <w:snapToGrid w:val="0"/>
                    <w:spacing w:line="240" w:lineRule="auto"/>
                    <w:ind w:firstLine="0" w:firstLineChars="0"/>
                    <w:jc w:val="center"/>
                    <w:rPr>
                      <w:rFonts w:eastAsia="宋体"/>
                      <w:bCs/>
                      <w:sz w:val="21"/>
                      <w:szCs w:val="21"/>
                    </w:rPr>
                  </w:pPr>
                </w:p>
              </w:tc>
              <w:tc>
                <w:tcPr>
                  <w:tcW w:w="1350" w:type="dxa"/>
                  <w:vMerge w:val="continue"/>
                  <w:vAlign w:val="center"/>
                </w:tcPr>
                <w:p w14:paraId="5E1B9899">
                  <w:pPr>
                    <w:pStyle w:val="64"/>
                    <w:adjustRightInd w:val="0"/>
                    <w:snapToGrid w:val="0"/>
                    <w:spacing w:line="240" w:lineRule="auto"/>
                    <w:ind w:firstLine="0" w:firstLineChars="0"/>
                    <w:jc w:val="center"/>
                    <w:rPr>
                      <w:rFonts w:eastAsia="宋体"/>
                      <w:bCs/>
                      <w:sz w:val="21"/>
                      <w:szCs w:val="21"/>
                    </w:rPr>
                  </w:pPr>
                </w:p>
              </w:tc>
              <w:tc>
                <w:tcPr>
                  <w:tcW w:w="1593" w:type="dxa"/>
                  <w:vAlign w:val="center"/>
                </w:tcPr>
                <w:p w14:paraId="78EA83A8">
                  <w:pPr>
                    <w:jc w:val="center"/>
                    <w:rPr>
                      <w:bCs/>
                      <w:szCs w:val="21"/>
                    </w:rPr>
                  </w:pPr>
                  <w:r>
                    <w:rPr>
                      <w:rFonts w:hint="eastAsia"/>
                      <w:szCs w:val="21"/>
                    </w:rPr>
                    <w:t>硫化氢</w:t>
                  </w:r>
                </w:p>
              </w:tc>
              <w:tc>
                <w:tcPr>
                  <w:tcW w:w="1434" w:type="dxa"/>
                  <w:vAlign w:val="center"/>
                </w:tcPr>
                <w:p w14:paraId="03C95BA9">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58562AE4">
                  <w:pPr>
                    <w:pStyle w:val="64"/>
                    <w:adjustRightInd w:val="0"/>
                    <w:snapToGrid w:val="0"/>
                    <w:spacing w:line="240" w:lineRule="auto"/>
                    <w:ind w:firstLine="0" w:firstLineChars="0"/>
                    <w:jc w:val="center"/>
                    <w:rPr>
                      <w:rFonts w:eastAsia="宋体"/>
                      <w:bCs/>
                      <w:sz w:val="21"/>
                      <w:szCs w:val="21"/>
                    </w:rPr>
                  </w:pPr>
                  <w:r>
                    <w:rPr>
                      <w:rFonts w:eastAsia="宋体"/>
                      <w:bCs/>
                      <w:sz w:val="21"/>
                      <w:szCs w:val="21"/>
                    </w:rPr>
                    <w:t>50</w:t>
                  </w:r>
                </w:p>
              </w:tc>
              <w:tc>
                <w:tcPr>
                  <w:tcW w:w="1691" w:type="dxa"/>
                  <w:vMerge w:val="continue"/>
                  <w:vAlign w:val="center"/>
                </w:tcPr>
                <w:p w14:paraId="53F78DBC">
                  <w:pPr>
                    <w:pStyle w:val="64"/>
                    <w:adjustRightInd w:val="0"/>
                    <w:snapToGrid w:val="0"/>
                    <w:spacing w:line="240" w:lineRule="auto"/>
                    <w:ind w:firstLine="0" w:firstLineChars="0"/>
                    <w:jc w:val="center"/>
                    <w:rPr>
                      <w:rFonts w:eastAsia="宋体"/>
                      <w:bCs/>
                      <w:sz w:val="21"/>
                      <w:szCs w:val="21"/>
                    </w:rPr>
                  </w:pPr>
                </w:p>
              </w:tc>
            </w:tr>
            <w:tr w14:paraId="783DB2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continue"/>
                  <w:vAlign w:val="center"/>
                </w:tcPr>
                <w:p w14:paraId="574EBA5A">
                  <w:pPr>
                    <w:pStyle w:val="64"/>
                    <w:adjustRightInd w:val="0"/>
                    <w:snapToGrid w:val="0"/>
                    <w:spacing w:line="240" w:lineRule="auto"/>
                    <w:ind w:firstLine="0" w:firstLineChars="0"/>
                    <w:jc w:val="center"/>
                    <w:rPr>
                      <w:rFonts w:eastAsia="宋体"/>
                      <w:bCs/>
                      <w:sz w:val="21"/>
                      <w:szCs w:val="21"/>
                    </w:rPr>
                  </w:pPr>
                </w:p>
              </w:tc>
              <w:tc>
                <w:tcPr>
                  <w:tcW w:w="1350" w:type="dxa"/>
                  <w:vMerge w:val="continue"/>
                  <w:vAlign w:val="center"/>
                </w:tcPr>
                <w:p w14:paraId="10563315">
                  <w:pPr>
                    <w:pStyle w:val="64"/>
                    <w:adjustRightInd w:val="0"/>
                    <w:snapToGrid w:val="0"/>
                    <w:spacing w:line="240" w:lineRule="auto"/>
                    <w:ind w:firstLine="0" w:firstLineChars="0"/>
                    <w:jc w:val="center"/>
                    <w:rPr>
                      <w:rFonts w:eastAsia="宋体"/>
                      <w:bCs/>
                      <w:sz w:val="21"/>
                      <w:szCs w:val="21"/>
                    </w:rPr>
                  </w:pPr>
                </w:p>
              </w:tc>
              <w:tc>
                <w:tcPr>
                  <w:tcW w:w="1593" w:type="dxa"/>
                  <w:vAlign w:val="center"/>
                </w:tcPr>
                <w:p w14:paraId="7520FF3B">
                  <w:pPr>
                    <w:jc w:val="center"/>
                    <w:rPr>
                      <w:bCs/>
                      <w:szCs w:val="21"/>
                    </w:rPr>
                  </w:pPr>
                  <w:r>
                    <w:rPr>
                      <w:rFonts w:hint="eastAsia"/>
                      <w:szCs w:val="21"/>
                    </w:rPr>
                    <w:t>颗粒物</w:t>
                  </w:r>
                </w:p>
              </w:tc>
              <w:tc>
                <w:tcPr>
                  <w:tcW w:w="1434" w:type="dxa"/>
                  <w:vAlign w:val="center"/>
                </w:tcPr>
                <w:p w14:paraId="514B247E">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0FE7FF85">
                  <w:pPr>
                    <w:pStyle w:val="64"/>
                    <w:adjustRightInd w:val="0"/>
                    <w:snapToGrid w:val="0"/>
                    <w:spacing w:line="240" w:lineRule="auto"/>
                    <w:ind w:firstLine="0" w:firstLineChars="0"/>
                    <w:jc w:val="center"/>
                    <w:rPr>
                      <w:rFonts w:eastAsia="宋体"/>
                      <w:bCs/>
                      <w:sz w:val="21"/>
                      <w:szCs w:val="21"/>
                    </w:rPr>
                  </w:pPr>
                  <w:r>
                    <w:rPr>
                      <w:rFonts w:eastAsia="宋体"/>
                      <w:bCs/>
                      <w:sz w:val="21"/>
                      <w:szCs w:val="21"/>
                    </w:rPr>
                    <w:t>50</w:t>
                  </w:r>
                </w:p>
              </w:tc>
              <w:tc>
                <w:tcPr>
                  <w:tcW w:w="1691" w:type="dxa"/>
                  <w:vMerge w:val="continue"/>
                  <w:vAlign w:val="center"/>
                </w:tcPr>
                <w:p w14:paraId="1F74ABDB">
                  <w:pPr>
                    <w:pStyle w:val="64"/>
                    <w:adjustRightInd w:val="0"/>
                    <w:snapToGrid w:val="0"/>
                    <w:spacing w:line="240" w:lineRule="auto"/>
                    <w:ind w:firstLine="0" w:firstLineChars="0"/>
                    <w:jc w:val="center"/>
                    <w:rPr>
                      <w:rFonts w:eastAsia="宋体"/>
                      <w:bCs/>
                      <w:sz w:val="21"/>
                      <w:szCs w:val="21"/>
                    </w:rPr>
                  </w:pPr>
                </w:p>
              </w:tc>
            </w:tr>
            <w:tr w14:paraId="1C58DB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restart"/>
                  <w:vAlign w:val="center"/>
                </w:tcPr>
                <w:p w14:paraId="5764CA8A">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rPr>
                    <w:t>1#</w:t>
                  </w:r>
                  <w:r>
                    <w:rPr>
                      <w:rFonts w:eastAsia="宋体"/>
                      <w:bCs/>
                      <w:sz w:val="21"/>
                      <w:szCs w:val="21"/>
                    </w:rPr>
                    <w:t>车间</w:t>
                  </w:r>
                </w:p>
              </w:tc>
              <w:tc>
                <w:tcPr>
                  <w:tcW w:w="1350" w:type="dxa"/>
                  <w:vMerge w:val="restart"/>
                  <w:vAlign w:val="center"/>
                </w:tcPr>
                <w:p w14:paraId="77E7FCE9">
                  <w:pPr>
                    <w:pStyle w:val="64"/>
                    <w:adjustRightInd w:val="0"/>
                    <w:snapToGrid w:val="0"/>
                    <w:spacing w:line="240" w:lineRule="auto"/>
                    <w:ind w:firstLine="0" w:firstLineChars="0"/>
                    <w:jc w:val="center"/>
                    <w:rPr>
                      <w:rFonts w:eastAsia="宋体"/>
                      <w:bCs/>
                      <w:sz w:val="21"/>
                      <w:szCs w:val="21"/>
                    </w:rPr>
                  </w:pPr>
                  <w:r>
                    <w:rPr>
                      <w:rFonts w:eastAsia="宋体"/>
                      <w:bCs/>
                      <w:sz w:val="21"/>
                      <w:szCs w:val="21"/>
                    </w:rPr>
                    <w:t>面源</w:t>
                  </w:r>
                </w:p>
              </w:tc>
              <w:tc>
                <w:tcPr>
                  <w:tcW w:w="1593" w:type="dxa"/>
                  <w:vAlign w:val="center"/>
                </w:tcPr>
                <w:p w14:paraId="119D1351">
                  <w:pPr>
                    <w:jc w:val="center"/>
                    <w:rPr>
                      <w:bCs/>
                      <w:szCs w:val="21"/>
                    </w:rPr>
                  </w:pPr>
                  <w:r>
                    <w:rPr>
                      <w:rFonts w:hint="eastAsia"/>
                      <w:szCs w:val="21"/>
                    </w:rPr>
                    <w:t>非甲烷总烃</w:t>
                  </w:r>
                </w:p>
              </w:tc>
              <w:tc>
                <w:tcPr>
                  <w:tcW w:w="1434" w:type="dxa"/>
                  <w:vAlign w:val="center"/>
                </w:tcPr>
                <w:p w14:paraId="32904743">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13B537C0">
                  <w:pPr>
                    <w:pStyle w:val="64"/>
                    <w:adjustRightInd w:val="0"/>
                    <w:snapToGrid w:val="0"/>
                    <w:spacing w:line="240" w:lineRule="auto"/>
                    <w:ind w:firstLine="0" w:firstLineChars="0"/>
                    <w:jc w:val="center"/>
                    <w:rPr>
                      <w:rFonts w:eastAsia="宋体"/>
                      <w:bCs/>
                      <w:sz w:val="21"/>
                      <w:szCs w:val="21"/>
                    </w:rPr>
                  </w:pPr>
                  <w:r>
                    <w:rPr>
                      <w:rFonts w:eastAsia="宋体"/>
                      <w:bCs/>
                      <w:sz w:val="21"/>
                      <w:szCs w:val="21"/>
                    </w:rPr>
                    <w:t>50</w:t>
                  </w:r>
                </w:p>
              </w:tc>
              <w:tc>
                <w:tcPr>
                  <w:tcW w:w="1691" w:type="dxa"/>
                  <w:vMerge w:val="restart"/>
                  <w:vAlign w:val="center"/>
                </w:tcPr>
                <w:p w14:paraId="3283A4D3">
                  <w:pPr>
                    <w:pStyle w:val="64"/>
                    <w:adjustRightInd w:val="0"/>
                    <w:snapToGrid w:val="0"/>
                    <w:spacing w:line="240" w:lineRule="auto"/>
                    <w:ind w:firstLine="0" w:firstLineChars="0"/>
                    <w:jc w:val="center"/>
                    <w:rPr>
                      <w:rFonts w:eastAsia="宋体"/>
                      <w:bCs/>
                      <w:sz w:val="21"/>
                      <w:szCs w:val="21"/>
                    </w:rPr>
                  </w:pPr>
                  <w:r>
                    <w:rPr>
                      <w:rFonts w:eastAsia="宋体"/>
                      <w:bCs/>
                      <w:sz w:val="21"/>
                      <w:szCs w:val="21"/>
                    </w:rPr>
                    <w:t>100</w:t>
                  </w:r>
                </w:p>
              </w:tc>
            </w:tr>
            <w:tr w14:paraId="33BFCC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continue"/>
                  <w:vAlign w:val="center"/>
                </w:tcPr>
                <w:p w14:paraId="43E4B2AD">
                  <w:pPr>
                    <w:pStyle w:val="64"/>
                    <w:adjustRightInd w:val="0"/>
                    <w:snapToGrid w:val="0"/>
                    <w:spacing w:line="240" w:lineRule="auto"/>
                    <w:ind w:firstLine="0" w:firstLineChars="0"/>
                    <w:jc w:val="center"/>
                    <w:rPr>
                      <w:rFonts w:eastAsia="宋体"/>
                      <w:bCs/>
                      <w:sz w:val="21"/>
                      <w:szCs w:val="21"/>
                    </w:rPr>
                  </w:pPr>
                </w:p>
              </w:tc>
              <w:tc>
                <w:tcPr>
                  <w:tcW w:w="1350" w:type="dxa"/>
                  <w:vMerge w:val="continue"/>
                  <w:vAlign w:val="center"/>
                </w:tcPr>
                <w:p w14:paraId="6EE98F49">
                  <w:pPr>
                    <w:pStyle w:val="64"/>
                    <w:adjustRightInd w:val="0"/>
                    <w:snapToGrid w:val="0"/>
                    <w:spacing w:line="240" w:lineRule="auto"/>
                    <w:ind w:firstLine="0" w:firstLineChars="0"/>
                    <w:jc w:val="center"/>
                    <w:rPr>
                      <w:rFonts w:eastAsia="宋体"/>
                      <w:bCs/>
                      <w:sz w:val="21"/>
                      <w:szCs w:val="21"/>
                    </w:rPr>
                  </w:pPr>
                </w:p>
              </w:tc>
              <w:tc>
                <w:tcPr>
                  <w:tcW w:w="1593" w:type="dxa"/>
                  <w:vAlign w:val="center"/>
                </w:tcPr>
                <w:p w14:paraId="23E40220">
                  <w:pPr>
                    <w:jc w:val="center"/>
                    <w:rPr>
                      <w:bCs/>
                      <w:szCs w:val="21"/>
                    </w:rPr>
                  </w:pPr>
                  <w:r>
                    <w:rPr>
                      <w:rFonts w:hint="eastAsia"/>
                      <w:szCs w:val="21"/>
                    </w:rPr>
                    <w:t>硫化氢</w:t>
                  </w:r>
                </w:p>
              </w:tc>
              <w:tc>
                <w:tcPr>
                  <w:tcW w:w="1434" w:type="dxa"/>
                  <w:vAlign w:val="center"/>
                </w:tcPr>
                <w:p w14:paraId="18C1306F">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338678ED">
                  <w:pPr>
                    <w:pStyle w:val="64"/>
                    <w:adjustRightInd w:val="0"/>
                    <w:snapToGrid w:val="0"/>
                    <w:spacing w:line="240" w:lineRule="auto"/>
                    <w:ind w:firstLine="0" w:firstLineChars="0"/>
                    <w:jc w:val="center"/>
                    <w:rPr>
                      <w:rFonts w:eastAsia="宋体"/>
                      <w:bCs/>
                      <w:sz w:val="21"/>
                      <w:szCs w:val="21"/>
                    </w:rPr>
                  </w:pPr>
                  <w:r>
                    <w:rPr>
                      <w:rFonts w:eastAsia="宋体"/>
                      <w:bCs/>
                      <w:sz w:val="21"/>
                      <w:szCs w:val="21"/>
                    </w:rPr>
                    <w:t>50</w:t>
                  </w:r>
                </w:p>
              </w:tc>
              <w:tc>
                <w:tcPr>
                  <w:tcW w:w="1691" w:type="dxa"/>
                  <w:vMerge w:val="continue"/>
                  <w:vAlign w:val="center"/>
                </w:tcPr>
                <w:p w14:paraId="585C7D5A">
                  <w:pPr>
                    <w:pStyle w:val="64"/>
                    <w:adjustRightInd w:val="0"/>
                    <w:snapToGrid w:val="0"/>
                    <w:spacing w:line="240" w:lineRule="auto"/>
                    <w:ind w:firstLine="0" w:firstLineChars="0"/>
                    <w:jc w:val="center"/>
                    <w:rPr>
                      <w:rFonts w:eastAsia="宋体"/>
                      <w:bCs/>
                      <w:sz w:val="21"/>
                      <w:szCs w:val="21"/>
                    </w:rPr>
                  </w:pPr>
                </w:p>
              </w:tc>
            </w:tr>
            <w:tr w14:paraId="39BECF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continue"/>
                  <w:vAlign w:val="center"/>
                </w:tcPr>
                <w:p w14:paraId="1A4D6256">
                  <w:pPr>
                    <w:pStyle w:val="64"/>
                    <w:adjustRightInd w:val="0"/>
                    <w:snapToGrid w:val="0"/>
                    <w:spacing w:line="240" w:lineRule="auto"/>
                    <w:ind w:firstLine="0" w:firstLineChars="0"/>
                    <w:jc w:val="center"/>
                    <w:rPr>
                      <w:rFonts w:eastAsia="宋体"/>
                      <w:bCs/>
                      <w:sz w:val="21"/>
                      <w:szCs w:val="21"/>
                    </w:rPr>
                  </w:pPr>
                </w:p>
              </w:tc>
              <w:tc>
                <w:tcPr>
                  <w:tcW w:w="1350" w:type="dxa"/>
                  <w:vMerge w:val="continue"/>
                  <w:vAlign w:val="center"/>
                </w:tcPr>
                <w:p w14:paraId="5C80810E">
                  <w:pPr>
                    <w:pStyle w:val="64"/>
                    <w:adjustRightInd w:val="0"/>
                    <w:snapToGrid w:val="0"/>
                    <w:spacing w:line="240" w:lineRule="auto"/>
                    <w:ind w:firstLine="0" w:firstLineChars="0"/>
                    <w:jc w:val="center"/>
                    <w:rPr>
                      <w:rFonts w:eastAsia="宋体"/>
                      <w:bCs/>
                      <w:sz w:val="21"/>
                      <w:szCs w:val="21"/>
                    </w:rPr>
                  </w:pPr>
                </w:p>
              </w:tc>
              <w:tc>
                <w:tcPr>
                  <w:tcW w:w="1593" w:type="dxa"/>
                  <w:vAlign w:val="center"/>
                </w:tcPr>
                <w:p w14:paraId="27300FC0">
                  <w:pPr>
                    <w:jc w:val="center"/>
                    <w:rPr>
                      <w:bCs/>
                      <w:szCs w:val="21"/>
                    </w:rPr>
                  </w:pPr>
                  <w:r>
                    <w:rPr>
                      <w:rFonts w:hint="eastAsia"/>
                      <w:szCs w:val="21"/>
                    </w:rPr>
                    <w:t>氟化物</w:t>
                  </w:r>
                </w:p>
              </w:tc>
              <w:tc>
                <w:tcPr>
                  <w:tcW w:w="1434" w:type="dxa"/>
                  <w:vAlign w:val="center"/>
                </w:tcPr>
                <w:p w14:paraId="5B0B1693">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2414ED91">
                  <w:pPr>
                    <w:pStyle w:val="64"/>
                    <w:adjustRightInd w:val="0"/>
                    <w:snapToGrid w:val="0"/>
                    <w:spacing w:line="240" w:lineRule="auto"/>
                    <w:ind w:firstLine="0" w:firstLineChars="0"/>
                    <w:jc w:val="center"/>
                    <w:rPr>
                      <w:rFonts w:eastAsia="宋体"/>
                      <w:bCs/>
                      <w:sz w:val="21"/>
                      <w:szCs w:val="21"/>
                    </w:rPr>
                  </w:pPr>
                  <w:r>
                    <w:rPr>
                      <w:rFonts w:eastAsia="宋体"/>
                      <w:bCs/>
                      <w:sz w:val="21"/>
                      <w:szCs w:val="21"/>
                    </w:rPr>
                    <w:t>50</w:t>
                  </w:r>
                </w:p>
              </w:tc>
              <w:tc>
                <w:tcPr>
                  <w:tcW w:w="1691" w:type="dxa"/>
                  <w:vMerge w:val="continue"/>
                  <w:vAlign w:val="center"/>
                </w:tcPr>
                <w:p w14:paraId="4E7A0D68">
                  <w:pPr>
                    <w:pStyle w:val="64"/>
                    <w:adjustRightInd w:val="0"/>
                    <w:snapToGrid w:val="0"/>
                    <w:spacing w:line="240" w:lineRule="auto"/>
                    <w:ind w:firstLine="0" w:firstLineChars="0"/>
                    <w:jc w:val="center"/>
                    <w:rPr>
                      <w:rFonts w:eastAsia="宋体"/>
                      <w:bCs/>
                      <w:sz w:val="21"/>
                      <w:szCs w:val="21"/>
                    </w:rPr>
                  </w:pPr>
                </w:p>
              </w:tc>
            </w:tr>
            <w:tr w14:paraId="61657B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restart"/>
                  <w:vAlign w:val="center"/>
                </w:tcPr>
                <w:p w14:paraId="5ED193E0">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rPr>
                    <w:t>4#车间</w:t>
                  </w:r>
                </w:p>
              </w:tc>
              <w:tc>
                <w:tcPr>
                  <w:tcW w:w="1350" w:type="dxa"/>
                  <w:vMerge w:val="restart"/>
                  <w:vAlign w:val="center"/>
                </w:tcPr>
                <w:p w14:paraId="73998417">
                  <w:pPr>
                    <w:pStyle w:val="64"/>
                    <w:adjustRightInd w:val="0"/>
                    <w:snapToGrid w:val="0"/>
                    <w:spacing w:line="240" w:lineRule="auto"/>
                    <w:ind w:firstLine="0" w:firstLineChars="0"/>
                    <w:jc w:val="center"/>
                    <w:rPr>
                      <w:rFonts w:eastAsia="宋体"/>
                      <w:bCs/>
                      <w:sz w:val="21"/>
                      <w:szCs w:val="21"/>
                    </w:rPr>
                  </w:pPr>
                  <w:r>
                    <w:rPr>
                      <w:rFonts w:eastAsia="宋体"/>
                      <w:bCs/>
                      <w:sz w:val="21"/>
                      <w:szCs w:val="21"/>
                    </w:rPr>
                    <w:t>面源</w:t>
                  </w:r>
                </w:p>
              </w:tc>
              <w:tc>
                <w:tcPr>
                  <w:tcW w:w="1593" w:type="dxa"/>
                  <w:vAlign w:val="center"/>
                </w:tcPr>
                <w:p w14:paraId="7300DB96">
                  <w:pPr>
                    <w:jc w:val="center"/>
                    <w:rPr>
                      <w:bCs/>
                      <w:szCs w:val="21"/>
                    </w:rPr>
                  </w:pPr>
                  <w:r>
                    <w:rPr>
                      <w:rFonts w:hint="eastAsia"/>
                      <w:szCs w:val="21"/>
                    </w:rPr>
                    <w:t>非甲烷总烃</w:t>
                  </w:r>
                </w:p>
              </w:tc>
              <w:tc>
                <w:tcPr>
                  <w:tcW w:w="1434" w:type="dxa"/>
                  <w:vAlign w:val="center"/>
                </w:tcPr>
                <w:p w14:paraId="09147DF4">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1AC97687">
                  <w:pPr>
                    <w:pStyle w:val="64"/>
                    <w:adjustRightInd w:val="0"/>
                    <w:snapToGrid w:val="0"/>
                    <w:spacing w:line="240" w:lineRule="auto"/>
                    <w:ind w:firstLine="0" w:firstLineChars="0"/>
                    <w:jc w:val="center"/>
                    <w:rPr>
                      <w:rFonts w:eastAsia="宋体"/>
                      <w:bCs/>
                      <w:sz w:val="21"/>
                      <w:szCs w:val="21"/>
                    </w:rPr>
                  </w:pPr>
                  <w:r>
                    <w:rPr>
                      <w:rFonts w:eastAsia="宋体"/>
                      <w:bCs/>
                      <w:sz w:val="21"/>
                      <w:szCs w:val="21"/>
                    </w:rPr>
                    <w:t>50</w:t>
                  </w:r>
                </w:p>
              </w:tc>
              <w:tc>
                <w:tcPr>
                  <w:tcW w:w="1691" w:type="dxa"/>
                  <w:vMerge w:val="restart"/>
                  <w:vAlign w:val="center"/>
                </w:tcPr>
                <w:p w14:paraId="3CADFF16">
                  <w:pPr>
                    <w:pStyle w:val="64"/>
                    <w:adjustRightInd w:val="0"/>
                    <w:snapToGrid w:val="0"/>
                    <w:spacing w:line="240" w:lineRule="auto"/>
                    <w:ind w:firstLine="0" w:firstLineChars="0"/>
                    <w:jc w:val="center"/>
                    <w:rPr>
                      <w:rFonts w:eastAsia="宋体"/>
                      <w:bCs/>
                      <w:sz w:val="21"/>
                      <w:szCs w:val="21"/>
                    </w:rPr>
                  </w:pPr>
                  <w:r>
                    <w:rPr>
                      <w:rFonts w:eastAsia="宋体"/>
                      <w:bCs/>
                      <w:sz w:val="21"/>
                      <w:szCs w:val="21"/>
                    </w:rPr>
                    <w:t>100</w:t>
                  </w:r>
                </w:p>
              </w:tc>
            </w:tr>
            <w:tr w14:paraId="013726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continue"/>
                  <w:vAlign w:val="center"/>
                </w:tcPr>
                <w:p w14:paraId="0C8D077D">
                  <w:pPr>
                    <w:pStyle w:val="64"/>
                    <w:adjustRightInd w:val="0"/>
                    <w:snapToGrid w:val="0"/>
                    <w:spacing w:line="240" w:lineRule="auto"/>
                    <w:ind w:firstLine="0" w:firstLineChars="0"/>
                    <w:jc w:val="center"/>
                    <w:rPr>
                      <w:rFonts w:eastAsia="宋体"/>
                      <w:bCs/>
                      <w:sz w:val="21"/>
                      <w:szCs w:val="21"/>
                    </w:rPr>
                  </w:pPr>
                </w:p>
              </w:tc>
              <w:tc>
                <w:tcPr>
                  <w:tcW w:w="1350" w:type="dxa"/>
                  <w:vMerge w:val="continue"/>
                  <w:vAlign w:val="center"/>
                </w:tcPr>
                <w:p w14:paraId="37E9CD1A">
                  <w:pPr>
                    <w:pStyle w:val="64"/>
                    <w:adjustRightInd w:val="0"/>
                    <w:snapToGrid w:val="0"/>
                    <w:spacing w:line="240" w:lineRule="auto"/>
                    <w:ind w:firstLine="0" w:firstLineChars="0"/>
                    <w:jc w:val="center"/>
                    <w:rPr>
                      <w:rFonts w:eastAsia="宋体"/>
                      <w:bCs/>
                      <w:sz w:val="21"/>
                      <w:szCs w:val="21"/>
                    </w:rPr>
                  </w:pPr>
                </w:p>
              </w:tc>
              <w:tc>
                <w:tcPr>
                  <w:tcW w:w="1593" w:type="dxa"/>
                  <w:vAlign w:val="center"/>
                </w:tcPr>
                <w:p w14:paraId="3FE2EBE9">
                  <w:pPr>
                    <w:jc w:val="center"/>
                    <w:rPr>
                      <w:bCs/>
                      <w:szCs w:val="21"/>
                    </w:rPr>
                  </w:pPr>
                  <w:r>
                    <w:rPr>
                      <w:rFonts w:hint="eastAsia"/>
                      <w:szCs w:val="21"/>
                    </w:rPr>
                    <w:t>硫化氢</w:t>
                  </w:r>
                </w:p>
              </w:tc>
              <w:tc>
                <w:tcPr>
                  <w:tcW w:w="1434" w:type="dxa"/>
                  <w:vAlign w:val="center"/>
                </w:tcPr>
                <w:p w14:paraId="4EB92E92">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2266B530">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rPr>
                    <w:t>50</w:t>
                  </w:r>
                </w:p>
              </w:tc>
              <w:tc>
                <w:tcPr>
                  <w:tcW w:w="1691" w:type="dxa"/>
                  <w:vMerge w:val="continue"/>
                  <w:vAlign w:val="center"/>
                </w:tcPr>
                <w:p w14:paraId="7F732271">
                  <w:pPr>
                    <w:pStyle w:val="64"/>
                    <w:adjustRightInd w:val="0"/>
                    <w:snapToGrid w:val="0"/>
                    <w:spacing w:line="240" w:lineRule="auto"/>
                    <w:ind w:firstLine="0" w:firstLineChars="0"/>
                    <w:jc w:val="center"/>
                    <w:rPr>
                      <w:rFonts w:eastAsia="宋体"/>
                      <w:bCs/>
                      <w:sz w:val="21"/>
                      <w:szCs w:val="21"/>
                    </w:rPr>
                  </w:pPr>
                </w:p>
              </w:tc>
            </w:tr>
            <w:tr w14:paraId="50DB4B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2" w:type="dxa"/>
                  <w:vMerge w:val="continue"/>
                  <w:vAlign w:val="center"/>
                </w:tcPr>
                <w:p w14:paraId="63D2782A">
                  <w:pPr>
                    <w:pStyle w:val="64"/>
                    <w:adjustRightInd w:val="0"/>
                    <w:snapToGrid w:val="0"/>
                    <w:spacing w:line="240" w:lineRule="auto"/>
                    <w:ind w:firstLine="0" w:firstLineChars="0"/>
                    <w:jc w:val="center"/>
                    <w:rPr>
                      <w:rFonts w:eastAsia="宋体"/>
                      <w:bCs/>
                      <w:sz w:val="21"/>
                      <w:szCs w:val="21"/>
                    </w:rPr>
                  </w:pPr>
                </w:p>
              </w:tc>
              <w:tc>
                <w:tcPr>
                  <w:tcW w:w="1350" w:type="dxa"/>
                  <w:vMerge w:val="continue"/>
                  <w:vAlign w:val="center"/>
                </w:tcPr>
                <w:p w14:paraId="5DA5121E">
                  <w:pPr>
                    <w:pStyle w:val="64"/>
                    <w:adjustRightInd w:val="0"/>
                    <w:snapToGrid w:val="0"/>
                    <w:spacing w:line="240" w:lineRule="auto"/>
                    <w:ind w:firstLine="0" w:firstLineChars="0"/>
                    <w:jc w:val="center"/>
                    <w:rPr>
                      <w:rFonts w:eastAsia="宋体"/>
                      <w:bCs/>
                      <w:sz w:val="21"/>
                      <w:szCs w:val="21"/>
                    </w:rPr>
                  </w:pPr>
                </w:p>
              </w:tc>
              <w:tc>
                <w:tcPr>
                  <w:tcW w:w="1593" w:type="dxa"/>
                  <w:vAlign w:val="center"/>
                </w:tcPr>
                <w:p w14:paraId="3694D837">
                  <w:pPr>
                    <w:jc w:val="center"/>
                    <w:rPr>
                      <w:bCs/>
                      <w:szCs w:val="21"/>
                    </w:rPr>
                  </w:pPr>
                  <w:r>
                    <w:rPr>
                      <w:rFonts w:hint="eastAsia"/>
                      <w:szCs w:val="21"/>
                    </w:rPr>
                    <w:t>氟化物</w:t>
                  </w:r>
                </w:p>
              </w:tc>
              <w:tc>
                <w:tcPr>
                  <w:tcW w:w="1434" w:type="dxa"/>
                  <w:vAlign w:val="center"/>
                </w:tcPr>
                <w:p w14:paraId="310119F8">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lang w:val="en-US" w:eastAsia="zh-CN"/>
                    </w:rPr>
                    <w:t>&lt;50</w:t>
                  </w:r>
                </w:p>
              </w:tc>
              <w:tc>
                <w:tcPr>
                  <w:tcW w:w="1800" w:type="dxa"/>
                  <w:vAlign w:val="center"/>
                </w:tcPr>
                <w:p w14:paraId="6F522F34">
                  <w:pPr>
                    <w:pStyle w:val="64"/>
                    <w:adjustRightInd w:val="0"/>
                    <w:snapToGrid w:val="0"/>
                    <w:spacing w:line="240" w:lineRule="auto"/>
                    <w:ind w:firstLine="0" w:firstLineChars="0"/>
                    <w:jc w:val="center"/>
                    <w:rPr>
                      <w:rFonts w:eastAsia="宋体"/>
                      <w:bCs/>
                      <w:sz w:val="21"/>
                      <w:szCs w:val="21"/>
                    </w:rPr>
                  </w:pPr>
                  <w:r>
                    <w:rPr>
                      <w:rFonts w:hint="eastAsia" w:eastAsia="宋体"/>
                      <w:bCs/>
                      <w:sz w:val="21"/>
                      <w:szCs w:val="21"/>
                    </w:rPr>
                    <w:t>50</w:t>
                  </w:r>
                </w:p>
              </w:tc>
              <w:tc>
                <w:tcPr>
                  <w:tcW w:w="1691" w:type="dxa"/>
                  <w:vMerge w:val="continue"/>
                  <w:vAlign w:val="center"/>
                </w:tcPr>
                <w:p w14:paraId="72A3E473">
                  <w:pPr>
                    <w:pStyle w:val="64"/>
                    <w:adjustRightInd w:val="0"/>
                    <w:snapToGrid w:val="0"/>
                    <w:spacing w:line="240" w:lineRule="auto"/>
                    <w:ind w:firstLine="0" w:firstLineChars="0"/>
                    <w:jc w:val="center"/>
                    <w:rPr>
                      <w:rFonts w:eastAsia="宋体"/>
                      <w:bCs/>
                      <w:sz w:val="21"/>
                      <w:szCs w:val="21"/>
                    </w:rPr>
                  </w:pPr>
                </w:p>
              </w:tc>
            </w:tr>
          </w:tbl>
          <w:p w14:paraId="126E4EAC">
            <w:pPr>
              <w:pStyle w:val="64"/>
              <w:spacing w:line="360" w:lineRule="auto"/>
              <w:ind w:firstLine="420"/>
              <w:rPr>
                <w:rFonts w:eastAsia="宋体"/>
                <w:bCs/>
                <w:sz w:val="21"/>
                <w:szCs w:val="21"/>
              </w:rPr>
            </w:pPr>
            <w:r>
              <w:rPr>
                <w:rFonts w:eastAsia="宋体"/>
                <w:bCs/>
                <w:sz w:val="21"/>
                <w:szCs w:val="21"/>
              </w:rPr>
              <w:t>根据《大气有害物质无组织排放卫生防护距离推导技术导则》（GB/T39499-2020）：“当企业某生产单元的无组织排放存在多种特征大气有害物质时，如果分别推导出的卫生防护距离初值在同一级别时，则该企业的卫生防护距离终值应提高一级；卫生防护距离初值不在同一级别的，以卫生防护距离终值较大者为准”。按照上述规定要求</w:t>
            </w:r>
            <w:r>
              <w:rPr>
                <w:rFonts w:hint="eastAsia" w:eastAsia="宋体"/>
                <w:bCs/>
                <w:sz w:val="21"/>
                <w:szCs w:val="21"/>
              </w:rPr>
              <w:t>，</w:t>
            </w:r>
            <w:r>
              <w:rPr>
                <w:rFonts w:eastAsia="宋体"/>
                <w:bCs/>
                <w:sz w:val="21"/>
                <w:szCs w:val="21"/>
              </w:rPr>
              <w:t>确定</w:t>
            </w:r>
            <w:r>
              <w:rPr>
                <w:rFonts w:hint="eastAsia" w:eastAsia="宋体"/>
                <w:bCs/>
                <w:sz w:val="21"/>
                <w:szCs w:val="21"/>
              </w:rPr>
              <w:t>本项目以3#车间、1#车间、4#车间分别设置100m卫生防护距离。结合现有项目，全厂以1#车间、3#车间、4#车间分别设置100m卫生防护距离，金属表面处理车间设置50m卫生防护距离。</w:t>
            </w:r>
          </w:p>
          <w:p w14:paraId="0AB8F39D">
            <w:pPr>
              <w:pStyle w:val="64"/>
              <w:spacing w:line="360" w:lineRule="auto"/>
              <w:ind w:firstLine="420"/>
              <w:rPr>
                <w:rFonts w:eastAsia="宋体"/>
                <w:bCs/>
                <w:sz w:val="21"/>
                <w:szCs w:val="21"/>
              </w:rPr>
            </w:pPr>
            <w:r>
              <w:rPr>
                <w:rFonts w:eastAsia="宋体"/>
                <w:bCs/>
                <w:sz w:val="21"/>
                <w:szCs w:val="21"/>
              </w:rPr>
              <w:t>卫生防护距离范围内目前无居民点以及其他环境空气敏感保护点，今后在此范围内也不得建设居民点、学校、医院等环境敏感项目。在此条件下，对当地的环境空气质量影响较小，可满足环境管理要求。</w:t>
            </w:r>
          </w:p>
          <w:p w14:paraId="593E9AC6">
            <w:pPr>
              <w:pStyle w:val="64"/>
              <w:adjustRightInd w:val="0"/>
              <w:snapToGrid w:val="0"/>
              <w:spacing w:line="360" w:lineRule="auto"/>
              <w:ind w:firstLine="422"/>
              <w:jc w:val="both"/>
              <w:rPr>
                <w:rFonts w:eastAsia="宋体"/>
                <w:b/>
                <w:sz w:val="21"/>
                <w:szCs w:val="21"/>
              </w:rPr>
            </w:pPr>
            <w:r>
              <w:rPr>
                <w:rFonts w:eastAsia="宋体"/>
                <w:b/>
                <w:sz w:val="21"/>
                <w:szCs w:val="21"/>
              </w:rPr>
              <w:t>（11）环境监测计划</w:t>
            </w:r>
          </w:p>
          <w:p w14:paraId="67F252E8">
            <w:pPr>
              <w:pStyle w:val="64"/>
              <w:adjustRightInd w:val="0"/>
              <w:snapToGrid w:val="0"/>
              <w:spacing w:line="360" w:lineRule="auto"/>
              <w:ind w:firstLine="420"/>
              <w:jc w:val="both"/>
              <w:rPr>
                <w:rFonts w:eastAsia="宋体"/>
                <w:bCs/>
                <w:sz w:val="21"/>
                <w:szCs w:val="21"/>
              </w:rPr>
            </w:pPr>
            <w:r>
              <w:rPr>
                <w:rFonts w:eastAsia="宋体"/>
                <w:bCs/>
                <w:sz w:val="21"/>
                <w:szCs w:val="21"/>
              </w:rPr>
              <w:t>根据</w:t>
            </w:r>
            <w:bookmarkStart w:id="106" w:name="OLE_LINK1"/>
            <w:bookmarkStart w:id="107" w:name="OLE_LINK2"/>
            <w:r>
              <w:rPr>
                <w:rFonts w:eastAsia="宋体"/>
                <w:bCs/>
                <w:sz w:val="21"/>
                <w:szCs w:val="21"/>
              </w:rPr>
              <w:t>《排污单位自行监测技术指南 橡胶和塑料制品》（HJ1207-2021）</w:t>
            </w:r>
            <w:bookmarkEnd w:id="106"/>
            <w:bookmarkEnd w:id="107"/>
            <w:r>
              <w:rPr>
                <w:rFonts w:eastAsia="宋体"/>
                <w:bCs/>
                <w:sz w:val="21"/>
                <w:szCs w:val="21"/>
              </w:rPr>
              <w:t>中相关要求，扩建项目废气污染源例行监测计划见表4-14。</w:t>
            </w:r>
          </w:p>
          <w:p w14:paraId="03981261">
            <w:pPr>
              <w:adjustRightInd w:val="0"/>
              <w:snapToGrid w:val="0"/>
              <w:jc w:val="center"/>
              <w:rPr>
                <w:b/>
                <w:szCs w:val="21"/>
              </w:rPr>
            </w:pPr>
            <w:r>
              <w:rPr>
                <w:b/>
                <w:szCs w:val="21"/>
              </w:rPr>
              <w:t xml:space="preserve">表4-14  </w:t>
            </w:r>
            <w:r>
              <w:rPr>
                <w:rFonts w:hint="eastAsia"/>
                <w:b/>
                <w:szCs w:val="21"/>
              </w:rPr>
              <w:t>扩建后全厂</w:t>
            </w:r>
            <w:r>
              <w:rPr>
                <w:b/>
                <w:szCs w:val="21"/>
              </w:rPr>
              <w:t>污染源例行监测计划</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59"/>
              <w:gridCol w:w="808"/>
              <w:gridCol w:w="567"/>
              <w:gridCol w:w="1984"/>
              <w:gridCol w:w="4123"/>
              <w:gridCol w:w="984"/>
            </w:tblGrid>
            <w:tr w14:paraId="5D65DE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Align w:val="center"/>
                </w:tcPr>
                <w:p w14:paraId="38E38711">
                  <w:pPr>
                    <w:jc w:val="center"/>
                    <w:rPr>
                      <w:b/>
                      <w:szCs w:val="21"/>
                    </w:rPr>
                  </w:pPr>
                  <w:r>
                    <w:rPr>
                      <w:b/>
                      <w:szCs w:val="21"/>
                    </w:rPr>
                    <w:t>类型</w:t>
                  </w:r>
                </w:p>
              </w:tc>
              <w:tc>
                <w:tcPr>
                  <w:tcW w:w="448" w:type="pct"/>
                  <w:vAlign w:val="center"/>
                </w:tcPr>
                <w:p w14:paraId="255F4CE2">
                  <w:pPr>
                    <w:jc w:val="center"/>
                    <w:rPr>
                      <w:b/>
                      <w:szCs w:val="21"/>
                    </w:rPr>
                  </w:pPr>
                  <w:r>
                    <w:rPr>
                      <w:b/>
                      <w:szCs w:val="21"/>
                    </w:rPr>
                    <w:t>监测项目</w:t>
                  </w:r>
                </w:p>
              </w:tc>
              <w:tc>
                <w:tcPr>
                  <w:tcW w:w="1413" w:type="pct"/>
                  <w:gridSpan w:val="2"/>
                  <w:vAlign w:val="center"/>
                </w:tcPr>
                <w:p w14:paraId="56770DC8">
                  <w:pPr>
                    <w:jc w:val="center"/>
                    <w:rPr>
                      <w:b/>
                      <w:szCs w:val="21"/>
                    </w:rPr>
                  </w:pPr>
                  <w:r>
                    <w:rPr>
                      <w:b/>
                      <w:szCs w:val="21"/>
                    </w:rPr>
                    <w:t>监测位置</w:t>
                  </w:r>
                </w:p>
              </w:tc>
              <w:tc>
                <w:tcPr>
                  <w:tcW w:w="2284" w:type="pct"/>
                  <w:vAlign w:val="center"/>
                </w:tcPr>
                <w:p w14:paraId="0A10A122">
                  <w:pPr>
                    <w:jc w:val="center"/>
                    <w:rPr>
                      <w:b/>
                      <w:szCs w:val="21"/>
                    </w:rPr>
                  </w:pPr>
                  <w:r>
                    <w:rPr>
                      <w:b/>
                      <w:szCs w:val="21"/>
                    </w:rPr>
                    <w:t>监测因子</w:t>
                  </w:r>
                </w:p>
              </w:tc>
              <w:tc>
                <w:tcPr>
                  <w:tcW w:w="545" w:type="pct"/>
                  <w:vAlign w:val="center"/>
                </w:tcPr>
                <w:p w14:paraId="749896A3">
                  <w:pPr>
                    <w:jc w:val="center"/>
                    <w:rPr>
                      <w:b/>
                      <w:szCs w:val="21"/>
                    </w:rPr>
                  </w:pPr>
                  <w:r>
                    <w:rPr>
                      <w:b/>
                      <w:szCs w:val="21"/>
                    </w:rPr>
                    <w:t>监测频率</w:t>
                  </w:r>
                </w:p>
              </w:tc>
            </w:tr>
            <w:tr w14:paraId="31A5E7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restart"/>
                  <w:vAlign w:val="center"/>
                </w:tcPr>
                <w:p w14:paraId="43AA6F08">
                  <w:pPr>
                    <w:jc w:val="center"/>
                    <w:rPr>
                      <w:szCs w:val="21"/>
                    </w:rPr>
                  </w:pPr>
                  <w:bookmarkStart w:id="108" w:name="_Hlk201495118"/>
                  <w:r>
                    <w:rPr>
                      <w:szCs w:val="21"/>
                    </w:rPr>
                    <w:t>例行监测</w:t>
                  </w:r>
                </w:p>
              </w:tc>
              <w:tc>
                <w:tcPr>
                  <w:tcW w:w="448" w:type="pct"/>
                  <w:vMerge w:val="restart"/>
                  <w:vAlign w:val="center"/>
                </w:tcPr>
                <w:p w14:paraId="7CB6A346">
                  <w:pPr>
                    <w:jc w:val="center"/>
                    <w:rPr>
                      <w:szCs w:val="21"/>
                    </w:rPr>
                  </w:pPr>
                  <w:r>
                    <w:rPr>
                      <w:szCs w:val="21"/>
                    </w:rPr>
                    <w:t>有组织废气</w:t>
                  </w:r>
                </w:p>
              </w:tc>
              <w:tc>
                <w:tcPr>
                  <w:tcW w:w="1413" w:type="pct"/>
                  <w:gridSpan w:val="2"/>
                  <w:vMerge w:val="restart"/>
                  <w:vAlign w:val="center"/>
                </w:tcPr>
                <w:p w14:paraId="449821AE">
                  <w:pPr>
                    <w:jc w:val="center"/>
                    <w:rPr>
                      <w:szCs w:val="21"/>
                    </w:rPr>
                  </w:pPr>
                  <w:r>
                    <w:rPr>
                      <w:szCs w:val="21"/>
                    </w:rPr>
                    <w:t>1#排气</w:t>
                  </w:r>
                  <w:bookmarkStart w:id="109" w:name="OLE_LINK60"/>
                  <w:bookmarkStart w:id="110" w:name="OLE_LINK59"/>
                  <w:r>
                    <w:rPr>
                      <w:szCs w:val="21"/>
                    </w:rPr>
                    <w:t>筒</w:t>
                  </w:r>
                  <w:bookmarkEnd w:id="109"/>
                  <w:bookmarkEnd w:id="110"/>
                </w:p>
              </w:tc>
              <w:tc>
                <w:tcPr>
                  <w:tcW w:w="2284" w:type="pct"/>
                  <w:vAlign w:val="center"/>
                </w:tcPr>
                <w:p w14:paraId="030F3940">
                  <w:pPr>
                    <w:jc w:val="center"/>
                  </w:pPr>
                  <w:bookmarkStart w:id="111" w:name="OLE_LINK68"/>
                  <w:bookmarkStart w:id="112" w:name="OLE_LINK66"/>
                  <w:r>
                    <w:t>非甲烷总烃</w:t>
                  </w:r>
                  <w:bookmarkEnd w:id="111"/>
                  <w:bookmarkEnd w:id="112"/>
                </w:p>
              </w:tc>
              <w:tc>
                <w:tcPr>
                  <w:tcW w:w="545" w:type="pct"/>
                  <w:vAlign w:val="center"/>
                </w:tcPr>
                <w:p w14:paraId="2E4AE468">
                  <w:pPr>
                    <w:jc w:val="center"/>
                    <w:rPr>
                      <w:szCs w:val="21"/>
                    </w:rPr>
                  </w:pPr>
                  <w:r>
                    <w:rPr>
                      <w:szCs w:val="21"/>
                    </w:rPr>
                    <w:t>1次/半年</w:t>
                  </w:r>
                </w:p>
              </w:tc>
            </w:tr>
            <w:tr w14:paraId="4FCB5D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579E8274">
                  <w:pPr>
                    <w:jc w:val="center"/>
                    <w:rPr>
                      <w:szCs w:val="21"/>
                    </w:rPr>
                  </w:pPr>
                </w:p>
              </w:tc>
              <w:tc>
                <w:tcPr>
                  <w:tcW w:w="448" w:type="pct"/>
                  <w:vMerge w:val="continue"/>
                  <w:vAlign w:val="center"/>
                </w:tcPr>
                <w:p w14:paraId="35642882">
                  <w:pPr>
                    <w:jc w:val="center"/>
                    <w:rPr>
                      <w:szCs w:val="21"/>
                    </w:rPr>
                  </w:pPr>
                </w:p>
              </w:tc>
              <w:tc>
                <w:tcPr>
                  <w:tcW w:w="1413" w:type="pct"/>
                  <w:gridSpan w:val="2"/>
                  <w:vMerge w:val="continue"/>
                  <w:vAlign w:val="center"/>
                </w:tcPr>
                <w:p w14:paraId="44561C73">
                  <w:pPr>
                    <w:jc w:val="center"/>
                    <w:rPr>
                      <w:szCs w:val="21"/>
                    </w:rPr>
                  </w:pPr>
                </w:p>
              </w:tc>
              <w:tc>
                <w:tcPr>
                  <w:tcW w:w="2284" w:type="pct"/>
                  <w:vAlign w:val="center"/>
                </w:tcPr>
                <w:p w14:paraId="38B1BA18">
                  <w:pPr>
                    <w:jc w:val="center"/>
                  </w:pPr>
                  <w:bookmarkStart w:id="113" w:name="OLE_LINK65"/>
                  <w:bookmarkStart w:id="114" w:name="OLE_LINK64"/>
                  <w:r>
                    <w:t>硫化氢、臭气浓度、氟化物</w:t>
                  </w:r>
                  <w:bookmarkEnd w:id="113"/>
                  <w:bookmarkEnd w:id="114"/>
                </w:p>
              </w:tc>
              <w:tc>
                <w:tcPr>
                  <w:tcW w:w="545" w:type="pct"/>
                  <w:vAlign w:val="center"/>
                </w:tcPr>
                <w:p w14:paraId="4CB9E32A">
                  <w:pPr>
                    <w:jc w:val="center"/>
                    <w:rPr>
                      <w:szCs w:val="21"/>
                    </w:rPr>
                  </w:pPr>
                  <w:r>
                    <w:rPr>
                      <w:szCs w:val="21"/>
                    </w:rPr>
                    <w:t>1次/年</w:t>
                  </w:r>
                </w:p>
              </w:tc>
            </w:tr>
            <w:bookmarkEnd w:id="108"/>
            <w:tr w14:paraId="572882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74A10A57">
                  <w:pPr>
                    <w:jc w:val="center"/>
                    <w:rPr>
                      <w:szCs w:val="21"/>
                    </w:rPr>
                  </w:pPr>
                  <w:bookmarkStart w:id="115" w:name="_Hlk201495440"/>
                </w:p>
              </w:tc>
              <w:tc>
                <w:tcPr>
                  <w:tcW w:w="448" w:type="pct"/>
                  <w:vMerge w:val="continue"/>
                  <w:vAlign w:val="center"/>
                </w:tcPr>
                <w:p w14:paraId="12A4F26F">
                  <w:pPr>
                    <w:jc w:val="center"/>
                    <w:rPr>
                      <w:szCs w:val="21"/>
                    </w:rPr>
                  </w:pPr>
                </w:p>
              </w:tc>
              <w:tc>
                <w:tcPr>
                  <w:tcW w:w="1413" w:type="pct"/>
                  <w:gridSpan w:val="2"/>
                  <w:vMerge w:val="restart"/>
                  <w:vAlign w:val="center"/>
                </w:tcPr>
                <w:p w14:paraId="4FA53542">
                  <w:pPr>
                    <w:jc w:val="center"/>
                    <w:rPr>
                      <w:szCs w:val="21"/>
                    </w:rPr>
                  </w:pPr>
                  <w:r>
                    <w:rPr>
                      <w:rFonts w:hint="eastAsia"/>
                      <w:szCs w:val="21"/>
                    </w:rPr>
                    <w:t>2#排气</w:t>
                  </w:r>
                  <w:r>
                    <w:rPr>
                      <w:szCs w:val="21"/>
                    </w:rPr>
                    <w:t>筒</w:t>
                  </w:r>
                </w:p>
              </w:tc>
              <w:tc>
                <w:tcPr>
                  <w:tcW w:w="2284" w:type="pct"/>
                  <w:vAlign w:val="center"/>
                </w:tcPr>
                <w:p w14:paraId="03B7F9ED">
                  <w:pPr>
                    <w:jc w:val="center"/>
                  </w:pPr>
                  <w:r>
                    <w:t>非甲烷总烃</w:t>
                  </w:r>
                </w:p>
              </w:tc>
              <w:tc>
                <w:tcPr>
                  <w:tcW w:w="545" w:type="pct"/>
                  <w:vAlign w:val="center"/>
                </w:tcPr>
                <w:p w14:paraId="26BAABC9">
                  <w:pPr>
                    <w:jc w:val="center"/>
                    <w:rPr>
                      <w:szCs w:val="21"/>
                    </w:rPr>
                  </w:pPr>
                  <w:r>
                    <w:rPr>
                      <w:szCs w:val="21"/>
                    </w:rPr>
                    <w:t>1次/半年</w:t>
                  </w:r>
                </w:p>
              </w:tc>
            </w:tr>
            <w:tr w14:paraId="7C854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0195482D">
                  <w:pPr>
                    <w:jc w:val="center"/>
                    <w:rPr>
                      <w:szCs w:val="21"/>
                    </w:rPr>
                  </w:pPr>
                </w:p>
              </w:tc>
              <w:tc>
                <w:tcPr>
                  <w:tcW w:w="448" w:type="pct"/>
                  <w:vMerge w:val="continue"/>
                  <w:vAlign w:val="center"/>
                </w:tcPr>
                <w:p w14:paraId="1BB483C9">
                  <w:pPr>
                    <w:jc w:val="center"/>
                    <w:rPr>
                      <w:szCs w:val="21"/>
                    </w:rPr>
                  </w:pPr>
                </w:p>
              </w:tc>
              <w:tc>
                <w:tcPr>
                  <w:tcW w:w="1413" w:type="pct"/>
                  <w:gridSpan w:val="2"/>
                  <w:vMerge w:val="continue"/>
                  <w:vAlign w:val="center"/>
                </w:tcPr>
                <w:p w14:paraId="72C12CFD">
                  <w:pPr>
                    <w:jc w:val="center"/>
                    <w:rPr>
                      <w:szCs w:val="21"/>
                    </w:rPr>
                  </w:pPr>
                </w:p>
              </w:tc>
              <w:tc>
                <w:tcPr>
                  <w:tcW w:w="2284" w:type="pct"/>
                  <w:vAlign w:val="center"/>
                </w:tcPr>
                <w:p w14:paraId="1E497F9C">
                  <w:pPr>
                    <w:jc w:val="center"/>
                  </w:pPr>
                  <w:r>
                    <w:t>颗粒物、硫化氢、臭气浓度</w:t>
                  </w:r>
                </w:p>
              </w:tc>
              <w:tc>
                <w:tcPr>
                  <w:tcW w:w="545" w:type="pct"/>
                  <w:vAlign w:val="center"/>
                </w:tcPr>
                <w:p w14:paraId="65AA0DB2">
                  <w:pPr>
                    <w:jc w:val="center"/>
                    <w:rPr>
                      <w:szCs w:val="21"/>
                    </w:rPr>
                  </w:pPr>
                  <w:r>
                    <w:rPr>
                      <w:szCs w:val="21"/>
                    </w:rPr>
                    <w:t>1次/年</w:t>
                  </w:r>
                </w:p>
              </w:tc>
            </w:tr>
            <w:bookmarkEnd w:id="115"/>
            <w:tr w14:paraId="38FA34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483B7319">
                  <w:pPr>
                    <w:jc w:val="center"/>
                    <w:rPr>
                      <w:szCs w:val="21"/>
                    </w:rPr>
                  </w:pPr>
                </w:p>
              </w:tc>
              <w:tc>
                <w:tcPr>
                  <w:tcW w:w="448" w:type="pct"/>
                  <w:vMerge w:val="continue"/>
                  <w:vAlign w:val="center"/>
                </w:tcPr>
                <w:p w14:paraId="5C9C23B4">
                  <w:pPr>
                    <w:jc w:val="center"/>
                    <w:rPr>
                      <w:szCs w:val="21"/>
                    </w:rPr>
                  </w:pPr>
                </w:p>
              </w:tc>
              <w:tc>
                <w:tcPr>
                  <w:tcW w:w="1413" w:type="pct"/>
                  <w:gridSpan w:val="2"/>
                  <w:vMerge w:val="restart"/>
                  <w:vAlign w:val="center"/>
                </w:tcPr>
                <w:p w14:paraId="23983B3B">
                  <w:pPr>
                    <w:jc w:val="center"/>
                    <w:rPr>
                      <w:szCs w:val="21"/>
                    </w:rPr>
                  </w:pPr>
                  <w:r>
                    <w:rPr>
                      <w:rFonts w:hint="eastAsia"/>
                      <w:szCs w:val="21"/>
                    </w:rPr>
                    <w:t>3</w:t>
                  </w:r>
                  <w:r>
                    <w:rPr>
                      <w:szCs w:val="21"/>
                    </w:rPr>
                    <w:t>#</w:t>
                  </w:r>
                  <w:r>
                    <w:rPr>
                      <w:rFonts w:hint="eastAsia"/>
                      <w:szCs w:val="21"/>
                    </w:rPr>
                    <w:t>排气筒</w:t>
                  </w:r>
                </w:p>
              </w:tc>
              <w:tc>
                <w:tcPr>
                  <w:tcW w:w="2284" w:type="pct"/>
                  <w:vAlign w:val="center"/>
                </w:tcPr>
                <w:p w14:paraId="464D5230">
                  <w:pPr>
                    <w:jc w:val="center"/>
                  </w:pPr>
                  <w:r>
                    <w:rPr>
                      <w:rFonts w:hint="eastAsia"/>
                    </w:rPr>
                    <w:t>非甲烷总烃</w:t>
                  </w:r>
                </w:p>
              </w:tc>
              <w:tc>
                <w:tcPr>
                  <w:tcW w:w="545" w:type="pct"/>
                  <w:vAlign w:val="center"/>
                </w:tcPr>
                <w:p w14:paraId="3A8258BA">
                  <w:pPr>
                    <w:jc w:val="center"/>
                    <w:rPr>
                      <w:szCs w:val="21"/>
                    </w:rPr>
                  </w:pPr>
                  <w:r>
                    <w:rPr>
                      <w:szCs w:val="21"/>
                    </w:rPr>
                    <w:t>1</w:t>
                  </w:r>
                  <w:r>
                    <w:rPr>
                      <w:rFonts w:hint="eastAsia"/>
                      <w:szCs w:val="21"/>
                    </w:rPr>
                    <w:t>次</w:t>
                  </w:r>
                  <w:r>
                    <w:rPr>
                      <w:szCs w:val="21"/>
                    </w:rPr>
                    <w:t>/</w:t>
                  </w:r>
                  <w:r>
                    <w:rPr>
                      <w:rFonts w:hint="eastAsia"/>
                      <w:szCs w:val="21"/>
                    </w:rPr>
                    <w:t>半年</w:t>
                  </w:r>
                </w:p>
              </w:tc>
            </w:tr>
            <w:tr w14:paraId="2DD39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31180AC5">
                  <w:pPr>
                    <w:jc w:val="center"/>
                    <w:rPr>
                      <w:szCs w:val="21"/>
                    </w:rPr>
                  </w:pPr>
                </w:p>
              </w:tc>
              <w:tc>
                <w:tcPr>
                  <w:tcW w:w="448" w:type="pct"/>
                  <w:vMerge w:val="continue"/>
                  <w:vAlign w:val="center"/>
                </w:tcPr>
                <w:p w14:paraId="7C13443B">
                  <w:pPr>
                    <w:jc w:val="center"/>
                    <w:rPr>
                      <w:szCs w:val="21"/>
                    </w:rPr>
                  </w:pPr>
                </w:p>
              </w:tc>
              <w:tc>
                <w:tcPr>
                  <w:tcW w:w="1413" w:type="pct"/>
                  <w:gridSpan w:val="2"/>
                  <w:vMerge w:val="continue"/>
                  <w:vAlign w:val="center"/>
                </w:tcPr>
                <w:p w14:paraId="779EADAA">
                  <w:pPr>
                    <w:widowControl/>
                    <w:jc w:val="left"/>
                    <w:rPr>
                      <w:szCs w:val="21"/>
                    </w:rPr>
                  </w:pPr>
                </w:p>
              </w:tc>
              <w:tc>
                <w:tcPr>
                  <w:tcW w:w="2284" w:type="pct"/>
                  <w:vAlign w:val="center"/>
                </w:tcPr>
                <w:p w14:paraId="29312EFC">
                  <w:pPr>
                    <w:jc w:val="center"/>
                  </w:pPr>
                  <w:r>
                    <w:rPr>
                      <w:rFonts w:hint="eastAsia"/>
                    </w:rPr>
                    <w:t>硫化氢、臭气浓度、氟化物</w:t>
                  </w:r>
                </w:p>
              </w:tc>
              <w:tc>
                <w:tcPr>
                  <w:tcW w:w="545" w:type="pct"/>
                  <w:vAlign w:val="center"/>
                </w:tcPr>
                <w:p w14:paraId="0656BF27">
                  <w:pPr>
                    <w:jc w:val="center"/>
                    <w:rPr>
                      <w:szCs w:val="21"/>
                    </w:rPr>
                  </w:pPr>
                  <w:r>
                    <w:rPr>
                      <w:szCs w:val="21"/>
                    </w:rPr>
                    <w:t>1</w:t>
                  </w:r>
                  <w:r>
                    <w:rPr>
                      <w:rFonts w:hint="eastAsia"/>
                      <w:szCs w:val="21"/>
                    </w:rPr>
                    <w:t>次</w:t>
                  </w:r>
                  <w:r>
                    <w:rPr>
                      <w:szCs w:val="21"/>
                    </w:rPr>
                    <w:t>/</w:t>
                  </w:r>
                  <w:r>
                    <w:rPr>
                      <w:rFonts w:hint="eastAsia"/>
                      <w:szCs w:val="21"/>
                    </w:rPr>
                    <w:t>年</w:t>
                  </w:r>
                </w:p>
              </w:tc>
            </w:tr>
            <w:tr w14:paraId="39186C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6C330277">
                  <w:pPr>
                    <w:jc w:val="center"/>
                    <w:rPr>
                      <w:szCs w:val="21"/>
                    </w:rPr>
                  </w:pPr>
                </w:p>
              </w:tc>
              <w:tc>
                <w:tcPr>
                  <w:tcW w:w="448" w:type="pct"/>
                  <w:vMerge w:val="continue"/>
                  <w:vAlign w:val="center"/>
                </w:tcPr>
                <w:p w14:paraId="16BE0EAD">
                  <w:pPr>
                    <w:jc w:val="center"/>
                    <w:rPr>
                      <w:szCs w:val="21"/>
                    </w:rPr>
                  </w:pPr>
                </w:p>
              </w:tc>
              <w:tc>
                <w:tcPr>
                  <w:tcW w:w="1413" w:type="pct"/>
                  <w:gridSpan w:val="2"/>
                  <w:vAlign w:val="center"/>
                </w:tcPr>
                <w:p w14:paraId="06CD9413">
                  <w:pPr>
                    <w:jc w:val="center"/>
                    <w:rPr>
                      <w:szCs w:val="21"/>
                    </w:rPr>
                  </w:pPr>
                  <w:r>
                    <w:rPr>
                      <w:szCs w:val="21"/>
                    </w:rPr>
                    <w:t>5#排气筒</w:t>
                  </w:r>
                </w:p>
              </w:tc>
              <w:tc>
                <w:tcPr>
                  <w:tcW w:w="2284" w:type="pct"/>
                  <w:vAlign w:val="center"/>
                </w:tcPr>
                <w:p w14:paraId="2F6D6BC4">
                  <w:pPr>
                    <w:jc w:val="center"/>
                    <w:rPr>
                      <w:szCs w:val="21"/>
                    </w:rPr>
                  </w:pPr>
                  <w:r>
                    <w:rPr>
                      <w:szCs w:val="21"/>
                    </w:rPr>
                    <w:t>颗粒物</w:t>
                  </w:r>
                </w:p>
              </w:tc>
              <w:tc>
                <w:tcPr>
                  <w:tcW w:w="545" w:type="pct"/>
                  <w:vAlign w:val="center"/>
                </w:tcPr>
                <w:p w14:paraId="12A95E2F">
                  <w:pPr>
                    <w:jc w:val="center"/>
                    <w:rPr>
                      <w:b/>
                      <w:bCs/>
                      <w:szCs w:val="21"/>
                    </w:rPr>
                  </w:pPr>
                  <w:r>
                    <w:rPr>
                      <w:szCs w:val="21"/>
                    </w:rPr>
                    <w:t>1次/年</w:t>
                  </w:r>
                </w:p>
              </w:tc>
            </w:tr>
            <w:tr w14:paraId="54E776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1F676628">
                  <w:pPr>
                    <w:jc w:val="center"/>
                    <w:rPr>
                      <w:szCs w:val="21"/>
                    </w:rPr>
                  </w:pPr>
                </w:p>
              </w:tc>
              <w:tc>
                <w:tcPr>
                  <w:tcW w:w="448" w:type="pct"/>
                  <w:vMerge w:val="continue"/>
                  <w:vAlign w:val="center"/>
                </w:tcPr>
                <w:p w14:paraId="5D7E3808">
                  <w:pPr>
                    <w:jc w:val="center"/>
                    <w:rPr>
                      <w:szCs w:val="21"/>
                    </w:rPr>
                  </w:pPr>
                </w:p>
              </w:tc>
              <w:tc>
                <w:tcPr>
                  <w:tcW w:w="1413" w:type="pct"/>
                  <w:gridSpan w:val="2"/>
                  <w:vMerge w:val="restart"/>
                  <w:vAlign w:val="center"/>
                </w:tcPr>
                <w:p w14:paraId="61E8CD9A">
                  <w:pPr>
                    <w:jc w:val="center"/>
                    <w:rPr>
                      <w:szCs w:val="21"/>
                    </w:rPr>
                  </w:pPr>
                  <w:r>
                    <w:rPr>
                      <w:szCs w:val="21"/>
                    </w:rPr>
                    <w:t>6#排气筒</w:t>
                  </w:r>
                </w:p>
              </w:tc>
              <w:tc>
                <w:tcPr>
                  <w:tcW w:w="2284" w:type="pct"/>
                  <w:vAlign w:val="center"/>
                </w:tcPr>
                <w:p w14:paraId="21F9DEE7">
                  <w:pPr>
                    <w:jc w:val="center"/>
                    <w:rPr>
                      <w:szCs w:val="21"/>
                    </w:rPr>
                  </w:pPr>
                  <w:r>
                    <w:t>非甲烷总烃、二甲苯</w:t>
                  </w:r>
                </w:p>
              </w:tc>
              <w:tc>
                <w:tcPr>
                  <w:tcW w:w="545" w:type="pct"/>
                  <w:vAlign w:val="center"/>
                </w:tcPr>
                <w:p w14:paraId="46B8863E">
                  <w:pPr>
                    <w:jc w:val="center"/>
                    <w:rPr>
                      <w:szCs w:val="21"/>
                    </w:rPr>
                  </w:pPr>
                  <w:r>
                    <w:rPr>
                      <w:szCs w:val="21"/>
                    </w:rPr>
                    <w:t>1次/半年</w:t>
                  </w:r>
                </w:p>
              </w:tc>
            </w:tr>
            <w:tr w14:paraId="02CE37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25BC8A36">
                  <w:pPr>
                    <w:jc w:val="center"/>
                    <w:rPr>
                      <w:szCs w:val="21"/>
                    </w:rPr>
                  </w:pPr>
                </w:p>
              </w:tc>
              <w:tc>
                <w:tcPr>
                  <w:tcW w:w="448" w:type="pct"/>
                  <w:vMerge w:val="continue"/>
                  <w:vAlign w:val="center"/>
                </w:tcPr>
                <w:p w14:paraId="59271F23">
                  <w:pPr>
                    <w:jc w:val="center"/>
                    <w:rPr>
                      <w:szCs w:val="21"/>
                    </w:rPr>
                  </w:pPr>
                </w:p>
              </w:tc>
              <w:tc>
                <w:tcPr>
                  <w:tcW w:w="1413" w:type="pct"/>
                  <w:gridSpan w:val="2"/>
                  <w:vMerge w:val="continue"/>
                  <w:vAlign w:val="center"/>
                </w:tcPr>
                <w:p w14:paraId="2D781745">
                  <w:pPr>
                    <w:jc w:val="center"/>
                    <w:rPr>
                      <w:szCs w:val="21"/>
                    </w:rPr>
                  </w:pPr>
                </w:p>
              </w:tc>
              <w:tc>
                <w:tcPr>
                  <w:tcW w:w="2284" w:type="pct"/>
                  <w:vAlign w:val="center"/>
                </w:tcPr>
                <w:p w14:paraId="1D7173E1">
                  <w:pPr>
                    <w:jc w:val="center"/>
                    <w:rPr>
                      <w:szCs w:val="21"/>
                    </w:rPr>
                  </w:pPr>
                  <w:r>
                    <w:rPr>
                      <w:szCs w:val="21"/>
                    </w:rPr>
                    <w:t>乙苯、颗粒物</w:t>
                  </w:r>
                </w:p>
              </w:tc>
              <w:tc>
                <w:tcPr>
                  <w:tcW w:w="545" w:type="pct"/>
                  <w:vAlign w:val="center"/>
                </w:tcPr>
                <w:p w14:paraId="60F2D73C">
                  <w:pPr>
                    <w:jc w:val="center"/>
                    <w:rPr>
                      <w:szCs w:val="21"/>
                    </w:rPr>
                  </w:pPr>
                  <w:r>
                    <w:rPr>
                      <w:szCs w:val="21"/>
                    </w:rPr>
                    <w:t>1次/年</w:t>
                  </w:r>
                </w:p>
              </w:tc>
            </w:tr>
            <w:tr w14:paraId="3739D4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1B39150F">
                  <w:pPr>
                    <w:jc w:val="center"/>
                    <w:rPr>
                      <w:szCs w:val="21"/>
                    </w:rPr>
                  </w:pPr>
                </w:p>
              </w:tc>
              <w:tc>
                <w:tcPr>
                  <w:tcW w:w="448" w:type="pct"/>
                  <w:vMerge w:val="continue"/>
                  <w:vAlign w:val="center"/>
                </w:tcPr>
                <w:p w14:paraId="5702257B">
                  <w:pPr>
                    <w:jc w:val="center"/>
                    <w:rPr>
                      <w:szCs w:val="21"/>
                    </w:rPr>
                  </w:pPr>
                </w:p>
              </w:tc>
              <w:tc>
                <w:tcPr>
                  <w:tcW w:w="1413" w:type="pct"/>
                  <w:gridSpan w:val="2"/>
                  <w:vMerge w:val="restart"/>
                  <w:vAlign w:val="center"/>
                </w:tcPr>
                <w:p w14:paraId="754140AF">
                  <w:pPr>
                    <w:jc w:val="center"/>
                    <w:rPr>
                      <w:szCs w:val="21"/>
                    </w:rPr>
                  </w:pPr>
                  <w:bookmarkStart w:id="116" w:name="OLE_LINK82"/>
                  <w:bookmarkStart w:id="117" w:name="OLE_LINK135"/>
                  <w:r>
                    <w:rPr>
                      <w:rFonts w:hint="eastAsia"/>
                      <w:szCs w:val="21"/>
                    </w:rPr>
                    <w:t>7#</w:t>
                  </w:r>
                  <w:r>
                    <w:rPr>
                      <w:szCs w:val="21"/>
                    </w:rPr>
                    <w:t>排气筒</w:t>
                  </w:r>
                  <w:bookmarkEnd w:id="116"/>
                  <w:bookmarkEnd w:id="117"/>
                </w:p>
              </w:tc>
              <w:tc>
                <w:tcPr>
                  <w:tcW w:w="2284" w:type="pct"/>
                  <w:vAlign w:val="center"/>
                </w:tcPr>
                <w:p w14:paraId="5F484A7C">
                  <w:pPr>
                    <w:jc w:val="center"/>
                  </w:pPr>
                  <w:r>
                    <w:t>非甲烷总烃</w:t>
                  </w:r>
                </w:p>
              </w:tc>
              <w:tc>
                <w:tcPr>
                  <w:tcW w:w="545" w:type="pct"/>
                  <w:vAlign w:val="center"/>
                </w:tcPr>
                <w:p w14:paraId="65C84DB7">
                  <w:pPr>
                    <w:jc w:val="center"/>
                    <w:rPr>
                      <w:szCs w:val="21"/>
                    </w:rPr>
                  </w:pPr>
                  <w:r>
                    <w:rPr>
                      <w:szCs w:val="21"/>
                    </w:rPr>
                    <w:t>1次/半年</w:t>
                  </w:r>
                </w:p>
              </w:tc>
            </w:tr>
            <w:tr w14:paraId="48787C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462CB599">
                  <w:pPr>
                    <w:jc w:val="center"/>
                    <w:rPr>
                      <w:szCs w:val="21"/>
                    </w:rPr>
                  </w:pPr>
                </w:p>
              </w:tc>
              <w:tc>
                <w:tcPr>
                  <w:tcW w:w="448" w:type="pct"/>
                  <w:vMerge w:val="continue"/>
                  <w:vAlign w:val="center"/>
                </w:tcPr>
                <w:p w14:paraId="4833EC08">
                  <w:pPr>
                    <w:jc w:val="center"/>
                    <w:rPr>
                      <w:szCs w:val="21"/>
                    </w:rPr>
                  </w:pPr>
                </w:p>
              </w:tc>
              <w:tc>
                <w:tcPr>
                  <w:tcW w:w="1413" w:type="pct"/>
                  <w:gridSpan w:val="2"/>
                  <w:vMerge w:val="continue"/>
                  <w:vAlign w:val="center"/>
                </w:tcPr>
                <w:p w14:paraId="07591854">
                  <w:pPr>
                    <w:jc w:val="center"/>
                    <w:rPr>
                      <w:szCs w:val="21"/>
                    </w:rPr>
                  </w:pPr>
                </w:p>
              </w:tc>
              <w:tc>
                <w:tcPr>
                  <w:tcW w:w="2284" w:type="pct"/>
                  <w:vAlign w:val="center"/>
                </w:tcPr>
                <w:p w14:paraId="73D6F5E7">
                  <w:pPr>
                    <w:jc w:val="center"/>
                  </w:pPr>
                  <w:r>
                    <w:t>颗粒物、硫化氢、臭气浓度</w:t>
                  </w:r>
                </w:p>
              </w:tc>
              <w:tc>
                <w:tcPr>
                  <w:tcW w:w="545" w:type="pct"/>
                  <w:vAlign w:val="center"/>
                </w:tcPr>
                <w:p w14:paraId="0AAD2325">
                  <w:pPr>
                    <w:jc w:val="center"/>
                    <w:rPr>
                      <w:szCs w:val="21"/>
                    </w:rPr>
                  </w:pPr>
                  <w:r>
                    <w:rPr>
                      <w:szCs w:val="21"/>
                    </w:rPr>
                    <w:t>1次/年</w:t>
                  </w:r>
                </w:p>
              </w:tc>
            </w:tr>
            <w:tr w14:paraId="4833E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6698E07C">
                  <w:pPr>
                    <w:jc w:val="center"/>
                    <w:rPr>
                      <w:szCs w:val="21"/>
                    </w:rPr>
                  </w:pPr>
                </w:p>
              </w:tc>
              <w:tc>
                <w:tcPr>
                  <w:tcW w:w="448" w:type="pct"/>
                  <w:vMerge w:val="continue"/>
                  <w:vAlign w:val="center"/>
                </w:tcPr>
                <w:p w14:paraId="48711CC8">
                  <w:pPr>
                    <w:jc w:val="center"/>
                    <w:rPr>
                      <w:szCs w:val="21"/>
                    </w:rPr>
                  </w:pPr>
                </w:p>
              </w:tc>
              <w:tc>
                <w:tcPr>
                  <w:tcW w:w="1413" w:type="pct"/>
                  <w:gridSpan w:val="2"/>
                  <w:vMerge w:val="restart"/>
                  <w:vAlign w:val="center"/>
                </w:tcPr>
                <w:p w14:paraId="12F3E716">
                  <w:pPr>
                    <w:jc w:val="center"/>
                    <w:rPr>
                      <w:szCs w:val="21"/>
                    </w:rPr>
                  </w:pPr>
                  <w:bookmarkStart w:id="118" w:name="OLE_LINK154"/>
                  <w:bookmarkStart w:id="119" w:name="OLE_LINK136"/>
                  <w:r>
                    <w:rPr>
                      <w:rFonts w:hint="eastAsia"/>
                      <w:szCs w:val="21"/>
                    </w:rPr>
                    <w:t>8#</w:t>
                  </w:r>
                  <w:r>
                    <w:rPr>
                      <w:szCs w:val="21"/>
                    </w:rPr>
                    <w:t>排气筒</w:t>
                  </w:r>
                  <w:bookmarkEnd w:id="118"/>
                  <w:bookmarkEnd w:id="119"/>
                </w:p>
              </w:tc>
              <w:tc>
                <w:tcPr>
                  <w:tcW w:w="2284" w:type="pct"/>
                  <w:vAlign w:val="center"/>
                </w:tcPr>
                <w:p w14:paraId="4ACDA559">
                  <w:pPr>
                    <w:jc w:val="center"/>
                  </w:pPr>
                  <w:r>
                    <w:rPr>
                      <w:rFonts w:hint="eastAsia"/>
                    </w:rPr>
                    <w:t>非甲烷总烃</w:t>
                  </w:r>
                </w:p>
              </w:tc>
              <w:tc>
                <w:tcPr>
                  <w:tcW w:w="545" w:type="pct"/>
                  <w:vAlign w:val="center"/>
                </w:tcPr>
                <w:p w14:paraId="59D8E699">
                  <w:pPr>
                    <w:jc w:val="center"/>
                    <w:rPr>
                      <w:szCs w:val="21"/>
                    </w:rPr>
                  </w:pPr>
                  <w:bookmarkStart w:id="120" w:name="OLE_LINK156"/>
                  <w:bookmarkStart w:id="121" w:name="OLE_LINK155"/>
                  <w:r>
                    <w:rPr>
                      <w:szCs w:val="21"/>
                    </w:rPr>
                    <w:t>1</w:t>
                  </w:r>
                  <w:r>
                    <w:rPr>
                      <w:rFonts w:hint="eastAsia"/>
                      <w:szCs w:val="21"/>
                    </w:rPr>
                    <w:t>次</w:t>
                  </w:r>
                  <w:r>
                    <w:rPr>
                      <w:szCs w:val="21"/>
                    </w:rPr>
                    <w:t>/</w:t>
                  </w:r>
                  <w:r>
                    <w:rPr>
                      <w:rFonts w:hint="eastAsia"/>
                      <w:szCs w:val="21"/>
                    </w:rPr>
                    <w:t>半年</w:t>
                  </w:r>
                  <w:bookmarkEnd w:id="120"/>
                  <w:bookmarkEnd w:id="121"/>
                </w:p>
              </w:tc>
            </w:tr>
            <w:tr w14:paraId="6A6449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54F52DD7">
                  <w:pPr>
                    <w:jc w:val="center"/>
                    <w:rPr>
                      <w:szCs w:val="21"/>
                    </w:rPr>
                  </w:pPr>
                </w:p>
              </w:tc>
              <w:tc>
                <w:tcPr>
                  <w:tcW w:w="448" w:type="pct"/>
                  <w:vMerge w:val="continue"/>
                  <w:vAlign w:val="center"/>
                </w:tcPr>
                <w:p w14:paraId="4B47ECB7">
                  <w:pPr>
                    <w:jc w:val="center"/>
                    <w:rPr>
                      <w:szCs w:val="21"/>
                    </w:rPr>
                  </w:pPr>
                </w:p>
              </w:tc>
              <w:tc>
                <w:tcPr>
                  <w:tcW w:w="1413" w:type="pct"/>
                  <w:gridSpan w:val="2"/>
                  <w:vMerge w:val="continue"/>
                  <w:vAlign w:val="center"/>
                </w:tcPr>
                <w:p w14:paraId="3D497F74">
                  <w:pPr>
                    <w:jc w:val="center"/>
                    <w:rPr>
                      <w:szCs w:val="21"/>
                    </w:rPr>
                  </w:pPr>
                </w:p>
              </w:tc>
              <w:tc>
                <w:tcPr>
                  <w:tcW w:w="2284" w:type="pct"/>
                  <w:vAlign w:val="center"/>
                </w:tcPr>
                <w:p w14:paraId="5C8897AE">
                  <w:pPr>
                    <w:jc w:val="center"/>
                  </w:pPr>
                  <w:r>
                    <w:rPr>
                      <w:rFonts w:hint="eastAsia"/>
                    </w:rPr>
                    <w:t>颗粒物、硫化氢、臭气浓度</w:t>
                  </w:r>
                </w:p>
              </w:tc>
              <w:tc>
                <w:tcPr>
                  <w:tcW w:w="545" w:type="pct"/>
                  <w:vAlign w:val="center"/>
                </w:tcPr>
                <w:p w14:paraId="13CBE06D">
                  <w:pPr>
                    <w:jc w:val="center"/>
                    <w:rPr>
                      <w:szCs w:val="21"/>
                    </w:rPr>
                  </w:pPr>
                  <w:r>
                    <w:rPr>
                      <w:szCs w:val="21"/>
                    </w:rPr>
                    <w:t>1</w:t>
                  </w:r>
                  <w:r>
                    <w:rPr>
                      <w:rFonts w:hint="eastAsia"/>
                      <w:szCs w:val="21"/>
                    </w:rPr>
                    <w:t>次</w:t>
                  </w:r>
                  <w:r>
                    <w:rPr>
                      <w:szCs w:val="21"/>
                    </w:rPr>
                    <w:t>/</w:t>
                  </w:r>
                  <w:r>
                    <w:rPr>
                      <w:rFonts w:hint="eastAsia"/>
                      <w:szCs w:val="21"/>
                    </w:rPr>
                    <w:t>年</w:t>
                  </w:r>
                </w:p>
              </w:tc>
            </w:tr>
            <w:tr w14:paraId="461D58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3719D432">
                  <w:pPr>
                    <w:jc w:val="center"/>
                    <w:rPr>
                      <w:szCs w:val="21"/>
                    </w:rPr>
                  </w:pPr>
                </w:p>
              </w:tc>
              <w:tc>
                <w:tcPr>
                  <w:tcW w:w="448" w:type="pct"/>
                  <w:vMerge w:val="continue"/>
                  <w:vAlign w:val="center"/>
                </w:tcPr>
                <w:p w14:paraId="0F2158F1">
                  <w:pPr>
                    <w:jc w:val="center"/>
                    <w:rPr>
                      <w:szCs w:val="21"/>
                    </w:rPr>
                  </w:pPr>
                </w:p>
              </w:tc>
              <w:tc>
                <w:tcPr>
                  <w:tcW w:w="1413" w:type="pct"/>
                  <w:gridSpan w:val="2"/>
                  <w:vAlign w:val="center"/>
                </w:tcPr>
                <w:p w14:paraId="35826BCF">
                  <w:pPr>
                    <w:jc w:val="center"/>
                    <w:rPr>
                      <w:szCs w:val="21"/>
                    </w:rPr>
                  </w:pPr>
                  <w:r>
                    <w:rPr>
                      <w:rFonts w:hint="eastAsia"/>
                      <w:szCs w:val="21"/>
                    </w:rPr>
                    <w:t>9#</w:t>
                  </w:r>
                  <w:r>
                    <w:rPr>
                      <w:szCs w:val="21"/>
                    </w:rPr>
                    <w:t>排气筒</w:t>
                  </w:r>
                </w:p>
              </w:tc>
              <w:tc>
                <w:tcPr>
                  <w:tcW w:w="2284" w:type="pct"/>
                  <w:vAlign w:val="center"/>
                </w:tcPr>
                <w:p w14:paraId="60E5240A">
                  <w:pPr>
                    <w:jc w:val="center"/>
                    <w:rPr>
                      <w:szCs w:val="21"/>
                    </w:rPr>
                  </w:pPr>
                  <w:r>
                    <w:rPr>
                      <w:rFonts w:hint="eastAsia"/>
                    </w:rPr>
                    <w:t>非甲烷总烃</w:t>
                  </w:r>
                </w:p>
              </w:tc>
              <w:tc>
                <w:tcPr>
                  <w:tcW w:w="545" w:type="pct"/>
                  <w:vAlign w:val="center"/>
                </w:tcPr>
                <w:p w14:paraId="1D69E7F8">
                  <w:pPr>
                    <w:jc w:val="center"/>
                    <w:rPr>
                      <w:szCs w:val="21"/>
                    </w:rPr>
                  </w:pPr>
                  <w:r>
                    <w:rPr>
                      <w:szCs w:val="21"/>
                    </w:rPr>
                    <w:t>1</w:t>
                  </w:r>
                  <w:r>
                    <w:rPr>
                      <w:rFonts w:hint="eastAsia"/>
                      <w:szCs w:val="21"/>
                    </w:rPr>
                    <w:t>次</w:t>
                  </w:r>
                  <w:r>
                    <w:rPr>
                      <w:szCs w:val="21"/>
                    </w:rPr>
                    <w:t>/</w:t>
                  </w:r>
                  <w:r>
                    <w:rPr>
                      <w:rFonts w:hint="eastAsia"/>
                      <w:szCs w:val="21"/>
                    </w:rPr>
                    <w:t>半年</w:t>
                  </w:r>
                </w:p>
              </w:tc>
            </w:tr>
            <w:tr w14:paraId="03264A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4C242FEF">
                  <w:pPr>
                    <w:jc w:val="center"/>
                    <w:rPr>
                      <w:szCs w:val="21"/>
                    </w:rPr>
                  </w:pPr>
                </w:p>
              </w:tc>
              <w:tc>
                <w:tcPr>
                  <w:tcW w:w="448" w:type="pct"/>
                  <w:vMerge w:val="restart"/>
                  <w:vAlign w:val="center"/>
                </w:tcPr>
                <w:p w14:paraId="67FD74CA">
                  <w:pPr>
                    <w:jc w:val="center"/>
                    <w:rPr>
                      <w:szCs w:val="21"/>
                    </w:rPr>
                  </w:pPr>
                  <w:r>
                    <w:rPr>
                      <w:szCs w:val="21"/>
                    </w:rPr>
                    <w:t>无组织废气</w:t>
                  </w:r>
                </w:p>
              </w:tc>
              <w:tc>
                <w:tcPr>
                  <w:tcW w:w="314" w:type="pct"/>
                  <w:vAlign w:val="center"/>
                </w:tcPr>
                <w:p w14:paraId="7AB791F8">
                  <w:pPr>
                    <w:jc w:val="center"/>
                    <w:rPr>
                      <w:szCs w:val="21"/>
                    </w:rPr>
                  </w:pPr>
                  <w:r>
                    <w:rPr>
                      <w:szCs w:val="21"/>
                    </w:rPr>
                    <w:t>厂界</w:t>
                  </w:r>
                </w:p>
              </w:tc>
              <w:tc>
                <w:tcPr>
                  <w:tcW w:w="1099" w:type="pct"/>
                  <w:vAlign w:val="center"/>
                </w:tcPr>
                <w:p w14:paraId="320BBDE2">
                  <w:pPr>
                    <w:jc w:val="center"/>
                    <w:rPr>
                      <w:szCs w:val="21"/>
                    </w:rPr>
                  </w:pPr>
                  <w:r>
                    <w:rPr>
                      <w:szCs w:val="21"/>
                    </w:rPr>
                    <w:t>厂界上风向设置一个监测点，下风向设置三个监测点</w:t>
                  </w:r>
                </w:p>
              </w:tc>
              <w:tc>
                <w:tcPr>
                  <w:tcW w:w="2284" w:type="pct"/>
                  <w:vAlign w:val="center"/>
                </w:tcPr>
                <w:p w14:paraId="22B5EB9E">
                  <w:pPr>
                    <w:jc w:val="center"/>
                  </w:pPr>
                  <w:r>
                    <w:rPr>
                      <w:rStyle w:val="30"/>
                      <w:szCs w:val="21"/>
                    </w:rPr>
                    <w:t>非甲烷总烃、硫化氢、臭气浓度、</w:t>
                  </w:r>
                  <w:r>
                    <w:t>氟化物、二甲苯、乙苯、颗粒物</w:t>
                  </w:r>
                </w:p>
              </w:tc>
              <w:tc>
                <w:tcPr>
                  <w:tcW w:w="545" w:type="pct"/>
                  <w:vAlign w:val="center"/>
                </w:tcPr>
                <w:p w14:paraId="14E8E610">
                  <w:pPr>
                    <w:jc w:val="center"/>
                    <w:rPr>
                      <w:szCs w:val="21"/>
                    </w:rPr>
                  </w:pPr>
                  <w:r>
                    <w:rPr>
                      <w:szCs w:val="21"/>
                    </w:rPr>
                    <w:t>1次/年</w:t>
                  </w:r>
                </w:p>
              </w:tc>
            </w:tr>
            <w:tr w14:paraId="7E7BA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10" w:type="pct"/>
                  <w:vMerge w:val="continue"/>
                  <w:vAlign w:val="center"/>
                </w:tcPr>
                <w:p w14:paraId="6075E96C">
                  <w:pPr>
                    <w:jc w:val="center"/>
                    <w:rPr>
                      <w:szCs w:val="21"/>
                    </w:rPr>
                  </w:pPr>
                </w:p>
              </w:tc>
              <w:tc>
                <w:tcPr>
                  <w:tcW w:w="448" w:type="pct"/>
                  <w:vMerge w:val="continue"/>
                  <w:vAlign w:val="center"/>
                </w:tcPr>
                <w:p w14:paraId="1A28FF0F">
                  <w:pPr>
                    <w:jc w:val="center"/>
                    <w:rPr>
                      <w:szCs w:val="21"/>
                    </w:rPr>
                  </w:pPr>
                </w:p>
              </w:tc>
              <w:tc>
                <w:tcPr>
                  <w:tcW w:w="1413" w:type="pct"/>
                  <w:gridSpan w:val="2"/>
                  <w:vAlign w:val="center"/>
                </w:tcPr>
                <w:p w14:paraId="5078644B">
                  <w:pPr>
                    <w:jc w:val="center"/>
                  </w:pPr>
                  <w:r>
                    <w:rPr>
                      <w:szCs w:val="21"/>
                    </w:rPr>
                    <w:t>厂房门窗或通风口、其他开口（孔）等排放口外1m，距地面1.5m及以上位置</w:t>
                  </w:r>
                </w:p>
              </w:tc>
              <w:tc>
                <w:tcPr>
                  <w:tcW w:w="2284" w:type="pct"/>
                  <w:vAlign w:val="center"/>
                </w:tcPr>
                <w:p w14:paraId="7F18BFCA">
                  <w:pPr>
                    <w:jc w:val="center"/>
                    <w:rPr>
                      <w:szCs w:val="21"/>
                    </w:rPr>
                  </w:pPr>
                  <w:r>
                    <w:rPr>
                      <w:szCs w:val="21"/>
                    </w:rPr>
                    <w:t>非甲烷总烃</w:t>
                  </w:r>
                </w:p>
              </w:tc>
              <w:tc>
                <w:tcPr>
                  <w:tcW w:w="545" w:type="pct"/>
                  <w:vAlign w:val="center"/>
                </w:tcPr>
                <w:p w14:paraId="6CD46BF1">
                  <w:pPr>
                    <w:jc w:val="center"/>
                    <w:rPr>
                      <w:szCs w:val="21"/>
                    </w:rPr>
                  </w:pPr>
                  <w:r>
                    <w:rPr>
                      <w:szCs w:val="21"/>
                    </w:rPr>
                    <w:t>1次/年</w:t>
                  </w:r>
                </w:p>
              </w:tc>
            </w:tr>
          </w:tbl>
          <w:p w14:paraId="1A25A1EE">
            <w:pPr>
              <w:pStyle w:val="64"/>
              <w:adjustRightInd w:val="0"/>
              <w:snapToGrid w:val="0"/>
              <w:spacing w:beforeLines="50" w:line="360" w:lineRule="auto"/>
              <w:ind w:firstLine="422"/>
              <w:rPr>
                <w:rFonts w:eastAsia="宋体"/>
                <w:b/>
                <w:sz w:val="21"/>
                <w:szCs w:val="21"/>
              </w:rPr>
            </w:pPr>
            <w:r>
              <w:rPr>
                <w:rFonts w:eastAsia="宋体"/>
                <w:b/>
                <w:sz w:val="21"/>
                <w:szCs w:val="21"/>
              </w:rPr>
              <w:t>（12）大气环境影响分析结论</w:t>
            </w:r>
          </w:p>
          <w:p w14:paraId="5C923764">
            <w:pPr>
              <w:pStyle w:val="5"/>
              <w:adjustRightInd w:val="0"/>
              <w:snapToGrid w:val="0"/>
              <w:spacing w:line="360" w:lineRule="auto"/>
              <w:ind w:firstLine="420"/>
              <w:rPr>
                <w:szCs w:val="21"/>
              </w:rPr>
            </w:pPr>
            <w:r>
              <w:rPr>
                <w:szCs w:val="21"/>
              </w:rPr>
              <w:t>项目所在区域为环境空气非达标区，根据</w:t>
            </w:r>
            <w:r>
              <w:t>《常州市空气质量持续改善行动计划实施方案》（常政发〔2024〕51号）</w:t>
            </w:r>
            <w:r>
              <w:rPr>
                <w:szCs w:val="21"/>
              </w:rPr>
              <w:t>，在落实调整优化产业结构、加快能源清洁低碳转型、加强面源污染治理、健全大气环境管理体系、完善生态环境经济政策等大气污染防治措施的情况下，区域环境空气质量可以得到改善。</w:t>
            </w:r>
          </w:p>
          <w:p w14:paraId="7B462059">
            <w:pPr>
              <w:pStyle w:val="5"/>
              <w:snapToGrid w:val="0"/>
              <w:spacing w:line="360" w:lineRule="auto"/>
              <w:ind w:firstLine="420"/>
              <w:rPr>
                <w:kern w:val="0"/>
                <w:szCs w:val="21"/>
              </w:rPr>
            </w:pPr>
            <w:r>
              <w:rPr>
                <w:rFonts w:hint="eastAsia"/>
                <w:szCs w:val="21"/>
              </w:rPr>
              <w:t>1#车间：硫化废气和挤出废气经碱喷淋+除雾装置+二级活性炭吸附装置处理后，二级硫化废气经碱喷淋+除雾装置+二级活性炭吸附装置处理后，合并至1#排气筒排放；4#车间：硫化废气经碱喷淋+除雾装置+二级活性炭吸附装置处理后，二级硫化废气经碱喷淋+除雾装置+二级活性炭吸附装置处理后，合并至3#排气筒排放；抛丸</w:t>
            </w:r>
            <w:r>
              <w:rPr>
                <w:szCs w:val="21"/>
              </w:rPr>
              <w:t>/</w:t>
            </w:r>
            <w:r>
              <w:rPr>
                <w:rFonts w:hint="eastAsia"/>
                <w:szCs w:val="21"/>
              </w:rPr>
              <w:t>喷砂粉尘经各自配套的滤芯脉冲反吹除尘装置处理后，合并至一根</w:t>
            </w:r>
            <w:r>
              <w:rPr>
                <w:szCs w:val="21"/>
              </w:rPr>
              <w:t>15m</w:t>
            </w:r>
            <w:r>
              <w:rPr>
                <w:rFonts w:hint="eastAsia"/>
                <w:szCs w:val="21"/>
              </w:rPr>
              <w:t>高</w:t>
            </w:r>
            <w:r>
              <w:rPr>
                <w:szCs w:val="21"/>
              </w:rPr>
              <w:t>5#</w:t>
            </w:r>
            <w:r>
              <w:rPr>
                <w:rFonts w:hint="eastAsia"/>
                <w:szCs w:val="21"/>
              </w:rPr>
              <w:t>排气筒排放；配料、密炼、混炼、返炼废气经收集后分别经布袋集尘脉冲反吹除尘装置</w:t>
            </w:r>
            <w:r>
              <w:rPr>
                <w:szCs w:val="21"/>
              </w:rPr>
              <w:t>+</w:t>
            </w:r>
            <w:r>
              <w:rPr>
                <w:rFonts w:hint="eastAsia"/>
                <w:szCs w:val="21"/>
              </w:rPr>
              <w:t>二级活性炭吸附装置处理后分别经</w:t>
            </w:r>
            <w:r>
              <w:rPr>
                <w:szCs w:val="21"/>
              </w:rPr>
              <w:t>15m</w:t>
            </w:r>
            <w:r>
              <w:rPr>
                <w:rFonts w:hint="eastAsia"/>
                <w:szCs w:val="21"/>
              </w:rPr>
              <w:t>高</w:t>
            </w:r>
            <w:r>
              <w:rPr>
                <w:szCs w:val="21"/>
              </w:rPr>
              <w:t>8#</w:t>
            </w:r>
            <w:r>
              <w:rPr>
                <w:rFonts w:hint="eastAsia"/>
                <w:szCs w:val="21"/>
              </w:rPr>
              <w:t>排气筒排放；喷、浸、涂胶废气及干燥废气经二级活性炭吸附装置处理后，经</w:t>
            </w:r>
            <w:r>
              <w:rPr>
                <w:szCs w:val="21"/>
              </w:rPr>
              <w:t>15m</w:t>
            </w:r>
            <w:r>
              <w:rPr>
                <w:rFonts w:hint="eastAsia"/>
                <w:szCs w:val="21"/>
              </w:rPr>
              <w:t>高</w:t>
            </w:r>
            <w:r>
              <w:rPr>
                <w:szCs w:val="21"/>
              </w:rPr>
              <w:t>6#</w:t>
            </w:r>
            <w:r>
              <w:rPr>
                <w:rFonts w:hint="eastAsia"/>
                <w:szCs w:val="21"/>
              </w:rPr>
              <w:t>排气筒排放；现有项目：</w:t>
            </w:r>
            <w:r>
              <w:rPr>
                <w:rFonts w:hint="eastAsia"/>
              </w:rPr>
              <w:t>配料粉尘、</w:t>
            </w:r>
            <w:r>
              <w:rPr>
                <w:rFonts w:hint="eastAsia"/>
                <w:szCs w:val="21"/>
              </w:rPr>
              <w:t>密炼粉尘、混炼废气、返炼废气这四股废气经过各自的捕集装置后进布袋除尘器+二级活性炭吸附装置处理后，经15m高2#排气筒排放；配料粉尘、密炼粉尘、混炼废气、返炼废气、挤出废气这五股废气经过各自的捕集装置后进布袋除尘器+二级活性炭吸附装置处理后，经15m高7#排气筒排放；</w:t>
            </w:r>
            <w:r>
              <w:rPr>
                <w:rFonts w:hint="eastAsia"/>
              </w:rPr>
              <w:t>电泳后烘干废气经管道抽送至二级活性炭吸附装置处理后，经</w:t>
            </w:r>
            <w:r>
              <w:t>15m</w:t>
            </w:r>
            <w:r>
              <w:rPr>
                <w:rFonts w:hint="eastAsia"/>
              </w:rPr>
              <w:t>高</w:t>
            </w:r>
            <w:r>
              <w:t>9#</w:t>
            </w:r>
            <w:r>
              <w:rPr>
                <w:rFonts w:hint="eastAsia"/>
              </w:rPr>
              <w:t>排气筒排放</w:t>
            </w:r>
            <w:r>
              <w:rPr>
                <w:rFonts w:hint="eastAsia"/>
                <w:szCs w:val="21"/>
              </w:rPr>
              <w:t>。处理后废气排放量较低，可有效降低无组织排放量</w:t>
            </w:r>
            <w:r>
              <w:rPr>
                <w:szCs w:val="21"/>
              </w:rPr>
              <w:t>。以上措施均可有效降低各股废气排放量，减少对大气环境影响。</w:t>
            </w:r>
          </w:p>
          <w:p w14:paraId="03736089">
            <w:pPr>
              <w:pStyle w:val="5"/>
              <w:adjustRightInd w:val="0"/>
              <w:snapToGrid w:val="0"/>
              <w:spacing w:line="360" w:lineRule="auto"/>
              <w:ind w:firstLine="420"/>
              <w:rPr>
                <w:szCs w:val="21"/>
              </w:rPr>
            </w:pPr>
            <w:r>
              <w:rPr>
                <w:szCs w:val="21"/>
              </w:rPr>
              <w:t>企业拟通过加强车间通风等措施确保无组织废气排放厂界达标；全厂以</w:t>
            </w:r>
            <w:r>
              <w:rPr>
                <w:rFonts w:hint="eastAsia"/>
                <w:kern w:val="0"/>
                <w:szCs w:val="21"/>
              </w:rPr>
              <w:t>1#车间、3#车间、4#车间分别设置100m卫生防护距离，金属表面处理车间设置50m卫生防护距离</w:t>
            </w:r>
            <w:r>
              <w:rPr>
                <w:szCs w:val="21"/>
              </w:rPr>
              <w:t>。</w:t>
            </w:r>
          </w:p>
          <w:p w14:paraId="01F5970D">
            <w:pPr>
              <w:pStyle w:val="5"/>
              <w:adjustRightInd w:val="0"/>
              <w:snapToGrid w:val="0"/>
              <w:spacing w:line="360" w:lineRule="auto"/>
              <w:ind w:firstLine="420"/>
              <w:rPr>
                <w:szCs w:val="21"/>
              </w:rPr>
            </w:pPr>
            <w:r>
              <w:rPr>
                <w:szCs w:val="21"/>
              </w:rPr>
              <w:t>项目各污染物经合理处置后，排放量较低，且企业厂区周边均为工业企业，因此本项目建成后对大气环境影响较小。</w:t>
            </w:r>
          </w:p>
          <w:p w14:paraId="086E9949">
            <w:pPr>
              <w:adjustRightInd w:val="0"/>
              <w:snapToGrid w:val="0"/>
              <w:spacing w:line="360" w:lineRule="auto"/>
              <w:rPr>
                <w:b/>
                <w:bCs/>
                <w:szCs w:val="21"/>
              </w:rPr>
            </w:pPr>
            <w:r>
              <w:rPr>
                <w:b/>
                <w:bCs/>
                <w:szCs w:val="21"/>
              </w:rPr>
              <w:t>2、地表水环境影响分析</w:t>
            </w:r>
          </w:p>
          <w:p w14:paraId="601EB669">
            <w:pPr>
              <w:pStyle w:val="5"/>
              <w:adjustRightInd w:val="0"/>
              <w:snapToGrid w:val="0"/>
              <w:spacing w:line="360" w:lineRule="auto"/>
              <w:ind w:firstLine="422"/>
              <w:rPr>
                <w:szCs w:val="21"/>
              </w:rPr>
            </w:pPr>
            <w:r>
              <w:rPr>
                <w:b/>
                <w:bCs/>
                <w:szCs w:val="21"/>
              </w:rPr>
              <w:t>（1）废水源强</w:t>
            </w:r>
          </w:p>
          <w:p w14:paraId="40EEDD10">
            <w:pPr>
              <w:pStyle w:val="5"/>
              <w:adjustRightInd w:val="0"/>
              <w:snapToGrid w:val="0"/>
              <w:spacing w:line="360" w:lineRule="auto"/>
              <w:ind w:firstLine="420"/>
              <w:rPr>
                <w:szCs w:val="21"/>
              </w:rPr>
            </w:pPr>
            <w:r>
              <w:rPr>
                <w:szCs w:val="21"/>
              </w:rPr>
              <w:t>本次扩建项目新增用水为生活用水、冷却添加水、纯水制备用水、模具清洗用水、产品清洗用水、喷淋塔用水</w:t>
            </w:r>
            <w:r>
              <w:rPr>
                <w:rFonts w:hint="eastAsia"/>
                <w:szCs w:val="21"/>
              </w:rPr>
              <w:t>和切削液配置用水</w:t>
            </w:r>
            <w:r>
              <w:rPr>
                <w:szCs w:val="21"/>
              </w:rPr>
              <w:t>，其中切削液配置用水定期更换后作危废处置，不外排。</w:t>
            </w:r>
          </w:p>
          <w:p w14:paraId="3761DA09">
            <w:pPr>
              <w:adjustRightInd w:val="0"/>
              <w:snapToGrid w:val="0"/>
              <w:spacing w:line="360" w:lineRule="auto"/>
              <w:ind w:firstLine="420" w:firstLineChars="200"/>
              <w:rPr>
                <w:szCs w:val="21"/>
              </w:rPr>
            </w:pPr>
            <w:r>
              <w:rPr>
                <w:szCs w:val="21"/>
              </w:rPr>
              <w:t>废水来源为生活污水、模具清洗废水、产品清洗废水、喷淋塔废水、冷却塔排水和纯水制备弃水。</w:t>
            </w:r>
            <w:r>
              <w:rPr>
                <w:bCs/>
                <w:szCs w:val="21"/>
              </w:rPr>
              <w:t>全厂冷却水循环使用，定期补充，少量强制排水，本次环评将该股冷却塔强制排水</w:t>
            </w:r>
            <w:r>
              <w:rPr>
                <w:rFonts w:hint="eastAsia"/>
                <w:bCs/>
                <w:szCs w:val="21"/>
              </w:rPr>
              <w:t>（参考《地表水环境质量标准》（GB3838-2002）中表1 III类标准）作为清下水经污水管网接管至常州金坛区第二污水处理有限公司集中处理</w:t>
            </w:r>
            <w:r>
              <w:rPr>
                <w:szCs w:val="21"/>
              </w:rPr>
              <w:t>，处理后尾水排入尧塘河；本项目采用纯水机制备纯水，纯水制备过程中会产生纯水制备废水，</w:t>
            </w:r>
            <w:r>
              <w:rPr>
                <w:rFonts w:hint="eastAsia"/>
                <w:szCs w:val="21"/>
              </w:rPr>
              <w:t>现有项目产生的纯水制备弃水</w:t>
            </w:r>
            <w:r>
              <w:rPr>
                <w:szCs w:val="21"/>
              </w:rPr>
              <w:t>现作为清下水排入雨水管网，本次环评将该股废水</w:t>
            </w:r>
            <w:r>
              <w:rPr>
                <w:rFonts w:hint="eastAsia"/>
                <w:szCs w:val="21"/>
              </w:rPr>
              <w:t>（</w:t>
            </w:r>
            <w:r>
              <w:rPr>
                <w:rFonts w:hint="eastAsia"/>
                <w:bCs/>
                <w:szCs w:val="21"/>
              </w:rPr>
              <w:t>参考《地表水环境质量标准》（GB3838-2002）中表1 III类标准）作为清下水排入雨水管网</w:t>
            </w:r>
            <w:r>
              <w:rPr>
                <w:szCs w:val="21"/>
              </w:rPr>
              <w:t>。其中模具及产品清洗废水、喷淋塔废水经污水处理设施处理后回用于生产；冷却塔排水（</w:t>
            </w:r>
            <w:r>
              <w:rPr>
                <w:bCs/>
                <w:szCs w:val="21"/>
              </w:rPr>
              <w:t>900m</w:t>
            </w:r>
            <w:r>
              <w:rPr>
                <w:bCs/>
                <w:szCs w:val="21"/>
                <w:vertAlign w:val="superscript"/>
              </w:rPr>
              <w:t>3</w:t>
            </w:r>
            <w:r>
              <w:rPr>
                <w:bCs/>
                <w:szCs w:val="21"/>
              </w:rPr>
              <w:t>/a</w:t>
            </w:r>
            <w:r>
              <w:rPr>
                <w:szCs w:val="21"/>
              </w:rPr>
              <w:t>）和纯水制备弃水（</w:t>
            </w:r>
            <w:r>
              <w:rPr>
                <w:rFonts w:hint="eastAsia"/>
                <w:szCs w:val="21"/>
              </w:rPr>
              <w:t>本次新增218</w:t>
            </w:r>
            <w:r>
              <w:rPr>
                <w:szCs w:val="21"/>
              </w:rPr>
              <w:t>m</w:t>
            </w:r>
            <w:r>
              <w:rPr>
                <w:szCs w:val="21"/>
                <w:vertAlign w:val="superscript"/>
              </w:rPr>
              <w:t>3</w:t>
            </w:r>
            <w:r>
              <w:rPr>
                <w:szCs w:val="21"/>
              </w:rPr>
              <w:t>/a</w:t>
            </w:r>
            <w:r>
              <w:rPr>
                <w:rFonts w:hint="eastAsia"/>
                <w:szCs w:val="21"/>
              </w:rPr>
              <w:t>，现有308</w:t>
            </w:r>
            <w:r>
              <w:rPr>
                <w:szCs w:val="21"/>
              </w:rPr>
              <w:t>m</w:t>
            </w:r>
            <w:r>
              <w:rPr>
                <w:szCs w:val="21"/>
                <w:vertAlign w:val="superscript"/>
              </w:rPr>
              <w:t>3</w:t>
            </w:r>
            <w:r>
              <w:rPr>
                <w:szCs w:val="21"/>
              </w:rPr>
              <w:t>/a</w:t>
            </w:r>
            <w:r>
              <w:rPr>
                <w:rFonts w:hint="eastAsia"/>
                <w:szCs w:val="21"/>
              </w:rPr>
              <w:t>，共526</w:t>
            </w:r>
            <w:r>
              <w:rPr>
                <w:szCs w:val="21"/>
              </w:rPr>
              <w:t>m</w:t>
            </w:r>
            <w:r>
              <w:rPr>
                <w:szCs w:val="21"/>
                <w:vertAlign w:val="superscript"/>
              </w:rPr>
              <w:t>3</w:t>
            </w:r>
            <w:r>
              <w:rPr>
                <w:szCs w:val="21"/>
              </w:rPr>
              <w:t>/a）</w:t>
            </w:r>
            <w:r>
              <w:rPr>
                <w:rFonts w:hint="eastAsia"/>
                <w:szCs w:val="21"/>
              </w:rPr>
              <w:t>作为清下水排入雨水管网；</w:t>
            </w:r>
            <w:r>
              <w:rPr>
                <w:szCs w:val="21"/>
              </w:rPr>
              <w:t>排水为生活污水（</w:t>
            </w:r>
            <w:r>
              <w:rPr>
                <w:rFonts w:hint="eastAsia"/>
                <w:szCs w:val="21"/>
              </w:rPr>
              <w:t>240</w:t>
            </w:r>
            <w:r>
              <w:rPr>
                <w:szCs w:val="21"/>
              </w:rPr>
              <w:t>0t/a）</w:t>
            </w:r>
            <w:r>
              <w:rPr>
                <w:rFonts w:hint="eastAsia"/>
                <w:szCs w:val="21"/>
              </w:rPr>
              <w:t>，</w:t>
            </w:r>
            <w:r>
              <w:rPr>
                <w:szCs w:val="21"/>
              </w:rPr>
              <w:t>经市政污水管网接管至常州金坛区第二污水处理有限公司集中处理，处理后尾水排入尧塘河。</w:t>
            </w:r>
          </w:p>
          <w:p w14:paraId="5A7A3BD1">
            <w:pPr>
              <w:pStyle w:val="5"/>
              <w:adjustRightInd w:val="0"/>
              <w:snapToGrid w:val="0"/>
              <w:spacing w:line="360" w:lineRule="auto"/>
              <w:ind w:firstLine="420"/>
              <w:rPr>
                <w:szCs w:val="21"/>
              </w:rPr>
            </w:pPr>
            <w:r>
              <w:rPr>
                <w:szCs w:val="21"/>
              </w:rPr>
              <w:t>结合现有项目验收检测结果及例行检测结果，扩建项目废水产生及排放情况见表4-15。</w:t>
            </w:r>
          </w:p>
          <w:p w14:paraId="53D157CF">
            <w:pPr>
              <w:jc w:val="center"/>
              <w:rPr>
                <w:b/>
                <w:bCs/>
                <w:szCs w:val="21"/>
              </w:rPr>
            </w:pPr>
          </w:p>
          <w:p w14:paraId="238BD23B">
            <w:pPr>
              <w:jc w:val="center"/>
              <w:rPr>
                <w:b/>
                <w:bCs/>
                <w:szCs w:val="21"/>
              </w:rPr>
            </w:pPr>
          </w:p>
          <w:p w14:paraId="7B73D4A3">
            <w:pPr>
              <w:jc w:val="center"/>
              <w:rPr>
                <w:b/>
                <w:bCs/>
                <w:szCs w:val="21"/>
              </w:rPr>
            </w:pPr>
          </w:p>
          <w:p w14:paraId="0D3892C7">
            <w:pPr>
              <w:jc w:val="center"/>
              <w:rPr>
                <w:b/>
                <w:bCs/>
                <w:szCs w:val="21"/>
              </w:rPr>
            </w:pPr>
          </w:p>
          <w:p w14:paraId="47DC2ED0">
            <w:pPr>
              <w:jc w:val="center"/>
              <w:rPr>
                <w:szCs w:val="21"/>
              </w:rPr>
            </w:pPr>
            <w:r>
              <w:rPr>
                <w:b/>
                <w:bCs/>
                <w:szCs w:val="21"/>
              </w:rPr>
              <w:t>表4-15  建设项目废水产生和排放情况表</w:t>
            </w:r>
          </w:p>
          <w:tbl>
            <w:tblPr>
              <w:tblStyle w:val="25"/>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553"/>
              <w:gridCol w:w="786"/>
              <w:gridCol w:w="1180"/>
              <w:gridCol w:w="857"/>
              <w:gridCol w:w="840"/>
              <w:gridCol w:w="446"/>
              <w:gridCol w:w="520"/>
              <w:gridCol w:w="1089"/>
              <w:gridCol w:w="733"/>
              <w:gridCol w:w="864"/>
              <w:gridCol w:w="623"/>
            </w:tblGrid>
            <w:tr w14:paraId="670CF0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restart"/>
                  <w:vAlign w:val="center"/>
                </w:tcPr>
                <w:p w14:paraId="4254C14E">
                  <w:pPr>
                    <w:pStyle w:val="58"/>
                    <w:rPr>
                      <w:rFonts w:eastAsia="宋体"/>
                      <w:szCs w:val="21"/>
                    </w:rPr>
                  </w:pPr>
                  <w:bookmarkStart w:id="122" w:name="OLE_LINK180"/>
                  <w:bookmarkStart w:id="123" w:name="OLE_LINK179"/>
                  <w:r>
                    <w:rPr>
                      <w:rFonts w:eastAsia="宋体"/>
                      <w:szCs w:val="21"/>
                    </w:rPr>
                    <w:t>工序/生产线</w:t>
                  </w:r>
                </w:p>
              </w:tc>
              <w:tc>
                <w:tcPr>
                  <w:tcW w:w="553" w:type="dxa"/>
                  <w:vMerge w:val="restart"/>
                  <w:vAlign w:val="center"/>
                </w:tcPr>
                <w:p w14:paraId="74152C5A">
                  <w:pPr>
                    <w:pStyle w:val="58"/>
                    <w:rPr>
                      <w:rFonts w:eastAsia="宋体"/>
                      <w:szCs w:val="21"/>
                    </w:rPr>
                  </w:pPr>
                  <w:r>
                    <w:rPr>
                      <w:rFonts w:eastAsia="宋体"/>
                      <w:szCs w:val="21"/>
                    </w:rPr>
                    <w:t>污染源</w:t>
                  </w:r>
                </w:p>
              </w:tc>
              <w:tc>
                <w:tcPr>
                  <w:tcW w:w="786" w:type="dxa"/>
                  <w:vMerge w:val="restart"/>
                  <w:vAlign w:val="center"/>
                </w:tcPr>
                <w:p w14:paraId="2B7391EE">
                  <w:pPr>
                    <w:pStyle w:val="58"/>
                    <w:rPr>
                      <w:rFonts w:eastAsia="宋体"/>
                      <w:szCs w:val="21"/>
                    </w:rPr>
                  </w:pPr>
                  <w:r>
                    <w:rPr>
                      <w:rFonts w:eastAsia="宋体"/>
                      <w:szCs w:val="21"/>
                    </w:rPr>
                    <w:t>污染物</w:t>
                  </w:r>
                </w:p>
              </w:tc>
              <w:tc>
                <w:tcPr>
                  <w:tcW w:w="2877" w:type="dxa"/>
                  <w:gridSpan w:val="3"/>
                  <w:vAlign w:val="center"/>
                </w:tcPr>
                <w:p w14:paraId="6F643195">
                  <w:pPr>
                    <w:pStyle w:val="58"/>
                    <w:rPr>
                      <w:rFonts w:eastAsia="宋体"/>
                      <w:szCs w:val="21"/>
                    </w:rPr>
                  </w:pPr>
                  <w:r>
                    <w:rPr>
                      <w:rFonts w:eastAsia="宋体"/>
                      <w:szCs w:val="21"/>
                    </w:rPr>
                    <w:t>污染物产生</w:t>
                  </w:r>
                </w:p>
              </w:tc>
              <w:tc>
                <w:tcPr>
                  <w:tcW w:w="966" w:type="dxa"/>
                  <w:gridSpan w:val="2"/>
                  <w:vAlign w:val="center"/>
                </w:tcPr>
                <w:p w14:paraId="4A53BB79">
                  <w:pPr>
                    <w:pStyle w:val="58"/>
                    <w:rPr>
                      <w:rFonts w:eastAsia="宋体"/>
                      <w:szCs w:val="21"/>
                    </w:rPr>
                  </w:pPr>
                  <w:r>
                    <w:rPr>
                      <w:rFonts w:eastAsia="宋体"/>
                      <w:szCs w:val="21"/>
                    </w:rPr>
                    <w:t>治理措施</w:t>
                  </w:r>
                </w:p>
              </w:tc>
              <w:tc>
                <w:tcPr>
                  <w:tcW w:w="2686" w:type="dxa"/>
                  <w:gridSpan w:val="3"/>
                  <w:vAlign w:val="center"/>
                </w:tcPr>
                <w:p w14:paraId="372AC0E4">
                  <w:pPr>
                    <w:pStyle w:val="58"/>
                    <w:rPr>
                      <w:rFonts w:eastAsia="宋体"/>
                      <w:szCs w:val="21"/>
                    </w:rPr>
                  </w:pPr>
                  <w:r>
                    <w:rPr>
                      <w:rFonts w:eastAsia="宋体"/>
                      <w:szCs w:val="21"/>
                    </w:rPr>
                    <w:t>污染物排放</w:t>
                  </w:r>
                </w:p>
              </w:tc>
              <w:tc>
                <w:tcPr>
                  <w:tcW w:w="623" w:type="dxa"/>
                  <w:vMerge w:val="restart"/>
                  <w:vAlign w:val="center"/>
                </w:tcPr>
                <w:p w14:paraId="5392D63D">
                  <w:pPr>
                    <w:pStyle w:val="58"/>
                    <w:rPr>
                      <w:rFonts w:eastAsia="宋体"/>
                      <w:szCs w:val="21"/>
                    </w:rPr>
                  </w:pPr>
                  <w:r>
                    <w:rPr>
                      <w:rFonts w:eastAsia="宋体"/>
                      <w:szCs w:val="21"/>
                    </w:rPr>
                    <w:t>排放时间/h</w:t>
                  </w:r>
                </w:p>
              </w:tc>
            </w:tr>
            <w:tr w14:paraId="02E4B0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7C60D537">
                  <w:pPr>
                    <w:pStyle w:val="58"/>
                    <w:rPr>
                      <w:rFonts w:eastAsia="宋体"/>
                      <w:szCs w:val="21"/>
                    </w:rPr>
                  </w:pPr>
                </w:p>
              </w:tc>
              <w:tc>
                <w:tcPr>
                  <w:tcW w:w="553" w:type="dxa"/>
                  <w:vMerge w:val="continue"/>
                  <w:vAlign w:val="center"/>
                </w:tcPr>
                <w:p w14:paraId="17B09E50">
                  <w:pPr>
                    <w:pStyle w:val="58"/>
                    <w:rPr>
                      <w:rFonts w:eastAsia="宋体"/>
                      <w:szCs w:val="21"/>
                    </w:rPr>
                  </w:pPr>
                </w:p>
              </w:tc>
              <w:tc>
                <w:tcPr>
                  <w:tcW w:w="786" w:type="dxa"/>
                  <w:vMerge w:val="continue"/>
                  <w:vAlign w:val="center"/>
                </w:tcPr>
                <w:p w14:paraId="191B83E2">
                  <w:pPr>
                    <w:pStyle w:val="58"/>
                    <w:rPr>
                      <w:rFonts w:eastAsia="宋体"/>
                      <w:szCs w:val="21"/>
                    </w:rPr>
                  </w:pPr>
                </w:p>
              </w:tc>
              <w:tc>
                <w:tcPr>
                  <w:tcW w:w="1180" w:type="dxa"/>
                  <w:vAlign w:val="center"/>
                </w:tcPr>
                <w:p w14:paraId="7CA01A7E">
                  <w:pPr>
                    <w:pStyle w:val="58"/>
                    <w:rPr>
                      <w:rFonts w:eastAsia="宋体"/>
                      <w:szCs w:val="21"/>
                    </w:rPr>
                  </w:pPr>
                  <w:r>
                    <w:rPr>
                      <w:rFonts w:eastAsia="宋体"/>
                      <w:szCs w:val="21"/>
                    </w:rPr>
                    <w:t>产生废水量t/a</w:t>
                  </w:r>
                </w:p>
              </w:tc>
              <w:tc>
                <w:tcPr>
                  <w:tcW w:w="857" w:type="dxa"/>
                  <w:vAlign w:val="center"/>
                </w:tcPr>
                <w:p w14:paraId="1461ADF1">
                  <w:pPr>
                    <w:pStyle w:val="58"/>
                    <w:rPr>
                      <w:rFonts w:eastAsia="宋体"/>
                      <w:szCs w:val="21"/>
                    </w:rPr>
                  </w:pPr>
                  <w:r>
                    <w:rPr>
                      <w:rFonts w:eastAsia="宋体"/>
                      <w:szCs w:val="21"/>
                    </w:rPr>
                    <w:t>产生浓度mg/L</w:t>
                  </w:r>
                </w:p>
              </w:tc>
              <w:tc>
                <w:tcPr>
                  <w:tcW w:w="840" w:type="dxa"/>
                  <w:vAlign w:val="center"/>
                </w:tcPr>
                <w:p w14:paraId="2EEA755D">
                  <w:pPr>
                    <w:pStyle w:val="58"/>
                    <w:rPr>
                      <w:rFonts w:eastAsia="宋体"/>
                      <w:szCs w:val="21"/>
                    </w:rPr>
                  </w:pPr>
                  <w:r>
                    <w:rPr>
                      <w:rFonts w:eastAsia="宋体"/>
                      <w:szCs w:val="21"/>
                    </w:rPr>
                    <w:t>产生量t/a</w:t>
                  </w:r>
                </w:p>
              </w:tc>
              <w:tc>
                <w:tcPr>
                  <w:tcW w:w="446" w:type="dxa"/>
                  <w:vAlign w:val="center"/>
                </w:tcPr>
                <w:p w14:paraId="72C33CE9">
                  <w:pPr>
                    <w:pStyle w:val="58"/>
                    <w:rPr>
                      <w:rFonts w:eastAsia="宋体"/>
                      <w:szCs w:val="21"/>
                    </w:rPr>
                  </w:pPr>
                  <w:r>
                    <w:rPr>
                      <w:rFonts w:eastAsia="宋体"/>
                      <w:szCs w:val="21"/>
                    </w:rPr>
                    <w:t>工艺</w:t>
                  </w:r>
                </w:p>
              </w:tc>
              <w:tc>
                <w:tcPr>
                  <w:tcW w:w="520" w:type="dxa"/>
                  <w:vAlign w:val="center"/>
                </w:tcPr>
                <w:p w14:paraId="5BFD2A26">
                  <w:pPr>
                    <w:pStyle w:val="58"/>
                    <w:rPr>
                      <w:rFonts w:eastAsia="宋体"/>
                      <w:szCs w:val="21"/>
                    </w:rPr>
                  </w:pPr>
                  <w:r>
                    <w:rPr>
                      <w:rFonts w:eastAsia="宋体"/>
                      <w:szCs w:val="21"/>
                    </w:rPr>
                    <w:t>效率/%</w:t>
                  </w:r>
                </w:p>
              </w:tc>
              <w:tc>
                <w:tcPr>
                  <w:tcW w:w="1089" w:type="dxa"/>
                  <w:vAlign w:val="center"/>
                </w:tcPr>
                <w:p w14:paraId="047F228B">
                  <w:pPr>
                    <w:pStyle w:val="58"/>
                    <w:rPr>
                      <w:rFonts w:eastAsia="宋体"/>
                      <w:szCs w:val="21"/>
                    </w:rPr>
                  </w:pPr>
                  <w:r>
                    <w:rPr>
                      <w:rFonts w:eastAsia="宋体"/>
                      <w:szCs w:val="21"/>
                    </w:rPr>
                    <w:t>排放废水量t/a</w:t>
                  </w:r>
                </w:p>
              </w:tc>
              <w:tc>
                <w:tcPr>
                  <w:tcW w:w="733" w:type="dxa"/>
                  <w:vAlign w:val="center"/>
                </w:tcPr>
                <w:p w14:paraId="13D3DFCA">
                  <w:pPr>
                    <w:pStyle w:val="58"/>
                    <w:rPr>
                      <w:rFonts w:eastAsia="宋体"/>
                      <w:szCs w:val="21"/>
                    </w:rPr>
                  </w:pPr>
                  <w:r>
                    <w:rPr>
                      <w:rFonts w:eastAsia="宋体"/>
                      <w:szCs w:val="21"/>
                    </w:rPr>
                    <w:t>排放浓度mg/L</w:t>
                  </w:r>
                </w:p>
              </w:tc>
              <w:tc>
                <w:tcPr>
                  <w:tcW w:w="864" w:type="dxa"/>
                  <w:vAlign w:val="center"/>
                </w:tcPr>
                <w:p w14:paraId="3B757328">
                  <w:pPr>
                    <w:pStyle w:val="58"/>
                    <w:rPr>
                      <w:rFonts w:eastAsia="宋体"/>
                      <w:szCs w:val="21"/>
                    </w:rPr>
                  </w:pPr>
                  <w:r>
                    <w:rPr>
                      <w:rFonts w:eastAsia="宋体"/>
                      <w:szCs w:val="21"/>
                    </w:rPr>
                    <w:t>排放量t/a</w:t>
                  </w:r>
                </w:p>
              </w:tc>
              <w:tc>
                <w:tcPr>
                  <w:tcW w:w="623" w:type="dxa"/>
                  <w:vMerge w:val="continue"/>
                  <w:vAlign w:val="center"/>
                </w:tcPr>
                <w:p w14:paraId="398FE022">
                  <w:pPr>
                    <w:pStyle w:val="58"/>
                    <w:rPr>
                      <w:rFonts w:eastAsia="宋体"/>
                      <w:szCs w:val="21"/>
                    </w:rPr>
                  </w:pPr>
                </w:p>
              </w:tc>
            </w:tr>
            <w:tr w14:paraId="33078C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restart"/>
                  <w:vAlign w:val="center"/>
                </w:tcPr>
                <w:p w14:paraId="2984B29E">
                  <w:pPr>
                    <w:adjustRightInd w:val="0"/>
                    <w:snapToGrid w:val="0"/>
                    <w:jc w:val="center"/>
                    <w:rPr>
                      <w:szCs w:val="21"/>
                    </w:rPr>
                  </w:pPr>
                  <w:bookmarkStart w:id="124" w:name="_Hlk201499345"/>
                  <w:r>
                    <w:rPr>
                      <w:szCs w:val="21"/>
                    </w:rPr>
                    <w:t>职工生活</w:t>
                  </w:r>
                </w:p>
              </w:tc>
              <w:tc>
                <w:tcPr>
                  <w:tcW w:w="553" w:type="dxa"/>
                  <w:vMerge w:val="restart"/>
                  <w:vAlign w:val="center"/>
                </w:tcPr>
                <w:p w14:paraId="40955998">
                  <w:pPr>
                    <w:adjustRightInd w:val="0"/>
                    <w:snapToGrid w:val="0"/>
                    <w:jc w:val="center"/>
                    <w:rPr>
                      <w:szCs w:val="21"/>
                    </w:rPr>
                  </w:pPr>
                  <w:r>
                    <w:rPr>
                      <w:szCs w:val="21"/>
                    </w:rPr>
                    <w:t>生活污水</w:t>
                  </w:r>
                </w:p>
              </w:tc>
              <w:tc>
                <w:tcPr>
                  <w:tcW w:w="786" w:type="dxa"/>
                  <w:vAlign w:val="center"/>
                </w:tcPr>
                <w:p w14:paraId="4D4C26C9">
                  <w:pPr>
                    <w:adjustRightInd w:val="0"/>
                    <w:snapToGrid w:val="0"/>
                    <w:jc w:val="center"/>
                    <w:rPr>
                      <w:szCs w:val="21"/>
                    </w:rPr>
                  </w:pPr>
                  <w:r>
                    <w:rPr>
                      <w:szCs w:val="21"/>
                    </w:rPr>
                    <w:t>COD</w:t>
                  </w:r>
                </w:p>
              </w:tc>
              <w:tc>
                <w:tcPr>
                  <w:tcW w:w="1180" w:type="dxa"/>
                  <w:vMerge w:val="restart"/>
                  <w:vAlign w:val="center"/>
                </w:tcPr>
                <w:p w14:paraId="36FCAC0B">
                  <w:pPr>
                    <w:adjustRightInd w:val="0"/>
                    <w:snapToGrid w:val="0"/>
                    <w:jc w:val="center"/>
                    <w:rPr>
                      <w:kern w:val="0"/>
                      <w:szCs w:val="21"/>
                    </w:rPr>
                  </w:pPr>
                  <w:r>
                    <w:rPr>
                      <w:rFonts w:hint="eastAsia"/>
                      <w:kern w:val="0"/>
                      <w:szCs w:val="21"/>
                    </w:rPr>
                    <w:t>2400</w:t>
                  </w:r>
                </w:p>
              </w:tc>
              <w:tc>
                <w:tcPr>
                  <w:tcW w:w="857" w:type="dxa"/>
                  <w:vAlign w:val="center"/>
                </w:tcPr>
                <w:p w14:paraId="0A5115C8">
                  <w:pPr>
                    <w:snapToGrid w:val="0"/>
                    <w:jc w:val="center"/>
                    <w:rPr>
                      <w:szCs w:val="21"/>
                    </w:rPr>
                  </w:pPr>
                  <w:r>
                    <w:rPr>
                      <w:szCs w:val="21"/>
                    </w:rPr>
                    <w:t>300</w:t>
                  </w:r>
                </w:p>
              </w:tc>
              <w:tc>
                <w:tcPr>
                  <w:tcW w:w="840" w:type="dxa"/>
                  <w:vAlign w:val="center"/>
                </w:tcPr>
                <w:p w14:paraId="21B09246">
                  <w:pPr>
                    <w:snapToGrid w:val="0"/>
                    <w:jc w:val="center"/>
                    <w:rPr>
                      <w:szCs w:val="21"/>
                    </w:rPr>
                  </w:pPr>
                  <w:r>
                    <w:rPr>
                      <w:szCs w:val="21"/>
                    </w:rPr>
                    <w:t>0.72</w:t>
                  </w:r>
                </w:p>
              </w:tc>
              <w:tc>
                <w:tcPr>
                  <w:tcW w:w="446" w:type="dxa"/>
                  <w:vMerge w:val="restart"/>
                  <w:vAlign w:val="center"/>
                </w:tcPr>
                <w:p w14:paraId="164E4F4A">
                  <w:pPr>
                    <w:adjustRightInd w:val="0"/>
                    <w:snapToGrid w:val="0"/>
                    <w:jc w:val="center"/>
                    <w:rPr>
                      <w:szCs w:val="21"/>
                    </w:rPr>
                  </w:pPr>
                  <w:r>
                    <w:rPr>
                      <w:szCs w:val="21"/>
                    </w:rPr>
                    <w:t>隔油池</w:t>
                  </w:r>
                </w:p>
              </w:tc>
              <w:tc>
                <w:tcPr>
                  <w:tcW w:w="520" w:type="dxa"/>
                  <w:vAlign w:val="center"/>
                </w:tcPr>
                <w:p w14:paraId="1A27C0AD">
                  <w:pPr>
                    <w:widowControl/>
                    <w:adjustRightInd w:val="0"/>
                    <w:snapToGrid w:val="0"/>
                    <w:jc w:val="center"/>
                    <w:textAlignment w:val="center"/>
                    <w:rPr>
                      <w:szCs w:val="21"/>
                    </w:rPr>
                  </w:pPr>
                  <w:bookmarkStart w:id="125" w:name="OLE_LINK169"/>
                  <w:bookmarkStart w:id="126" w:name="OLE_LINK170"/>
                  <w:r>
                    <w:rPr>
                      <w:szCs w:val="21"/>
                    </w:rPr>
                    <w:t>/</w:t>
                  </w:r>
                  <w:bookmarkEnd w:id="125"/>
                  <w:bookmarkEnd w:id="126"/>
                </w:p>
              </w:tc>
              <w:tc>
                <w:tcPr>
                  <w:tcW w:w="1089" w:type="dxa"/>
                  <w:vMerge w:val="restart"/>
                  <w:vAlign w:val="center"/>
                </w:tcPr>
                <w:p w14:paraId="13BA235F">
                  <w:pPr>
                    <w:adjustRightInd w:val="0"/>
                    <w:snapToGrid w:val="0"/>
                    <w:jc w:val="center"/>
                    <w:rPr>
                      <w:szCs w:val="21"/>
                    </w:rPr>
                  </w:pPr>
                  <w:r>
                    <w:rPr>
                      <w:rFonts w:hint="eastAsia"/>
                      <w:szCs w:val="21"/>
                    </w:rPr>
                    <w:t>24</w:t>
                  </w:r>
                  <w:r>
                    <w:rPr>
                      <w:szCs w:val="21"/>
                    </w:rPr>
                    <w:t>00</w:t>
                  </w:r>
                </w:p>
              </w:tc>
              <w:tc>
                <w:tcPr>
                  <w:tcW w:w="733" w:type="dxa"/>
                  <w:vAlign w:val="center"/>
                </w:tcPr>
                <w:p w14:paraId="37AC2FB4">
                  <w:pPr>
                    <w:snapToGrid w:val="0"/>
                    <w:jc w:val="center"/>
                    <w:rPr>
                      <w:szCs w:val="21"/>
                    </w:rPr>
                  </w:pPr>
                  <w:r>
                    <w:rPr>
                      <w:szCs w:val="21"/>
                    </w:rPr>
                    <w:t>300</w:t>
                  </w:r>
                </w:p>
              </w:tc>
              <w:tc>
                <w:tcPr>
                  <w:tcW w:w="864" w:type="dxa"/>
                  <w:vAlign w:val="center"/>
                </w:tcPr>
                <w:p w14:paraId="5950CBAE">
                  <w:pPr>
                    <w:snapToGrid w:val="0"/>
                    <w:jc w:val="center"/>
                    <w:rPr>
                      <w:szCs w:val="21"/>
                    </w:rPr>
                  </w:pPr>
                  <w:r>
                    <w:rPr>
                      <w:szCs w:val="21"/>
                    </w:rPr>
                    <w:t>0.72</w:t>
                  </w:r>
                </w:p>
              </w:tc>
              <w:tc>
                <w:tcPr>
                  <w:tcW w:w="623" w:type="dxa"/>
                  <w:vMerge w:val="restart"/>
                  <w:vAlign w:val="center"/>
                </w:tcPr>
                <w:p w14:paraId="59619CDB">
                  <w:pPr>
                    <w:adjustRightInd w:val="0"/>
                    <w:snapToGrid w:val="0"/>
                    <w:jc w:val="center"/>
                    <w:rPr>
                      <w:szCs w:val="21"/>
                    </w:rPr>
                  </w:pPr>
                  <w:r>
                    <w:rPr>
                      <w:rFonts w:hint="eastAsia"/>
                      <w:szCs w:val="21"/>
                    </w:rPr>
                    <w:t>72</w:t>
                  </w:r>
                  <w:r>
                    <w:rPr>
                      <w:szCs w:val="21"/>
                    </w:rPr>
                    <w:t>00</w:t>
                  </w:r>
                </w:p>
              </w:tc>
            </w:tr>
            <w:tr w14:paraId="369FBA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0DC54386">
                  <w:pPr>
                    <w:adjustRightInd w:val="0"/>
                    <w:snapToGrid w:val="0"/>
                    <w:jc w:val="center"/>
                    <w:rPr>
                      <w:szCs w:val="21"/>
                    </w:rPr>
                  </w:pPr>
                </w:p>
              </w:tc>
              <w:tc>
                <w:tcPr>
                  <w:tcW w:w="553" w:type="dxa"/>
                  <w:vMerge w:val="continue"/>
                  <w:vAlign w:val="center"/>
                </w:tcPr>
                <w:p w14:paraId="5E910F51">
                  <w:pPr>
                    <w:adjustRightInd w:val="0"/>
                    <w:snapToGrid w:val="0"/>
                    <w:jc w:val="center"/>
                    <w:rPr>
                      <w:szCs w:val="21"/>
                    </w:rPr>
                  </w:pPr>
                </w:p>
              </w:tc>
              <w:tc>
                <w:tcPr>
                  <w:tcW w:w="786" w:type="dxa"/>
                  <w:vAlign w:val="center"/>
                </w:tcPr>
                <w:p w14:paraId="65EF545B">
                  <w:pPr>
                    <w:adjustRightInd w:val="0"/>
                    <w:snapToGrid w:val="0"/>
                    <w:jc w:val="center"/>
                    <w:rPr>
                      <w:szCs w:val="21"/>
                    </w:rPr>
                  </w:pPr>
                  <w:r>
                    <w:rPr>
                      <w:szCs w:val="21"/>
                    </w:rPr>
                    <w:t>SS</w:t>
                  </w:r>
                </w:p>
              </w:tc>
              <w:tc>
                <w:tcPr>
                  <w:tcW w:w="1180" w:type="dxa"/>
                  <w:vMerge w:val="continue"/>
                  <w:vAlign w:val="center"/>
                </w:tcPr>
                <w:p w14:paraId="0CC3123D">
                  <w:pPr>
                    <w:adjustRightInd w:val="0"/>
                    <w:snapToGrid w:val="0"/>
                    <w:jc w:val="center"/>
                    <w:rPr>
                      <w:kern w:val="0"/>
                      <w:szCs w:val="21"/>
                    </w:rPr>
                  </w:pPr>
                </w:p>
              </w:tc>
              <w:tc>
                <w:tcPr>
                  <w:tcW w:w="857" w:type="dxa"/>
                  <w:vAlign w:val="center"/>
                </w:tcPr>
                <w:p w14:paraId="407A7515">
                  <w:pPr>
                    <w:snapToGrid w:val="0"/>
                    <w:jc w:val="center"/>
                    <w:rPr>
                      <w:szCs w:val="21"/>
                    </w:rPr>
                  </w:pPr>
                  <w:r>
                    <w:rPr>
                      <w:szCs w:val="21"/>
                    </w:rPr>
                    <w:t>150</w:t>
                  </w:r>
                </w:p>
              </w:tc>
              <w:tc>
                <w:tcPr>
                  <w:tcW w:w="840" w:type="dxa"/>
                  <w:vAlign w:val="center"/>
                </w:tcPr>
                <w:p w14:paraId="67499CFA">
                  <w:pPr>
                    <w:snapToGrid w:val="0"/>
                    <w:jc w:val="center"/>
                    <w:rPr>
                      <w:szCs w:val="21"/>
                    </w:rPr>
                  </w:pPr>
                  <w:r>
                    <w:rPr>
                      <w:szCs w:val="21"/>
                    </w:rPr>
                    <w:t>0.36</w:t>
                  </w:r>
                </w:p>
              </w:tc>
              <w:tc>
                <w:tcPr>
                  <w:tcW w:w="446" w:type="dxa"/>
                  <w:vMerge w:val="continue"/>
                  <w:vAlign w:val="center"/>
                </w:tcPr>
                <w:p w14:paraId="0022515C">
                  <w:pPr>
                    <w:adjustRightInd w:val="0"/>
                    <w:snapToGrid w:val="0"/>
                    <w:jc w:val="center"/>
                    <w:rPr>
                      <w:szCs w:val="21"/>
                    </w:rPr>
                  </w:pPr>
                </w:p>
              </w:tc>
              <w:tc>
                <w:tcPr>
                  <w:tcW w:w="520" w:type="dxa"/>
                  <w:vAlign w:val="center"/>
                </w:tcPr>
                <w:p w14:paraId="5491FE13">
                  <w:pPr>
                    <w:widowControl/>
                    <w:adjustRightInd w:val="0"/>
                    <w:snapToGrid w:val="0"/>
                    <w:jc w:val="center"/>
                    <w:textAlignment w:val="center"/>
                    <w:rPr>
                      <w:szCs w:val="21"/>
                    </w:rPr>
                  </w:pPr>
                  <w:r>
                    <w:rPr>
                      <w:szCs w:val="21"/>
                    </w:rPr>
                    <w:t>/</w:t>
                  </w:r>
                </w:p>
              </w:tc>
              <w:tc>
                <w:tcPr>
                  <w:tcW w:w="1089" w:type="dxa"/>
                  <w:vMerge w:val="continue"/>
                  <w:vAlign w:val="center"/>
                </w:tcPr>
                <w:p w14:paraId="50894DF4">
                  <w:pPr>
                    <w:adjustRightInd w:val="0"/>
                    <w:snapToGrid w:val="0"/>
                    <w:jc w:val="center"/>
                    <w:rPr>
                      <w:szCs w:val="21"/>
                    </w:rPr>
                  </w:pPr>
                </w:p>
              </w:tc>
              <w:tc>
                <w:tcPr>
                  <w:tcW w:w="733" w:type="dxa"/>
                  <w:vAlign w:val="center"/>
                </w:tcPr>
                <w:p w14:paraId="3BA0FEDF">
                  <w:pPr>
                    <w:snapToGrid w:val="0"/>
                    <w:jc w:val="center"/>
                    <w:rPr>
                      <w:szCs w:val="21"/>
                    </w:rPr>
                  </w:pPr>
                  <w:r>
                    <w:rPr>
                      <w:szCs w:val="21"/>
                    </w:rPr>
                    <w:t>150</w:t>
                  </w:r>
                </w:p>
              </w:tc>
              <w:tc>
                <w:tcPr>
                  <w:tcW w:w="864" w:type="dxa"/>
                  <w:vAlign w:val="center"/>
                </w:tcPr>
                <w:p w14:paraId="1209D36A">
                  <w:pPr>
                    <w:snapToGrid w:val="0"/>
                    <w:jc w:val="center"/>
                    <w:rPr>
                      <w:szCs w:val="21"/>
                    </w:rPr>
                  </w:pPr>
                  <w:r>
                    <w:rPr>
                      <w:szCs w:val="21"/>
                    </w:rPr>
                    <w:t>0.36</w:t>
                  </w:r>
                </w:p>
              </w:tc>
              <w:tc>
                <w:tcPr>
                  <w:tcW w:w="623" w:type="dxa"/>
                  <w:vMerge w:val="continue"/>
                  <w:vAlign w:val="center"/>
                </w:tcPr>
                <w:p w14:paraId="0AE4FA1F">
                  <w:pPr>
                    <w:adjustRightInd w:val="0"/>
                    <w:snapToGrid w:val="0"/>
                    <w:jc w:val="center"/>
                    <w:rPr>
                      <w:szCs w:val="21"/>
                    </w:rPr>
                  </w:pPr>
                </w:p>
              </w:tc>
            </w:tr>
            <w:tr w14:paraId="08A9E3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53AE06FF">
                  <w:pPr>
                    <w:adjustRightInd w:val="0"/>
                    <w:snapToGrid w:val="0"/>
                    <w:jc w:val="center"/>
                    <w:rPr>
                      <w:szCs w:val="21"/>
                    </w:rPr>
                  </w:pPr>
                </w:p>
              </w:tc>
              <w:tc>
                <w:tcPr>
                  <w:tcW w:w="553" w:type="dxa"/>
                  <w:vMerge w:val="continue"/>
                  <w:vAlign w:val="center"/>
                </w:tcPr>
                <w:p w14:paraId="216CF386">
                  <w:pPr>
                    <w:adjustRightInd w:val="0"/>
                    <w:snapToGrid w:val="0"/>
                    <w:jc w:val="center"/>
                    <w:rPr>
                      <w:szCs w:val="21"/>
                    </w:rPr>
                  </w:pPr>
                </w:p>
              </w:tc>
              <w:tc>
                <w:tcPr>
                  <w:tcW w:w="786" w:type="dxa"/>
                  <w:vAlign w:val="center"/>
                </w:tcPr>
                <w:p w14:paraId="7DB6BAB7">
                  <w:pPr>
                    <w:adjustRightInd w:val="0"/>
                    <w:snapToGrid w:val="0"/>
                    <w:jc w:val="center"/>
                    <w:rPr>
                      <w:szCs w:val="21"/>
                    </w:rPr>
                  </w:pPr>
                  <w:r>
                    <w:rPr>
                      <w:szCs w:val="21"/>
                    </w:rPr>
                    <w:t>NH</w:t>
                  </w:r>
                  <w:r>
                    <w:rPr>
                      <w:szCs w:val="21"/>
                      <w:vertAlign w:val="subscript"/>
                    </w:rPr>
                    <w:t>3</w:t>
                  </w:r>
                  <w:r>
                    <w:rPr>
                      <w:szCs w:val="21"/>
                    </w:rPr>
                    <w:t>-N</w:t>
                  </w:r>
                </w:p>
              </w:tc>
              <w:tc>
                <w:tcPr>
                  <w:tcW w:w="1180" w:type="dxa"/>
                  <w:vMerge w:val="continue"/>
                  <w:vAlign w:val="center"/>
                </w:tcPr>
                <w:p w14:paraId="16ED985E">
                  <w:pPr>
                    <w:adjustRightInd w:val="0"/>
                    <w:snapToGrid w:val="0"/>
                    <w:jc w:val="center"/>
                    <w:rPr>
                      <w:kern w:val="0"/>
                      <w:szCs w:val="21"/>
                    </w:rPr>
                  </w:pPr>
                </w:p>
              </w:tc>
              <w:tc>
                <w:tcPr>
                  <w:tcW w:w="857" w:type="dxa"/>
                  <w:vAlign w:val="center"/>
                </w:tcPr>
                <w:p w14:paraId="4D103E9A">
                  <w:pPr>
                    <w:snapToGrid w:val="0"/>
                    <w:jc w:val="center"/>
                    <w:rPr>
                      <w:szCs w:val="21"/>
                    </w:rPr>
                  </w:pPr>
                  <w:r>
                    <w:rPr>
                      <w:szCs w:val="21"/>
                    </w:rPr>
                    <w:t>30</w:t>
                  </w:r>
                </w:p>
              </w:tc>
              <w:tc>
                <w:tcPr>
                  <w:tcW w:w="840" w:type="dxa"/>
                  <w:vAlign w:val="center"/>
                </w:tcPr>
                <w:p w14:paraId="7F534661">
                  <w:pPr>
                    <w:snapToGrid w:val="0"/>
                    <w:jc w:val="center"/>
                    <w:rPr>
                      <w:szCs w:val="21"/>
                    </w:rPr>
                  </w:pPr>
                  <w:r>
                    <w:rPr>
                      <w:szCs w:val="21"/>
                    </w:rPr>
                    <w:t>0.072</w:t>
                  </w:r>
                </w:p>
              </w:tc>
              <w:tc>
                <w:tcPr>
                  <w:tcW w:w="446" w:type="dxa"/>
                  <w:vMerge w:val="continue"/>
                  <w:vAlign w:val="center"/>
                </w:tcPr>
                <w:p w14:paraId="5ABE0C26">
                  <w:pPr>
                    <w:adjustRightInd w:val="0"/>
                    <w:snapToGrid w:val="0"/>
                    <w:jc w:val="center"/>
                    <w:rPr>
                      <w:szCs w:val="21"/>
                    </w:rPr>
                  </w:pPr>
                </w:p>
              </w:tc>
              <w:tc>
                <w:tcPr>
                  <w:tcW w:w="520" w:type="dxa"/>
                  <w:vAlign w:val="center"/>
                </w:tcPr>
                <w:p w14:paraId="178C463B">
                  <w:pPr>
                    <w:widowControl/>
                    <w:adjustRightInd w:val="0"/>
                    <w:snapToGrid w:val="0"/>
                    <w:jc w:val="center"/>
                    <w:textAlignment w:val="center"/>
                    <w:rPr>
                      <w:szCs w:val="21"/>
                    </w:rPr>
                  </w:pPr>
                  <w:r>
                    <w:rPr>
                      <w:szCs w:val="21"/>
                    </w:rPr>
                    <w:t>/</w:t>
                  </w:r>
                </w:p>
              </w:tc>
              <w:tc>
                <w:tcPr>
                  <w:tcW w:w="1089" w:type="dxa"/>
                  <w:vMerge w:val="continue"/>
                  <w:vAlign w:val="center"/>
                </w:tcPr>
                <w:p w14:paraId="7AF1D5CA">
                  <w:pPr>
                    <w:adjustRightInd w:val="0"/>
                    <w:snapToGrid w:val="0"/>
                    <w:jc w:val="center"/>
                    <w:rPr>
                      <w:szCs w:val="21"/>
                    </w:rPr>
                  </w:pPr>
                </w:p>
              </w:tc>
              <w:tc>
                <w:tcPr>
                  <w:tcW w:w="733" w:type="dxa"/>
                  <w:vAlign w:val="center"/>
                </w:tcPr>
                <w:p w14:paraId="4F2A26A7">
                  <w:pPr>
                    <w:snapToGrid w:val="0"/>
                    <w:jc w:val="center"/>
                    <w:rPr>
                      <w:szCs w:val="21"/>
                    </w:rPr>
                  </w:pPr>
                  <w:r>
                    <w:rPr>
                      <w:szCs w:val="21"/>
                    </w:rPr>
                    <w:t>30</w:t>
                  </w:r>
                </w:p>
              </w:tc>
              <w:tc>
                <w:tcPr>
                  <w:tcW w:w="864" w:type="dxa"/>
                  <w:vAlign w:val="center"/>
                </w:tcPr>
                <w:p w14:paraId="5E3230A6">
                  <w:pPr>
                    <w:snapToGrid w:val="0"/>
                    <w:jc w:val="center"/>
                    <w:rPr>
                      <w:szCs w:val="21"/>
                    </w:rPr>
                  </w:pPr>
                  <w:r>
                    <w:rPr>
                      <w:szCs w:val="21"/>
                    </w:rPr>
                    <w:t>0.072</w:t>
                  </w:r>
                </w:p>
              </w:tc>
              <w:tc>
                <w:tcPr>
                  <w:tcW w:w="623" w:type="dxa"/>
                  <w:vMerge w:val="continue"/>
                  <w:vAlign w:val="center"/>
                </w:tcPr>
                <w:p w14:paraId="1E674791">
                  <w:pPr>
                    <w:adjustRightInd w:val="0"/>
                    <w:snapToGrid w:val="0"/>
                    <w:jc w:val="center"/>
                    <w:rPr>
                      <w:szCs w:val="21"/>
                    </w:rPr>
                  </w:pPr>
                </w:p>
              </w:tc>
            </w:tr>
            <w:tr w14:paraId="61F742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7FF28139">
                  <w:pPr>
                    <w:adjustRightInd w:val="0"/>
                    <w:snapToGrid w:val="0"/>
                    <w:jc w:val="center"/>
                    <w:rPr>
                      <w:szCs w:val="21"/>
                    </w:rPr>
                  </w:pPr>
                  <w:bookmarkStart w:id="127" w:name="_Hlk201498899"/>
                </w:p>
              </w:tc>
              <w:tc>
                <w:tcPr>
                  <w:tcW w:w="553" w:type="dxa"/>
                  <w:vMerge w:val="continue"/>
                  <w:vAlign w:val="center"/>
                </w:tcPr>
                <w:p w14:paraId="65A6B711">
                  <w:pPr>
                    <w:adjustRightInd w:val="0"/>
                    <w:snapToGrid w:val="0"/>
                    <w:jc w:val="center"/>
                    <w:rPr>
                      <w:szCs w:val="21"/>
                    </w:rPr>
                  </w:pPr>
                </w:p>
              </w:tc>
              <w:tc>
                <w:tcPr>
                  <w:tcW w:w="786" w:type="dxa"/>
                  <w:vAlign w:val="center"/>
                </w:tcPr>
                <w:p w14:paraId="44F1A869">
                  <w:pPr>
                    <w:adjustRightInd w:val="0"/>
                    <w:snapToGrid w:val="0"/>
                    <w:jc w:val="center"/>
                    <w:rPr>
                      <w:szCs w:val="21"/>
                    </w:rPr>
                  </w:pPr>
                  <w:r>
                    <w:rPr>
                      <w:szCs w:val="21"/>
                    </w:rPr>
                    <w:t xml:space="preserve">TN </w:t>
                  </w:r>
                </w:p>
              </w:tc>
              <w:tc>
                <w:tcPr>
                  <w:tcW w:w="1180" w:type="dxa"/>
                  <w:vMerge w:val="continue"/>
                  <w:vAlign w:val="center"/>
                </w:tcPr>
                <w:p w14:paraId="43152FCA">
                  <w:pPr>
                    <w:adjustRightInd w:val="0"/>
                    <w:snapToGrid w:val="0"/>
                    <w:jc w:val="center"/>
                    <w:rPr>
                      <w:kern w:val="0"/>
                      <w:szCs w:val="21"/>
                    </w:rPr>
                  </w:pPr>
                </w:p>
              </w:tc>
              <w:tc>
                <w:tcPr>
                  <w:tcW w:w="857" w:type="dxa"/>
                  <w:vAlign w:val="center"/>
                </w:tcPr>
                <w:p w14:paraId="568885FC">
                  <w:pPr>
                    <w:snapToGrid w:val="0"/>
                    <w:jc w:val="center"/>
                    <w:rPr>
                      <w:szCs w:val="21"/>
                    </w:rPr>
                  </w:pPr>
                  <w:r>
                    <w:rPr>
                      <w:szCs w:val="21"/>
                    </w:rPr>
                    <w:t>40</w:t>
                  </w:r>
                </w:p>
              </w:tc>
              <w:tc>
                <w:tcPr>
                  <w:tcW w:w="840" w:type="dxa"/>
                  <w:vAlign w:val="center"/>
                </w:tcPr>
                <w:p w14:paraId="509368D6">
                  <w:pPr>
                    <w:snapToGrid w:val="0"/>
                    <w:jc w:val="center"/>
                    <w:rPr>
                      <w:szCs w:val="21"/>
                    </w:rPr>
                  </w:pPr>
                  <w:r>
                    <w:rPr>
                      <w:szCs w:val="21"/>
                    </w:rPr>
                    <w:t>0.096</w:t>
                  </w:r>
                </w:p>
              </w:tc>
              <w:tc>
                <w:tcPr>
                  <w:tcW w:w="446" w:type="dxa"/>
                  <w:vMerge w:val="continue"/>
                  <w:vAlign w:val="center"/>
                </w:tcPr>
                <w:p w14:paraId="51CE702B">
                  <w:pPr>
                    <w:adjustRightInd w:val="0"/>
                    <w:snapToGrid w:val="0"/>
                    <w:jc w:val="center"/>
                    <w:rPr>
                      <w:szCs w:val="21"/>
                    </w:rPr>
                  </w:pPr>
                </w:p>
              </w:tc>
              <w:tc>
                <w:tcPr>
                  <w:tcW w:w="520" w:type="dxa"/>
                  <w:vAlign w:val="center"/>
                </w:tcPr>
                <w:p w14:paraId="4C8CAA89">
                  <w:pPr>
                    <w:widowControl/>
                    <w:adjustRightInd w:val="0"/>
                    <w:snapToGrid w:val="0"/>
                    <w:jc w:val="center"/>
                    <w:textAlignment w:val="center"/>
                    <w:rPr>
                      <w:szCs w:val="21"/>
                    </w:rPr>
                  </w:pPr>
                  <w:r>
                    <w:rPr>
                      <w:szCs w:val="21"/>
                    </w:rPr>
                    <w:t>/</w:t>
                  </w:r>
                </w:p>
              </w:tc>
              <w:tc>
                <w:tcPr>
                  <w:tcW w:w="1089" w:type="dxa"/>
                  <w:vMerge w:val="continue"/>
                  <w:vAlign w:val="center"/>
                </w:tcPr>
                <w:p w14:paraId="4EBF64A8">
                  <w:pPr>
                    <w:adjustRightInd w:val="0"/>
                    <w:snapToGrid w:val="0"/>
                    <w:jc w:val="center"/>
                    <w:rPr>
                      <w:szCs w:val="21"/>
                    </w:rPr>
                  </w:pPr>
                </w:p>
              </w:tc>
              <w:tc>
                <w:tcPr>
                  <w:tcW w:w="733" w:type="dxa"/>
                  <w:vAlign w:val="center"/>
                </w:tcPr>
                <w:p w14:paraId="66EE21C6">
                  <w:pPr>
                    <w:snapToGrid w:val="0"/>
                    <w:jc w:val="center"/>
                    <w:rPr>
                      <w:szCs w:val="21"/>
                    </w:rPr>
                  </w:pPr>
                  <w:r>
                    <w:rPr>
                      <w:szCs w:val="21"/>
                    </w:rPr>
                    <w:t>40</w:t>
                  </w:r>
                </w:p>
              </w:tc>
              <w:tc>
                <w:tcPr>
                  <w:tcW w:w="864" w:type="dxa"/>
                  <w:vAlign w:val="center"/>
                </w:tcPr>
                <w:p w14:paraId="2D52AEAE">
                  <w:pPr>
                    <w:snapToGrid w:val="0"/>
                    <w:jc w:val="center"/>
                    <w:rPr>
                      <w:szCs w:val="21"/>
                    </w:rPr>
                  </w:pPr>
                  <w:r>
                    <w:rPr>
                      <w:szCs w:val="21"/>
                    </w:rPr>
                    <w:t>0.096</w:t>
                  </w:r>
                </w:p>
              </w:tc>
              <w:tc>
                <w:tcPr>
                  <w:tcW w:w="623" w:type="dxa"/>
                  <w:vMerge w:val="continue"/>
                  <w:vAlign w:val="center"/>
                </w:tcPr>
                <w:p w14:paraId="73072938">
                  <w:pPr>
                    <w:adjustRightInd w:val="0"/>
                    <w:snapToGrid w:val="0"/>
                    <w:jc w:val="center"/>
                    <w:rPr>
                      <w:szCs w:val="21"/>
                    </w:rPr>
                  </w:pPr>
                </w:p>
              </w:tc>
            </w:tr>
            <w:tr w14:paraId="3580C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12D2B106">
                  <w:pPr>
                    <w:adjustRightInd w:val="0"/>
                    <w:snapToGrid w:val="0"/>
                    <w:jc w:val="center"/>
                    <w:rPr>
                      <w:szCs w:val="21"/>
                    </w:rPr>
                  </w:pPr>
                </w:p>
              </w:tc>
              <w:tc>
                <w:tcPr>
                  <w:tcW w:w="553" w:type="dxa"/>
                  <w:vMerge w:val="continue"/>
                  <w:vAlign w:val="center"/>
                </w:tcPr>
                <w:p w14:paraId="386BBC3F">
                  <w:pPr>
                    <w:adjustRightInd w:val="0"/>
                    <w:snapToGrid w:val="0"/>
                    <w:jc w:val="center"/>
                    <w:rPr>
                      <w:szCs w:val="21"/>
                    </w:rPr>
                  </w:pPr>
                </w:p>
              </w:tc>
              <w:tc>
                <w:tcPr>
                  <w:tcW w:w="786" w:type="dxa"/>
                  <w:vAlign w:val="center"/>
                </w:tcPr>
                <w:p w14:paraId="39B33C39">
                  <w:pPr>
                    <w:adjustRightInd w:val="0"/>
                    <w:snapToGrid w:val="0"/>
                    <w:jc w:val="center"/>
                    <w:rPr>
                      <w:szCs w:val="21"/>
                    </w:rPr>
                  </w:pPr>
                  <w:r>
                    <w:rPr>
                      <w:szCs w:val="21"/>
                    </w:rPr>
                    <w:t>TP</w:t>
                  </w:r>
                </w:p>
              </w:tc>
              <w:tc>
                <w:tcPr>
                  <w:tcW w:w="1180" w:type="dxa"/>
                  <w:vMerge w:val="continue"/>
                  <w:vAlign w:val="center"/>
                </w:tcPr>
                <w:p w14:paraId="02657327">
                  <w:pPr>
                    <w:adjustRightInd w:val="0"/>
                    <w:snapToGrid w:val="0"/>
                    <w:jc w:val="center"/>
                    <w:rPr>
                      <w:kern w:val="0"/>
                      <w:szCs w:val="21"/>
                    </w:rPr>
                  </w:pPr>
                </w:p>
              </w:tc>
              <w:tc>
                <w:tcPr>
                  <w:tcW w:w="857" w:type="dxa"/>
                  <w:vAlign w:val="center"/>
                </w:tcPr>
                <w:p w14:paraId="445761E4">
                  <w:pPr>
                    <w:snapToGrid w:val="0"/>
                    <w:jc w:val="center"/>
                    <w:rPr>
                      <w:szCs w:val="21"/>
                    </w:rPr>
                  </w:pPr>
                  <w:r>
                    <w:rPr>
                      <w:szCs w:val="21"/>
                    </w:rPr>
                    <w:t>1</w:t>
                  </w:r>
                </w:p>
              </w:tc>
              <w:tc>
                <w:tcPr>
                  <w:tcW w:w="840" w:type="dxa"/>
                  <w:vAlign w:val="center"/>
                </w:tcPr>
                <w:p w14:paraId="073CE13B">
                  <w:pPr>
                    <w:snapToGrid w:val="0"/>
                    <w:jc w:val="center"/>
                    <w:rPr>
                      <w:szCs w:val="21"/>
                    </w:rPr>
                  </w:pPr>
                  <w:r>
                    <w:rPr>
                      <w:szCs w:val="21"/>
                    </w:rPr>
                    <w:t>0.002</w:t>
                  </w:r>
                </w:p>
              </w:tc>
              <w:tc>
                <w:tcPr>
                  <w:tcW w:w="446" w:type="dxa"/>
                  <w:vMerge w:val="continue"/>
                  <w:vAlign w:val="center"/>
                </w:tcPr>
                <w:p w14:paraId="68BE13B6">
                  <w:pPr>
                    <w:adjustRightInd w:val="0"/>
                    <w:snapToGrid w:val="0"/>
                    <w:jc w:val="center"/>
                    <w:rPr>
                      <w:szCs w:val="21"/>
                    </w:rPr>
                  </w:pPr>
                </w:p>
              </w:tc>
              <w:tc>
                <w:tcPr>
                  <w:tcW w:w="520" w:type="dxa"/>
                  <w:vAlign w:val="center"/>
                </w:tcPr>
                <w:p w14:paraId="3D60BFA2">
                  <w:pPr>
                    <w:widowControl/>
                    <w:adjustRightInd w:val="0"/>
                    <w:snapToGrid w:val="0"/>
                    <w:jc w:val="center"/>
                    <w:textAlignment w:val="center"/>
                    <w:rPr>
                      <w:szCs w:val="21"/>
                    </w:rPr>
                  </w:pPr>
                  <w:r>
                    <w:rPr>
                      <w:szCs w:val="21"/>
                    </w:rPr>
                    <w:t>/</w:t>
                  </w:r>
                </w:p>
              </w:tc>
              <w:tc>
                <w:tcPr>
                  <w:tcW w:w="1089" w:type="dxa"/>
                  <w:vMerge w:val="continue"/>
                  <w:vAlign w:val="center"/>
                </w:tcPr>
                <w:p w14:paraId="41E4DA21">
                  <w:pPr>
                    <w:adjustRightInd w:val="0"/>
                    <w:snapToGrid w:val="0"/>
                    <w:jc w:val="center"/>
                    <w:rPr>
                      <w:szCs w:val="21"/>
                    </w:rPr>
                  </w:pPr>
                </w:p>
              </w:tc>
              <w:tc>
                <w:tcPr>
                  <w:tcW w:w="733" w:type="dxa"/>
                  <w:vAlign w:val="center"/>
                </w:tcPr>
                <w:p w14:paraId="5EC7FEF7">
                  <w:pPr>
                    <w:snapToGrid w:val="0"/>
                    <w:jc w:val="center"/>
                    <w:rPr>
                      <w:szCs w:val="21"/>
                    </w:rPr>
                  </w:pPr>
                  <w:r>
                    <w:rPr>
                      <w:szCs w:val="21"/>
                    </w:rPr>
                    <w:t>1</w:t>
                  </w:r>
                </w:p>
              </w:tc>
              <w:tc>
                <w:tcPr>
                  <w:tcW w:w="864" w:type="dxa"/>
                  <w:vAlign w:val="center"/>
                </w:tcPr>
                <w:p w14:paraId="5F3C69BB">
                  <w:pPr>
                    <w:snapToGrid w:val="0"/>
                    <w:jc w:val="center"/>
                    <w:rPr>
                      <w:szCs w:val="21"/>
                    </w:rPr>
                  </w:pPr>
                  <w:r>
                    <w:rPr>
                      <w:szCs w:val="21"/>
                    </w:rPr>
                    <w:t>0.002</w:t>
                  </w:r>
                </w:p>
              </w:tc>
              <w:tc>
                <w:tcPr>
                  <w:tcW w:w="623" w:type="dxa"/>
                  <w:vMerge w:val="continue"/>
                  <w:vAlign w:val="center"/>
                </w:tcPr>
                <w:p w14:paraId="390DC32B">
                  <w:pPr>
                    <w:adjustRightInd w:val="0"/>
                    <w:snapToGrid w:val="0"/>
                    <w:jc w:val="center"/>
                    <w:rPr>
                      <w:szCs w:val="21"/>
                    </w:rPr>
                  </w:pPr>
                </w:p>
              </w:tc>
            </w:tr>
            <w:bookmarkEnd w:id="127"/>
            <w:tr w14:paraId="75EC4A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7A4B6034">
                  <w:pPr>
                    <w:adjustRightInd w:val="0"/>
                    <w:snapToGrid w:val="0"/>
                    <w:jc w:val="center"/>
                    <w:rPr>
                      <w:szCs w:val="21"/>
                    </w:rPr>
                  </w:pPr>
                  <w:bookmarkStart w:id="128" w:name="_Hlk201497971"/>
                </w:p>
              </w:tc>
              <w:tc>
                <w:tcPr>
                  <w:tcW w:w="553" w:type="dxa"/>
                  <w:vMerge w:val="continue"/>
                  <w:vAlign w:val="center"/>
                </w:tcPr>
                <w:p w14:paraId="0B9AE2B1">
                  <w:pPr>
                    <w:adjustRightInd w:val="0"/>
                    <w:snapToGrid w:val="0"/>
                    <w:jc w:val="center"/>
                    <w:rPr>
                      <w:szCs w:val="21"/>
                    </w:rPr>
                  </w:pPr>
                </w:p>
              </w:tc>
              <w:tc>
                <w:tcPr>
                  <w:tcW w:w="786" w:type="dxa"/>
                  <w:vAlign w:val="center"/>
                </w:tcPr>
                <w:p w14:paraId="1F8F88D8">
                  <w:pPr>
                    <w:adjustRightInd w:val="0"/>
                    <w:snapToGrid w:val="0"/>
                    <w:jc w:val="center"/>
                    <w:rPr>
                      <w:szCs w:val="21"/>
                    </w:rPr>
                  </w:pPr>
                  <w:r>
                    <w:rPr>
                      <w:szCs w:val="21"/>
                    </w:rPr>
                    <w:t>石油类</w:t>
                  </w:r>
                </w:p>
              </w:tc>
              <w:tc>
                <w:tcPr>
                  <w:tcW w:w="1180" w:type="dxa"/>
                  <w:vMerge w:val="continue"/>
                  <w:vAlign w:val="center"/>
                </w:tcPr>
                <w:p w14:paraId="5918CC10">
                  <w:pPr>
                    <w:adjustRightInd w:val="0"/>
                    <w:snapToGrid w:val="0"/>
                    <w:jc w:val="center"/>
                    <w:rPr>
                      <w:kern w:val="0"/>
                      <w:szCs w:val="21"/>
                    </w:rPr>
                  </w:pPr>
                </w:p>
              </w:tc>
              <w:tc>
                <w:tcPr>
                  <w:tcW w:w="857" w:type="dxa"/>
                  <w:vAlign w:val="center"/>
                </w:tcPr>
                <w:p w14:paraId="21F95C1A">
                  <w:pPr>
                    <w:snapToGrid w:val="0"/>
                    <w:jc w:val="center"/>
                    <w:rPr>
                      <w:szCs w:val="21"/>
                    </w:rPr>
                  </w:pPr>
                  <w:r>
                    <w:rPr>
                      <w:szCs w:val="21"/>
                    </w:rPr>
                    <w:t>10</w:t>
                  </w:r>
                </w:p>
              </w:tc>
              <w:tc>
                <w:tcPr>
                  <w:tcW w:w="840" w:type="dxa"/>
                  <w:vAlign w:val="center"/>
                </w:tcPr>
                <w:p w14:paraId="0F1D8D2D">
                  <w:pPr>
                    <w:snapToGrid w:val="0"/>
                    <w:jc w:val="center"/>
                    <w:rPr>
                      <w:szCs w:val="21"/>
                    </w:rPr>
                  </w:pPr>
                  <w:r>
                    <w:rPr>
                      <w:szCs w:val="21"/>
                    </w:rPr>
                    <w:t>0.024</w:t>
                  </w:r>
                </w:p>
              </w:tc>
              <w:tc>
                <w:tcPr>
                  <w:tcW w:w="446" w:type="dxa"/>
                  <w:vMerge w:val="continue"/>
                  <w:vAlign w:val="center"/>
                </w:tcPr>
                <w:p w14:paraId="679AA57D">
                  <w:pPr>
                    <w:adjustRightInd w:val="0"/>
                    <w:snapToGrid w:val="0"/>
                    <w:jc w:val="center"/>
                    <w:rPr>
                      <w:szCs w:val="21"/>
                    </w:rPr>
                  </w:pPr>
                </w:p>
              </w:tc>
              <w:tc>
                <w:tcPr>
                  <w:tcW w:w="520" w:type="dxa"/>
                  <w:vAlign w:val="center"/>
                </w:tcPr>
                <w:p w14:paraId="2595F0B1">
                  <w:pPr>
                    <w:widowControl/>
                    <w:adjustRightInd w:val="0"/>
                    <w:snapToGrid w:val="0"/>
                    <w:jc w:val="center"/>
                    <w:textAlignment w:val="center"/>
                    <w:rPr>
                      <w:szCs w:val="21"/>
                    </w:rPr>
                  </w:pPr>
                  <w:r>
                    <w:rPr>
                      <w:szCs w:val="21"/>
                    </w:rPr>
                    <w:t>/</w:t>
                  </w:r>
                </w:p>
              </w:tc>
              <w:tc>
                <w:tcPr>
                  <w:tcW w:w="1089" w:type="dxa"/>
                  <w:vMerge w:val="continue"/>
                  <w:vAlign w:val="center"/>
                </w:tcPr>
                <w:p w14:paraId="6109AB46">
                  <w:pPr>
                    <w:adjustRightInd w:val="0"/>
                    <w:snapToGrid w:val="0"/>
                    <w:jc w:val="center"/>
                    <w:rPr>
                      <w:szCs w:val="21"/>
                    </w:rPr>
                  </w:pPr>
                </w:p>
              </w:tc>
              <w:tc>
                <w:tcPr>
                  <w:tcW w:w="733" w:type="dxa"/>
                  <w:vAlign w:val="center"/>
                </w:tcPr>
                <w:p w14:paraId="12723571">
                  <w:pPr>
                    <w:snapToGrid w:val="0"/>
                    <w:jc w:val="center"/>
                    <w:rPr>
                      <w:szCs w:val="21"/>
                    </w:rPr>
                  </w:pPr>
                  <w:r>
                    <w:rPr>
                      <w:szCs w:val="21"/>
                    </w:rPr>
                    <w:t>10</w:t>
                  </w:r>
                </w:p>
              </w:tc>
              <w:tc>
                <w:tcPr>
                  <w:tcW w:w="864" w:type="dxa"/>
                  <w:vAlign w:val="center"/>
                </w:tcPr>
                <w:p w14:paraId="7053B1FE">
                  <w:pPr>
                    <w:snapToGrid w:val="0"/>
                    <w:jc w:val="center"/>
                    <w:rPr>
                      <w:szCs w:val="21"/>
                    </w:rPr>
                  </w:pPr>
                  <w:r>
                    <w:rPr>
                      <w:szCs w:val="21"/>
                    </w:rPr>
                    <w:t>0.024</w:t>
                  </w:r>
                </w:p>
              </w:tc>
              <w:tc>
                <w:tcPr>
                  <w:tcW w:w="623" w:type="dxa"/>
                  <w:vMerge w:val="continue"/>
                  <w:vAlign w:val="center"/>
                </w:tcPr>
                <w:p w14:paraId="084FE7F1">
                  <w:pPr>
                    <w:adjustRightInd w:val="0"/>
                    <w:snapToGrid w:val="0"/>
                    <w:jc w:val="center"/>
                    <w:rPr>
                      <w:szCs w:val="21"/>
                    </w:rPr>
                  </w:pPr>
                </w:p>
              </w:tc>
            </w:tr>
            <w:tr w14:paraId="739DA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4F185614">
                  <w:pPr>
                    <w:adjustRightInd w:val="0"/>
                    <w:snapToGrid w:val="0"/>
                    <w:jc w:val="center"/>
                    <w:rPr>
                      <w:szCs w:val="21"/>
                    </w:rPr>
                  </w:pPr>
                </w:p>
              </w:tc>
              <w:tc>
                <w:tcPr>
                  <w:tcW w:w="553" w:type="dxa"/>
                  <w:vMerge w:val="continue"/>
                  <w:vAlign w:val="center"/>
                </w:tcPr>
                <w:p w14:paraId="5F8D6DC6">
                  <w:pPr>
                    <w:adjustRightInd w:val="0"/>
                    <w:snapToGrid w:val="0"/>
                    <w:jc w:val="center"/>
                    <w:rPr>
                      <w:szCs w:val="21"/>
                    </w:rPr>
                  </w:pPr>
                </w:p>
              </w:tc>
              <w:tc>
                <w:tcPr>
                  <w:tcW w:w="786" w:type="dxa"/>
                  <w:vAlign w:val="center"/>
                </w:tcPr>
                <w:p w14:paraId="5F09AC3F">
                  <w:pPr>
                    <w:adjustRightInd w:val="0"/>
                    <w:snapToGrid w:val="0"/>
                    <w:jc w:val="center"/>
                    <w:rPr>
                      <w:szCs w:val="21"/>
                    </w:rPr>
                  </w:pPr>
                  <w:r>
                    <w:rPr>
                      <w:szCs w:val="21"/>
                    </w:rPr>
                    <w:t>动植物油</w:t>
                  </w:r>
                </w:p>
              </w:tc>
              <w:tc>
                <w:tcPr>
                  <w:tcW w:w="1180" w:type="dxa"/>
                  <w:vMerge w:val="continue"/>
                  <w:vAlign w:val="center"/>
                </w:tcPr>
                <w:p w14:paraId="02A1C2FE">
                  <w:pPr>
                    <w:adjustRightInd w:val="0"/>
                    <w:snapToGrid w:val="0"/>
                    <w:jc w:val="center"/>
                    <w:rPr>
                      <w:kern w:val="0"/>
                      <w:szCs w:val="21"/>
                    </w:rPr>
                  </w:pPr>
                </w:p>
              </w:tc>
              <w:tc>
                <w:tcPr>
                  <w:tcW w:w="857" w:type="dxa"/>
                  <w:vAlign w:val="center"/>
                </w:tcPr>
                <w:p w14:paraId="1CC933D9">
                  <w:pPr>
                    <w:snapToGrid w:val="0"/>
                    <w:jc w:val="center"/>
                    <w:rPr>
                      <w:szCs w:val="21"/>
                    </w:rPr>
                  </w:pPr>
                  <w:r>
                    <w:rPr>
                      <w:szCs w:val="21"/>
                    </w:rPr>
                    <w:t>100</w:t>
                  </w:r>
                </w:p>
              </w:tc>
              <w:tc>
                <w:tcPr>
                  <w:tcW w:w="840" w:type="dxa"/>
                  <w:vAlign w:val="center"/>
                </w:tcPr>
                <w:p w14:paraId="4563BE93">
                  <w:pPr>
                    <w:snapToGrid w:val="0"/>
                    <w:jc w:val="center"/>
                    <w:rPr>
                      <w:szCs w:val="21"/>
                    </w:rPr>
                  </w:pPr>
                  <w:r>
                    <w:rPr>
                      <w:szCs w:val="21"/>
                    </w:rPr>
                    <w:t>0.24</w:t>
                  </w:r>
                </w:p>
              </w:tc>
              <w:tc>
                <w:tcPr>
                  <w:tcW w:w="446" w:type="dxa"/>
                  <w:vMerge w:val="continue"/>
                  <w:vAlign w:val="center"/>
                </w:tcPr>
                <w:p w14:paraId="615FB932">
                  <w:pPr>
                    <w:adjustRightInd w:val="0"/>
                    <w:snapToGrid w:val="0"/>
                    <w:jc w:val="center"/>
                    <w:rPr>
                      <w:szCs w:val="21"/>
                    </w:rPr>
                  </w:pPr>
                </w:p>
              </w:tc>
              <w:tc>
                <w:tcPr>
                  <w:tcW w:w="520" w:type="dxa"/>
                  <w:vAlign w:val="center"/>
                </w:tcPr>
                <w:p w14:paraId="543686AE">
                  <w:pPr>
                    <w:widowControl/>
                    <w:adjustRightInd w:val="0"/>
                    <w:snapToGrid w:val="0"/>
                    <w:jc w:val="center"/>
                    <w:textAlignment w:val="center"/>
                    <w:rPr>
                      <w:szCs w:val="21"/>
                    </w:rPr>
                  </w:pPr>
                  <w:r>
                    <w:rPr>
                      <w:rFonts w:hint="eastAsia"/>
                      <w:szCs w:val="21"/>
                    </w:rPr>
                    <w:t>50</w:t>
                  </w:r>
                </w:p>
              </w:tc>
              <w:tc>
                <w:tcPr>
                  <w:tcW w:w="1089" w:type="dxa"/>
                  <w:vMerge w:val="continue"/>
                  <w:vAlign w:val="center"/>
                </w:tcPr>
                <w:p w14:paraId="4D1525C9">
                  <w:pPr>
                    <w:adjustRightInd w:val="0"/>
                    <w:snapToGrid w:val="0"/>
                    <w:jc w:val="center"/>
                    <w:rPr>
                      <w:szCs w:val="21"/>
                    </w:rPr>
                  </w:pPr>
                </w:p>
              </w:tc>
              <w:tc>
                <w:tcPr>
                  <w:tcW w:w="733" w:type="dxa"/>
                  <w:vAlign w:val="center"/>
                </w:tcPr>
                <w:p w14:paraId="1A9BB97D">
                  <w:pPr>
                    <w:snapToGrid w:val="0"/>
                    <w:jc w:val="center"/>
                    <w:rPr>
                      <w:szCs w:val="21"/>
                    </w:rPr>
                  </w:pPr>
                  <w:r>
                    <w:rPr>
                      <w:rFonts w:hint="eastAsia"/>
                      <w:szCs w:val="21"/>
                    </w:rPr>
                    <w:t>50</w:t>
                  </w:r>
                </w:p>
              </w:tc>
              <w:tc>
                <w:tcPr>
                  <w:tcW w:w="864" w:type="dxa"/>
                  <w:vAlign w:val="center"/>
                </w:tcPr>
                <w:p w14:paraId="3513881C">
                  <w:pPr>
                    <w:snapToGrid w:val="0"/>
                    <w:jc w:val="center"/>
                    <w:rPr>
                      <w:szCs w:val="21"/>
                    </w:rPr>
                  </w:pPr>
                  <w:r>
                    <w:rPr>
                      <w:szCs w:val="21"/>
                    </w:rPr>
                    <w:t>0.</w:t>
                  </w:r>
                  <w:r>
                    <w:rPr>
                      <w:rFonts w:hint="eastAsia"/>
                      <w:szCs w:val="21"/>
                    </w:rPr>
                    <w:t>12</w:t>
                  </w:r>
                </w:p>
              </w:tc>
              <w:tc>
                <w:tcPr>
                  <w:tcW w:w="623" w:type="dxa"/>
                  <w:vMerge w:val="continue"/>
                  <w:vAlign w:val="center"/>
                </w:tcPr>
                <w:p w14:paraId="37436D93">
                  <w:pPr>
                    <w:adjustRightInd w:val="0"/>
                    <w:snapToGrid w:val="0"/>
                    <w:jc w:val="center"/>
                    <w:rPr>
                      <w:szCs w:val="21"/>
                    </w:rPr>
                  </w:pPr>
                </w:p>
              </w:tc>
            </w:tr>
            <w:bookmarkEnd w:id="128"/>
            <w:tr w14:paraId="402E48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restart"/>
                  <w:vAlign w:val="center"/>
                </w:tcPr>
                <w:p w14:paraId="65BF573D">
                  <w:pPr>
                    <w:adjustRightInd w:val="0"/>
                    <w:snapToGrid w:val="0"/>
                    <w:jc w:val="center"/>
                    <w:rPr>
                      <w:szCs w:val="21"/>
                    </w:rPr>
                  </w:pPr>
                  <w:bookmarkStart w:id="129" w:name="_Hlk201499280"/>
                  <w:r>
                    <w:rPr>
                      <w:rFonts w:hint="eastAsia"/>
                      <w:szCs w:val="21"/>
                    </w:rPr>
                    <w:t>纯水制备</w:t>
                  </w:r>
                </w:p>
              </w:tc>
              <w:tc>
                <w:tcPr>
                  <w:tcW w:w="553" w:type="dxa"/>
                  <w:vMerge w:val="restart"/>
                  <w:vAlign w:val="center"/>
                </w:tcPr>
                <w:p w14:paraId="1AC19B6C">
                  <w:pPr>
                    <w:adjustRightInd w:val="0"/>
                    <w:snapToGrid w:val="0"/>
                    <w:jc w:val="center"/>
                    <w:rPr>
                      <w:szCs w:val="21"/>
                    </w:rPr>
                  </w:pPr>
                  <w:r>
                    <w:rPr>
                      <w:szCs w:val="21"/>
                    </w:rPr>
                    <w:t>纯水制备弃水</w:t>
                  </w:r>
                </w:p>
              </w:tc>
              <w:tc>
                <w:tcPr>
                  <w:tcW w:w="786" w:type="dxa"/>
                  <w:vAlign w:val="center"/>
                </w:tcPr>
                <w:p w14:paraId="11641114">
                  <w:pPr>
                    <w:adjustRightInd w:val="0"/>
                    <w:snapToGrid w:val="0"/>
                    <w:jc w:val="center"/>
                    <w:rPr>
                      <w:szCs w:val="21"/>
                    </w:rPr>
                  </w:pPr>
                  <w:r>
                    <w:rPr>
                      <w:szCs w:val="21"/>
                    </w:rPr>
                    <w:t>COD</w:t>
                  </w:r>
                </w:p>
              </w:tc>
              <w:tc>
                <w:tcPr>
                  <w:tcW w:w="1180" w:type="dxa"/>
                  <w:vMerge w:val="restart"/>
                  <w:vAlign w:val="center"/>
                </w:tcPr>
                <w:p w14:paraId="6C63E9EE">
                  <w:pPr>
                    <w:adjustRightInd w:val="0"/>
                    <w:snapToGrid w:val="0"/>
                    <w:jc w:val="center"/>
                    <w:rPr>
                      <w:kern w:val="0"/>
                      <w:szCs w:val="21"/>
                    </w:rPr>
                  </w:pPr>
                  <w:r>
                    <w:rPr>
                      <w:rFonts w:hint="eastAsia"/>
                      <w:kern w:val="0"/>
                      <w:szCs w:val="21"/>
                    </w:rPr>
                    <w:t>218</w:t>
                  </w:r>
                </w:p>
              </w:tc>
              <w:tc>
                <w:tcPr>
                  <w:tcW w:w="857" w:type="dxa"/>
                  <w:vAlign w:val="center"/>
                </w:tcPr>
                <w:p w14:paraId="1E7307CE">
                  <w:pPr>
                    <w:snapToGrid w:val="0"/>
                    <w:jc w:val="center"/>
                    <w:rPr>
                      <w:szCs w:val="21"/>
                    </w:rPr>
                  </w:pPr>
                  <w:r>
                    <w:rPr>
                      <w:rFonts w:hint="eastAsia"/>
                      <w:szCs w:val="21"/>
                    </w:rPr>
                    <w:t>18</w:t>
                  </w:r>
                </w:p>
              </w:tc>
              <w:tc>
                <w:tcPr>
                  <w:tcW w:w="840" w:type="dxa"/>
                  <w:vAlign w:val="center"/>
                </w:tcPr>
                <w:p w14:paraId="2D4AC118">
                  <w:pPr>
                    <w:widowControl/>
                    <w:jc w:val="center"/>
                    <w:textAlignment w:val="center"/>
                    <w:rPr>
                      <w:szCs w:val="21"/>
                    </w:rPr>
                  </w:pPr>
                  <w:r>
                    <w:rPr>
                      <w:kern w:val="0"/>
                      <w:szCs w:val="21"/>
                    </w:rPr>
                    <w:t>0.00</w:t>
                  </w:r>
                  <w:r>
                    <w:rPr>
                      <w:rFonts w:hint="eastAsia"/>
                      <w:kern w:val="0"/>
                      <w:szCs w:val="21"/>
                    </w:rPr>
                    <w:t>4</w:t>
                  </w:r>
                </w:p>
              </w:tc>
              <w:tc>
                <w:tcPr>
                  <w:tcW w:w="446" w:type="dxa"/>
                  <w:vAlign w:val="center"/>
                </w:tcPr>
                <w:p w14:paraId="124AD2EC">
                  <w:pPr>
                    <w:adjustRightInd w:val="0"/>
                    <w:snapToGrid w:val="0"/>
                    <w:jc w:val="center"/>
                    <w:rPr>
                      <w:szCs w:val="21"/>
                    </w:rPr>
                  </w:pPr>
                  <w:r>
                    <w:rPr>
                      <w:szCs w:val="21"/>
                    </w:rPr>
                    <w:t>/</w:t>
                  </w:r>
                </w:p>
              </w:tc>
              <w:tc>
                <w:tcPr>
                  <w:tcW w:w="520" w:type="dxa"/>
                  <w:vAlign w:val="center"/>
                </w:tcPr>
                <w:p w14:paraId="662504E0">
                  <w:pPr>
                    <w:widowControl/>
                    <w:adjustRightInd w:val="0"/>
                    <w:snapToGrid w:val="0"/>
                    <w:jc w:val="center"/>
                    <w:textAlignment w:val="center"/>
                    <w:rPr>
                      <w:szCs w:val="21"/>
                    </w:rPr>
                  </w:pPr>
                  <w:r>
                    <w:rPr>
                      <w:szCs w:val="21"/>
                    </w:rPr>
                    <w:t>/</w:t>
                  </w:r>
                </w:p>
              </w:tc>
              <w:tc>
                <w:tcPr>
                  <w:tcW w:w="1089" w:type="dxa"/>
                  <w:vMerge w:val="restart"/>
                  <w:vAlign w:val="center"/>
                </w:tcPr>
                <w:p w14:paraId="3C317A28">
                  <w:pPr>
                    <w:adjustRightInd w:val="0"/>
                    <w:snapToGrid w:val="0"/>
                    <w:jc w:val="center"/>
                    <w:rPr>
                      <w:szCs w:val="21"/>
                    </w:rPr>
                  </w:pPr>
                  <w:r>
                    <w:rPr>
                      <w:rFonts w:hint="eastAsia"/>
                      <w:szCs w:val="21"/>
                    </w:rPr>
                    <w:t>218</w:t>
                  </w:r>
                </w:p>
              </w:tc>
              <w:tc>
                <w:tcPr>
                  <w:tcW w:w="733" w:type="dxa"/>
                  <w:vAlign w:val="center"/>
                </w:tcPr>
                <w:p w14:paraId="68559DDA">
                  <w:pPr>
                    <w:snapToGrid w:val="0"/>
                    <w:jc w:val="center"/>
                    <w:rPr>
                      <w:szCs w:val="21"/>
                    </w:rPr>
                  </w:pPr>
                  <w:r>
                    <w:rPr>
                      <w:rFonts w:hint="eastAsia"/>
                      <w:szCs w:val="21"/>
                    </w:rPr>
                    <w:t>18</w:t>
                  </w:r>
                </w:p>
              </w:tc>
              <w:tc>
                <w:tcPr>
                  <w:tcW w:w="864" w:type="dxa"/>
                  <w:vAlign w:val="center"/>
                </w:tcPr>
                <w:p w14:paraId="02918788">
                  <w:pPr>
                    <w:widowControl/>
                    <w:jc w:val="center"/>
                    <w:textAlignment w:val="center"/>
                    <w:rPr>
                      <w:szCs w:val="21"/>
                    </w:rPr>
                  </w:pPr>
                  <w:r>
                    <w:rPr>
                      <w:kern w:val="0"/>
                      <w:szCs w:val="21"/>
                    </w:rPr>
                    <w:t>0.00</w:t>
                  </w:r>
                  <w:r>
                    <w:rPr>
                      <w:rFonts w:hint="eastAsia"/>
                      <w:kern w:val="0"/>
                      <w:szCs w:val="21"/>
                    </w:rPr>
                    <w:t>4</w:t>
                  </w:r>
                </w:p>
              </w:tc>
              <w:tc>
                <w:tcPr>
                  <w:tcW w:w="623" w:type="dxa"/>
                  <w:vMerge w:val="continue"/>
                  <w:vAlign w:val="center"/>
                </w:tcPr>
                <w:p w14:paraId="15709C43">
                  <w:pPr>
                    <w:adjustRightInd w:val="0"/>
                    <w:snapToGrid w:val="0"/>
                    <w:jc w:val="center"/>
                    <w:rPr>
                      <w:szCs w:val="21"/>
                    </w:rPr>
                  </w:pPr>
                </w:p>
              </w:tc>
            </w:tr>
            <w:tr w14:paraId="48DB5B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30" w:type="dxa"/>
                  <w:vMerge w:val="continue"/>
                  <w:vAlign w:val="center"/>
                </w:tcPr>
                <w:p w14:paraId="006961B3">
                  <w:pPr>
                    <w:adjustRightInd w:val="0"/>
                    <w:snapToGrid w:val="0"/>
                    <w:jc w:val="center"/>
                    <w:rPr>
                      <w:szCs w:val="21"/>
                    </w:rPr>
                  </w:pPr>
                </w:p>
              </w:tc>
              <w:tc>
                <w:tcPr>
                  <w:tcW w:w="553" w:type="dxa"/>
                  <w:vMerge w:val="continue"/>
                  <w:vAlign w:val="center"/>
                </w:tcPr>
                <w:p w14:paraId="2D1AF00F">
                  <w:pPr>
                    <w:adjustRightInd w:val="0"/>
                    <w:snapToGrid w:val="0"/>
                    <w:jc w:val="center"/>
                    <w:rPr>
                      <w:szCs w:val="21"/>
                    </w:rPr>
                  </w:pPr>
                </w:p>
              </w:tc>
              <w:tc>
                <w:tcPr>
                  <w:tcW w:w="786" w:type="dxa"/>
                  <w:vAlign w:val="center"/>
                </w:tcPr>
                <w:p w14:paraId="49610890">
                  <w:pPr>
                    <w:adjustRightInd w:val="0"/>
                    <w:snapToGrid w:val="0"/>
                    <w:jc w:val="center"/>
                    <w:rPr>
                      <w:szCs w:val="21"/>
                    </w:rPr>
                  </w:pPr>
                  <w:r>
                    <w:rPr>
                      <w:rFonts w:hint="eastAsia"/>
                      <w:szCs w:val="21"/>
                    </w:rPr>
                    <w:t>SS</w:t>
                  </w:r>
                </w:p>
              </w:tc>
              <w:tc>
                <w:tcPr>
                  <w:tcW w:w="1180" w:type="dxa"/>
                  <w:vMerge w:val="continue"/>
                  <w:vAlign w:val="center"/>
                </w:tcPr>
                <w:p w14:paraId="39286E22">
                  <w:pPr>
                    <w:adjustRightInd w:val="0"/>
                    <w:snapToGrid w:val="0"/>
                    <w:jc w:val="center"/>
                    <w:rPr>
                      <w:kern w:val="0"/>
                      <w:szCs w:val="21"/>
                    </w:rPr>
                  </w:pPr>
                </w:p>
              </w:tc>
              <w:tc>
                <w:tcPr>
                  <w:tcW w:w="857" w:type="dxa"/>
                  <w:vAlign w:val="center"/>
                </w:tcPr>
                <w:p w14:paraId="0F983065">
                  <w:pPr>
                    <w:snapToGrid w:val="0"/>
                    <w:jc w:val="center"/>
                    <w:rPr>
                      <w:szCs w:val="21"/>
                    </w:rPr>
                  </w:pPr>
                  <w:r>
                    <w:rPr>
                      <w:rFonts w:hint="eastAsia"/>
                      <w:szCs w:val="21"/>
                    </w:rPr>
                    <w:t>10</w:t>
                  </w:r>
                </w:p>
              </w:tc>
              <w:tc>
                <w:tcPr>
                  <w:tcW w:w="840" w:type="dxa"/>
                  <w:vAlign w:val="center"/>
                </w:tcPr>
                <w:p w14:paraId="29BFD922">
                  <w:pPr>
                    <w:widowControl/>
                    <w:jc w:val="center"/>
                    <w:textAlignment w:val="center"/>
                    <w:rPr>
                      <w:szCs w:val="21"/>
                    </w:rPr>
                  </w:pPr>
                  <w:r>
                    <w:rPr>
                      <w:kern w:val="0"/>
                      <w:szCs w:val="21"/>
                    </w:rPr>
                    <w:t>0.00</w:t>
                  </w:r>
                  <w:r>
                    <w:rPr>
                      <w:rFonts w:hint="eastAsia"/>
                      <w:kern w:val="0"/>
                      <w:szCs w:val="21"/>
                    </w:rPr>
                    <w:t>2</w:t>
                  </w:r>
                </w:p>
              </w:tc>
              <w:tc>
                <w:tcPr>
                  <w:tcW w:w="446" w:type="dxa"/>
                  <w:vAlign w:val="center"/>
                </w:tcPr>
                <w:p w14:paraId="43DA2F88">
                  <w:pPr>
                    <w:adjustRightInd w:val="0"/>
                    <w:snapToGrid w:val="0"/>
                    <w:jc w:val="center"/>
                    <w:rPr>
                      <w:szCs w:val="21"/>
                    </w:rPr>
                  </w:pPr>
                  <w:r>
                    <w:rPr>
                      <w:szCs w:val="21"/>
                    </w:rPr>
                    <w:t>/</w:t>
                  </w:r>
                </w:p>
              </w:tc>
              <w:tc>
                <w:tcPr>
                  <w:tcW w:w="520" w:type="dxa"/>
                  <w:vAlign w:val="center"/>
                </w:tcPr>
                <w:p w14:paraId="093420EC">
                  <w:pPr>
                    <w:widowControl/>
                    <w:adjustRightInd w:val="0"/>
                    <w:snapToGrid w:val="0"/>
                    <w:jc w:val="center"/>
                    <w:textAlignment w:val="center"/>
                    <w:rPr>
                      <w:szCs w:val="21"/>
                    </w:rPr>
                  </w:pPr>
                  <w:r>
                    <w:rPr>
                      <w:szCs w:val="21"/>
                    </w:rPr>
                    <w:t>/</w:t>
                  </w:r>
                </w:p>
              </w:tc>
              <w:tc>
                <w:tcPr>
                  <w:tcW w:w="1089" w:type="dxa"/>
                  <w:vMerge w:val="continue"/>
                  <w:vAlign w:val="center"/>
                </w:tcPr>
                <w:p w14:paraId="6BD27457">
                  <w:pPr>
                    <w:adjustRightInd w:val="0"/>
                    <w:snapToGrid w:val="0"/>
                    <w:jc w:val="center"/>
                    <w:rPr>
                      <w:szCs w:val="21"/>
                    </w:rPr>
                  </w:pPr>
                </w:p>
              </w:tc>
              <w:tc>
                <w:tcPr>
                  <w:tcW w:w="733" w:type="dxa"/>
                  <w:vAlign w:val="center"/>
                </w:tcPr>
                <w:p w14:paraId="494A86D0">
                  <w:pPr>
                    <w:snapToGrid w:val="0"/>
                    <w:jc w:val="center"/>
                    <w:rPr>
                      <w:szCs w:val="21"/>
                    </w:rPr>
                  </w:pPr>
                  <w:r>
                    <w:rPr>
                      <w:rFonts w:hint="eastAsia"/>
                      <w:szCs w:val="21"/>
                    </w:rPr>
                    <w:t>10</w:t>
                  </w:r>
                </w:p>
              </w:tc>
              <w:tc>
                <w:tcPr>
                  <w:tcW w:w="864" w:type="dxa"/>
                  <w:vAlign w:val="center"/>
                </w:tcPr>
                <w:p w14:paraId="2570AA0B">
                  <w:pPr>
                    <w:widowControl/>
                    <w:jc w:val="center"/>
                    <w:textAlignment w:val="center"/>
                    <w:rPr>
                      <w:szCs w:val="21"/>
                    </w:rPr>
                  </w:pPr>
                  <w:r>
                    <w:rPr>
                      <w:kern w:val="0"/>
                      <w:szCs w:val="21"/>
                    </w:rPr>
                    <w:t>0.00</w:t>
                  </w:r>
                  <w:r>
                    <w:rPr>
                      <w:rFonts w:hint="eastAsia"/>
                      <w:kern w:val="0"/>
                      <w:szCs w:val="21"/>
                    </w:rPr>
                    <w:t>2</w:t>
                  </w:r>
                </w:p>
              </w:tc>
              <w:tc>
                <w:tcPr>
                  <w:tcW w:w="623" w:type="dxa"/>
                  <w:vMerge w:val="continue"/>
                  <w:vAlign w:val="center"/>
                </w:tcPr>
                <w:p w14:paraId="39E54453">
                  <w:pPr>
                    <w:adjustRightInd w:val="0"/>
                    <w:snapToGrid w:val="0"/>
                    <w:jc w:val="center"/>
                    <w:rPr>
                      <w:szCs w:val="21"/>
                    </w:rPr>
                  </w:pPr>
                </w:p>
              </w:tc>
            </w:tr>
            <w:bookmarkEnd w:id="122"/>
            <w:bookmarkEnd w:id="123"/>
            <w:bookmarkEnd w:id="124"/>
            <w:bookmarkEnd w:id="129"/>
          </w:tbl>
          <w:p w14:paraId="1C29F6C1">
            <w:pPr>
              <w:snapToGrid w:val="0"/>
              <w:spacing w:beforeLines="50"/>
              <w:jc w:val="center"/>
              <w:rPr>
                <w:b/>
                <w:bCs/>
                <w:szCs w:val="21"/>
              </w:rPr>
            </w:pPr>
            <w:r>
              <w:rPr>
                <w:b/>
                <w:bCs/>
                <w:szCs w:val="21"/>
              </w:rPr>
              <w:t>表4-16  综合污水处理厂废水污染源源强核算结果及相关参数一览表</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07"/>
              <w:gridCol w:w="831"/>
              <w:gridCol w:w="882"/>
              <w:gridCol w:w="816"/>
              <w:gridCol w:w="857"/>
              <w:gridCol w:w="558"/>
              <w:gridCol w:w="846"/>
              <w:gridCol w:w="1411"/>
              <w:gridCol w:w="848"/>
              <w:gridCol w:w="762"/>
              <w:gridCol w:w="605"/>
            </w:tblGrid>
            <w:tr w14:paraId="5A91C8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restart"/>
                  <w:tcBorders>
                    <w:top w:val="single" w:color="auto" w:sz="12" w:space="0"/>
                    <w:left w:val="nil"/>
                  </w:tcBorders>
                  <w:vAlign w:val="center"/>
                </w:tcPr>
                <w:p w14:paraId="7B7430A9">
                  <w:pPr>
                    <w:pStyle w:val="58"/>
                    <w:rPr>
                      <w:rFonts w:eastAsia="宋体"/>
                      <w:szCs w:val="21"/>
                    </w:rPr>
                  </w:pPr>
                  <w:r>
                    <w:rPr>
                      <w:rFonts w:eastAsia="宋体"/>
                      <w:szCs w:val="21"/>
                    </w:rPr>
                    <w:t>工序</w:t>
                  </w:r>
                </w:p>
              </w:tc>
              <w:tc>
                <w:tcPr>
                  <w:tcW w:w="460" w:type="pct"/>
                  <w:vMerge w:val="restart"/>
                  <w:tcBorders>
                    <w:top w:val="single" w:color="auto" w:sz="12" w:space="0"/>
                  </w:tcBorders>
                  <w:vAlign w:val="center"/>
                </w:tcPr>
                <w:p w14:paraId="03706C40">
                  <w:pPr>
                    <w:pStyle w:val="58"/>
                    <w:rPr>
                      <w:rFonts w:eastAsia="宋体"/>
                      <w:szCs w:val="21"/>
                    </w:rPr>
                  </w:pPr>
                  <w:r>
                    <w:rPr>
                      <w:rFonts w:eastAsia="宋体"/>
                      <w:szCs w:val="21"/>
                    </w:rPr>
                    <w:t>污染物</w:t>
                  </w:r>
                </w:p>
              </w:tc>
              <w:tc>
                <w:tcPr>
                  <w:tcW w:w="1416" w:type="pct"/>
                  <w:gridSpan w:val="3"/>
                  <w:tcBorders>
                    <w:top w:val="single" w:color="auto" w:sz="12" w:space="0"/>
                  </w:tcBorders>
                  <w:vAlign w:val="center"/>
                </w:tcPr>
                <w:p w14:paraId="52C7110F">
                  <w:pPr>
                    <w:pStyle w:val="58"/>
                    <w:rPr>
                      <w:rFonts w:eastAsia="宋体"/>
                      <w:szCs w:val="21"/>
                    </w:rPr>
                  </w:pPr>
                  <w:r>
                    <w:rPr>
                      <w:rFonts w:eastAsia="宋体"/>
                      <w:szCs w:val="21"/>
                    </w:rPr>
                    <w:t>进入厂区综合污水处理厂污染物情况</w:t>
                  </w:r>
                </w:p>
              </w:tc>
              <w:tc>
                <w:tcPr>
                  <w:tcW w:w="778" w:type="pct"/>
                  <w:gridSpan w:val="2"/>
                  <w:tcBorders>
                    <w:top w:val="single" w:color="auto" w:sz="12" w:space="0"/>
                  </w:tcBorders>
                  <w:vAlign w:val="center"/>
                </w:tcPr>
                <w:p w14:paraId="139FA53C">
                  <w:pPr>
                    <w:pStyle w:val="58"/>
                    <w:rPr>
                      <w:rFonts w:eastAsia="宋体"/>
                      <w:szCs w:val="21"/>
                    </w:rPr>
                  </w:pPr>
                  <w:r>
                    <w:rPr>
                      <w:rFonts w:eastAsia="宋体"/>
                      <w:szCs w:val="21"/>
                    </w:rPr>
                    <w:t>治理措施</w:t>
                  </w:r>
                </w:p>
              </w:tc>
              <w:tc>
                <w:tcPr>
                  <w:tcW w:w="1674" w:type="pct"/>
                  <w:gridSpan w:val="3"/>
                  <w:tcBorders>
                    <w:top w:val="single" w:color="auto" w:sz="12" w:space="0"/>
                  </w:tcBorders>
                  <w:vAlign w:val="center"/>
                </w:tcPr>
                <w:p w14:paraId="4B1D8ADD">
                  <w:pPr>
                    <w:pStyle w:val="58"/>
                    <w:rPr>
                      <w:rFonts w:eastAsia="宋体"/>
                      <w:szCs w:val="21"/>
                    </w:rPr>
                  </w:pPr>
                  <w:r>
                    <w:rPr>
                      <w:rFonts w:eastAsia="宋体"/>
                      <w:szCs w:val="21"/>
                    </w:rPr>
                    <w:t>污染物排放</w:t>
                  </w:r>
                </w:p>
              </w:tc>
              <w:tc>
                <w:tcPr>
                  <w:tcW w:w="335" w:type="pct"/>
                  <w:vMerge w:val="restart"/>
                  <w:tcBorders>
                    <w:top w:val="single" w:color="auto" w:sz="12" w:space="0"/>
                    <w:right w:val="nil"/>
                  </w:tcBorders>
                  <w:vAlign w:val="center"/>
                </w:tcPr>
                <w:p w14:paraId="4AE33504">
                  <w:pPr>
                    <w:pStyle w:val="58"/>
                    <w:rPr>
                      <w:rFonts w:eastAsia="宋体"/>
                      <w:szCs w:val="21"/>
                    </w:rPr>
                  </w:pPr>
                  <w:r>
                    <w:rPr>
                      <w:rFonts w:eastAsia="宋体"/>
                      <w:szCs w:val="21"/>
                    </w:rPr>
                    <w:t>排放时间/h</w:t>
                  </w:r>
                </w:p>
              </w:tc>
            </w:tr>
            <w:tr w14:paraId="6D4B8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continue"/>
                  <w:tcBorders>
                    <w:left w:val="nil"/>
                  </w:tcBorders>
                  <w:vAlign w:val="center"/>
                </w:tcPr>
                <w:p w14:paraId="45770EC2">
                  <w:pPr>
                    <w:pStyle w:val="58"/>
                    <w:rPr>
                      <w:rFonts w:eastAsia="宋体"/>
                      <w:szCs w:val="21"/>
                    </w:rPr>
                  </w:pPr>
                </w:p>
              </w:tc>
              <w:tc>
                <w:tcPr>
                  <w:tcW w:w="460" w:type="pct"/>
                  <w:vMerge w:val="continue"/>
                  <w:vAlign w:val="center"/>
                </w:tcPr>
                <w:p w14:paraId="7B9E602B">
                  <w:pPr>
                    <w:pStyle w:val="58"/>
                    <w:rPr>
                      <w:rFonts w:eastAsia="宋体"/>
                      <w:szCs w:val="21"/>
                    </w:rPr>
                  </w:pPr>
                </w:p>
              </w:tc>
              <w:tc>
                <w:tcPr>
                  <w:tcW w:w="489" w:type="pct"/>
                  <w:vAlign w:val="center"/>
                </w:tcPr>
                <w:p w14:paraId="272A59B4">
                  <w:pPr>
                    <w:pStyle w:val="58"/>
                    <w:rPr>
                      <w:rFonts w:eastAsia="宋体"/>
                      <w:szCs w:val="21"/>
                    </w:rPr>
                  </w:pPr>
                  <w:r>
                    <w:rPr>
                      <w:rFonts w:eastAsia="宋体"/>
                      <w:szCs w:val="21"/>
                    </w:rPr>
                    <w:t>产生废水量t/a</w:t>
                  </w:r>
                </w:p>
              </w:tc>
              <w:tc>
                <w:tcPr>
                  <w:tcW w:w="452" w:type="pct"/>
                  <w:vAlign w:val="center"/>
                </w:tcPr>
                <w:p w14:paraId="50C4DD04">
                  <w:pPr>
                    <w:pStyle w:val="58"/>
                    <w:rPr>
                      <w:rFonts w:eastAsia="宋体"/>
                      <w:szCs w:val="21"/>
                    </w:rPr>
                  </w:pPr>
                  <w:r>
                    <w:rPr>
                      <w:rFonts w:eastAsia="宋体"/>
                      <w:szCs w:val="21"/>
                    </w:rPr>
                    <w:t>产生浓度mg/L</w:t>
                  </w:r>
                </w:p>
              </w:tc>
              <w:tc>
                <w:tcPr>
                  <w:tcW w:w="475" w:type="pct"/>
                  <w:vAlign w:val="center"/>
                </w:tcPr>
                <w:p w14:paraId="4EBCD622">
                  <w:pPr>
                    <w:pStyle w:val="58"/>
                    <w:rPr>
                      <w:rFonts w:eastAsia="宋体"/>
                      <w:szCs w:val="21"/>
                    </w:rPr>
                  </w:pPr>
                  <w:r>
                    <w:rPr>
                      <w:rFonts w:eastAsia="宋体"/>
                      <w:szCs w:val="21"/>
                    </w:rPr>
                    <w:t>产生量t/a</w:t>
                  </w:r>
                </w:p>
              </w:tc>
              <w:tc>
                <w:tcPr>
                  <w:tcW w:w="309" w:type="pct"/>
                  <w:vAlign w:val="center"/>
                </w:tcPr>
                <w:p w14:paraId="35540055">
                  <w:pPr>
                    <w:pStyle w:val="58"/>
                    <w:rPr>
                      <w:rFonts w:eastAsia="宋体"/>
                      <w:szCs w:val="21"/>
                    </w:rPr>
                  </w:pPr>
                  <w:r>
                    <w:rPr>
                      <w:rFonts w:eastAsia="宋体"/>
                      <w:szCs w:val="21"/>
                    </w:rPr>
                    <w:t>工艺</w:t>
                  </w:r>
                </w:p>
              </w:tc>
              <w:tc>
                <w:tcPr>
                  <w:tcW w:w="469" w:type="pct"/>
                  <w:vAlign w:val="center"/>
                </w:tcPr>
                <w:p w14:paraId="61D542D4">
                  <w:pPr>
                    <w:pStyle w:val="58"/>
                    <w:rPr>
                      <w:rFonts w:eastAsia="宋体"/>
                      <w:szCs w:val="21"/>
                    </w:rPr>
                  </w:pPr>
                  <w:r>
                    <w:rPr>
                      <w:rFonts w:eastAsia="宋体"/>
                      <w:szCs w:val="21"/>
                    </w:rPr>
                    <w:t>效率/%</w:t>
                  </w:r>
                </w:p>
              </w:tc>
              <w:tc>
                <w:tcPr>
                  <w:tcW w:w="782" w:type="pct"/>
                  <w:vAlign w:val="center"/>
                </w:tcPr>
                <w:p w14:paraId="7E7929B9">
                  <w:pPr>
                    <w:pStyle w:val="58"/>
                    <w:rPr>
                      <w:rFonts w:eastAsia="宋体"/>
                      <w:szCs w:val="21"/>
                    </w:rPr>
                  </w:pPr>
                  <w:r>
                    <w:rPr>
                      <w:rFonts w:eastAsia="宋体"/>
                      <w:szCs w:val="21"/>
                    </w:rPr>
                    <w:t>排放废水量t/a</w:t>
                  </w:r>
                </w:p>
              </w:tc>
              <w:tc>
                <w:tcPr>
                  <w:tcW w:w="470" w:type="pct"/>
                  <w:vAlign w:val="center"/>
                </w:tcPr>
                <w:p w14:paraId="5E516AB4">
                  <w:pPr>
                    <w:pStyle w:val="58"/>
                    <w:rPr>
                      <w:rFonts w:eastAsia="宋体"/>
                      <w:szCs w:val="21"/>
                    </w:rPr>
                  </w:pPr>
                  <w:r>
                    <w:rPr>
                      <w:rFonts w:eastAsia="宋体"/>
                      <w:szCs w:val="21"/>
                    </w:rPr>
                    <w:t>排放浓度mg/L</w:t>
                  </w:r>
                </w:p>
              </w:tc>
              <w:tc>
                <w:tcPr>
                  <w:tcW w:w="422" w:type="pct"/>
                  <w:vAlign w:val="center"/>
                </w:tcPr>
                <w:p w14:paraId="77EBE716">
                  <w:pPr>
                    <w:pStyle w:val="58"/>
                    <w:rPr>
                      <w:rFonts w:eastAsia="宋体"/>
                      <w:szCs w:val="21"/>
                    </w:rPr>
                  </w:pPr>
                  <w:r>
                    <w:rPr>
                      <w:rFonts w:eastAsia="宋体"/>
                      <w:szCs w:val="21"/>
                    </w:rPr>
                    <w:t>排放量t/a</w:t>
                  </w:r>
                </w:p>
              </w:tc>
              <w:tc>
                <w:tcPr>
                  <w:tcW w:w="335" w:type="pct"/>
                  <w:vMerge w:val="continue"/>
                  <w:tcBorders>
                    <w:right w:val="nil"/>
                  </w:tcBorders>
                  <w:vAlign w:val="center"/>
                </w:tcPr>
                <w:p w14:paraId="479FD016">
                  <w:pPr>
                    <w:pStyle w:val="58"/>
                    <w:rPr>
                      <w:rFonts w:eastAsia="宋体"/>
                      <w:szCs w:val="21"/>
                    </w:rPr>
                  </w:pPr>
                </w:p>
              </w:tc>
            </w:tr>
            <w:tr w14:paraId="5DA6E7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restart"/>
                  <w:tcBorders>
                    <w:left w:val="nil"/>
                  </w:tcBorders>
                  <w:vAlign w:val="center"/>
                </w:tcPr>
                <w:p w14:paraId="4BD4F6D3">
                  <w:pPr>
                    <w:pStyle w:val="47"/>
                    <w:adjustRightInd w:val="0"/>
                    <w:snapToGrid w:val="0"/>
                    <w:rPr>
                      <w:rFonts w:eastAsia="宋体"/>
                    </w:rPr>
                  </w:pPr>
                  <w:r>
                    <w:rPr>
                      <w:rFonts w:hint="eastAsia" w:eastAsia="宋体"/>
                    </w:rPr>
                    <w:t>生活污水</w:t>
                  </w:r>
                </w:p>
              </w:tc>
              <w:tc>
                <w:tcPr>
                  <w:tcW w:w="460" w:type="pct"/>
                  <w:vAlign w:val="center"/>
                </w:tcPr>
                <w:p w14:paraId="6FAD3EA6">
                  <w:pPr>
                    <w:adjustRightInd w:val="0"/>
                    <w:snapToGrid w:val="0"/>
                    <w:jc w:val="center"/>
                    <w:rPr>
                      <w:szCs w:val="21"/>
                    </w:rPr>
                  </w:pPr>
                  <w:r>
                    <w:rPr>
                      <w:szCs w:val="21"/>
                    </w:rPr>
                    <w:t>COD</w:t>
                  </w:r>
                </w:p>
              </w:tc>
              <w:tc>
                <w:tcPr>
                  <w:tcW w:w="489" w:type="pct"/>
                  <w:vMerge w:val="restart"/>
                  <w:vAlign w:val="center"/>
                </w:tcPr>
                <w:p w14:paraId="663790B7">
                  <w:pPr>
                    <w:adjustRightInd w:val="0"/>
                    <w:snapToGrid w:val="0"/>
                    <w:jc w:val="center"/>
                    <w:rPr>
                      <w:kern w:val="0"/>
                      <w:szCs w:val="21"/>
                    </w:rPr>
                  </w:pPr>
                  <w:r>
                    <w:rPr>
                      <w:rFonts w:hint="eastAsia"/>
                      <w:kern w:val="0"/>
                      <w:szCs w:val="21"/>
                    </w:rPr>
                    <w:t>2400</w:t>
                  </w:r>
                </w:p>
              </w:tc>
              <w:tc>
                <w:tcPr>
                  <w:tcW w:w="452" w:type="pct"/>
                  <w:vAlign w:val="center"/>
                </w:tcPr>
                <w:p w14:paraId="5644E8E1">
                  <w:pPr>
                    <w:snapToGrid w:val="0"/>
                    <w:jc w:val="center"/>
                    <w:rPr>
                      <w:szCs w:val="21"/>
                    </w:rPr>
                  </w:pPr>
                  <w:r>
                    <w:rPr>
                      <w:szCs w:val="21"/>
                    </w:rPr>
                    <w:t>300</w:t>
                  </w:r>
                </w:p>
              </w:tc>
              <w:tc>
                <w:tcPr>
                  <w:tcW w:w="475" w:type="pct"/>
                  <w:vAlign w:val="center"/>
                </w:tcPr>
                <w:p w14:paraId="319DDF40">
                  <w:pPr>
                    <w:snapToGrid w:val="0"/>
                    <w:jc w:val="center"/>
                    <w:rPr>
                      <w:szCs w:val="21"/>
                    </w:rPr>
                  </w:pPr>
                  <w:r>
                    <w:rPr>
                      <w:szCs w:val="21"/>
                    </w:rPr>
                    <w:t>0.72</w:t>
                  </w:r>
                </w:p>
              </w:tc>
              <w:tc>
                <w:tcPr>
                  <w:tcW w:w="309" w:type="pct"/>
                  <w:vMerge w:val="restart"/>
                  <w:vAlign w:val="center"/>
                </w:tcPr>
                <w:p w14:paraId="61BD8D0D">
                  <w:pPr>
                    <w:widowControl/>
                    <w:adjustRightInd w:val="0"/>
                    <w:snapToGrid w:val="0"/>
                    <w:jc w:val="center"/>
                    <w:rPr>
                      <w:szCs w:val="21"/>
                    </w:rPr>
                  </w:pPr>
                  <w:r>
                    <w:rPr>
                      <w:szCs w:val="21"/>
                    </w:rPr>
                    <w:t>A</w:t>
                  </w:r>
                  <w:r>
                    <w:rPr>
                      <w:szCs w:val="21"/>
                      <w:vertAlign w:val="superscript"/>
                    </w:rPr>
                    <w:t>2</w:t>
                  </w:r>
                  <w:r>
                    <w:rPr>
                      <w:szCs w:val="21"/>
                    </w:rPr>
                    <w:t>/O</w:t>
                  </w:r>
                </w:p>
              </w:tc>
              <w:tc>
                <w:tcPr>
                  <w:tcW w:w="469" w:type="pct"/>
                  <w:vAlign w:val="center"/>
                </w:tcPr>
                <w:p w14:paraId="67831673">
                  <w:pPr>
                    <w:jc w:val="center"/>
                    <w:rPr>
                      <w:szCs w:val="21"/>
                    </w:rPr>
                  </w:pPr>
                  <w:r>
                    <w:rPr>
                      <w:szCs w:val="21"/>
                    </w:rPr>
                    <w:t>83.3</w:t>
                  </w:r>
                </w:p>
              </w:tc>
              <w:tc>
                <w:tcPr>
                  <w:tcW w:w="782" w:type="pct"/>
                  <w:vMerge w:val="restart"/>
                  <w:vAlign w:val="center"/>
                </w:tcPr>
                <w:p w14:paraId="56A99169">
                  <w:pPr>
                    <w:adjustRightInd w:val="0"/>
                    <w:snapToGrid w:val="0"/>
                    <w:jc w:val="center"/>
                    <w:rPr>
                      <w:kern w:val="0"/>
                      <w:szCs w:val="21"/>
                    </w:rPr>
                  </w:pPr>
                  <w:r>
                    <w:rPr>
                      <w:rFonts w:hint="eastAsia"/>
                      <w:kern w:val="0"/>
                      <w:szCs w:val="21"/>
                    </w:rPr>
                    <w:t>2400</w:t>
                  </w:r>
                </w:p>
              </w:tc>
              <w:tc>
                <w:tcPr>
                  <w:tcW w:w="470" w:type="pct"/>
                  <w:vAlign w:val="center"/>
                </w:tcPr>
                <w:p w14:paraId="7A764C14">
                  <w:pPr>
                    <w:adjustRightInd w:val="0"/>
                    <w:snapToGrid w:val="0"/>
                    <w:jc w:val="center"/>
                    <w:rPr>
                      <w:szCs w:val="21"/>
                    </w:rPr>
                  </w:pPr>
                  <w:r>
                    <w:rPr>
                      <w:szCs w:val="21"/>
                    </w:rPr>
                    <w:t>50</w:t>
                  </w:r>
                </w:p>
              </w:tc>
              <w:tc>
                <w:tcPr>
                  <w:tcW w:w="422" w:type="pct"/>
                  <w:vAlign w:val="center"/>
                </w:tcPr>
                <w:p w14:paraId="665546D3">
                  <w:pPr>
                    <w:widowControl/>
                    <w:jc w:val="center"/>
                    <w:textAlignment w:val="center"/>
                    <w:rPr>
                      <w:szCs w:val="21"/>
                    </w:rPr>
                  </w:pPr>
                  <w:r>
                    <w:rPr>
                      <w:rFonts w:hint="eastAsia"/>
                      <w:szCs w:val="21"/>
                    </w:rPr>
                    <w:t>0.12</w:t>
                  </w:r>
                </w:p>
              </w:tc>
              <w:tc>
                <w:tcPr>
                  <w:tcW w:w="335" w:type="pct"/>
                  <w:vMerge w:val="restart"/>
                  <w:tcBorders>
                    <w:right w:val="nil"/>
                  </w:tcBorders>
                  <w:vAlign w:val="center"/>
                </w:tcPr>
                <w:p w14:paraId="53BDE5D1">
                  <w:pPr>
                    <w:adjustRightInd w:val="0"/>
                    <w:snapToGrid w:val="0"/>
                    <w:jc w:val="center"/>
                    <w:rPr>
                      <w:szCs w:val="21"/>
                    </w:rPr>
                  </w:pPr>
                  <w:r>
                    <w:rPr>
                      <w:rFonts w:hint="eastAsia"/>
                      <w:szCs w:val="21"/>
                    </w:rPr>
                    <w:t>72</w:t>
                  </w:r>
                  <w:r>
                    <w:rPr>
                      <w:szCs w:val="21"/>
                    </w:rPr>
                    <w:t>00</w:t>
                  </w:r>
                </w:p>
              </w:tc>
            </w:tr>
            <w:tr w14:paraId="56C9B4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continue"/>
                  <w:tcBorders>
                    <w:left w:val="nil"/>
                  </w:tcBorders>
                  <w:vAlign w:val="center"/>
                </w:tcPr>
                <w:p w14:paraId="191F0972">
                  <w:pPr>
                    <w:adjustRightInd w:val="0"/>
                    <w:snapToGrid w:val="0"/>
                    <w:jc w:val="center"/>
                    <w:rPr>
                      <w:szCs w:val="21"/>
                    </w:rPr>
                  </w:pPr>
                </w:p>
              </w:tc>
              <w:tc>
                <w:tcPr>
                  <w:tcW w:w="460" w:type="pct"/>
                  <w:vAlign w:val="center"/>
                </w:tcPr>
                <w:p w14:paraId="32B6A667">
                  <w:pPr>
                    <w:adjustRightInd w:val="0"/>
                    <w:snapToGrid w:val="0"/>
                    <w:jc w:val="center"/>
                    <w:rPr>
                      <w:szCs w:val="21"/>
                    </w:rPr>
                  </w:pPr>
                  <w:r>
                    <w:rPr>
                      <w:szCs w:val="21"/>
                    </w:rPr>
                    <w:t>SS</w:t>
                  </w:r>
                </w:p>
              </w:tc>
              <w:tc>
                <w:tcPr>
                  <w:tcW w:w="489" w:type="pct"/>
                  <w:vMerge w:val="continue"/>
                  <w:vAlign w:val="center"/>
                </w:tcPr>
                <w:p w14:paraId="03B4AD96">
                  <w:pPr>
                    <w:adjustRightInd w:val="0"/>
                    <w:snapToGrid w:val="0"/>
                    <w:jc w:val="center"/>
                    <w:rPr>
                      <w:kern w:val="0"/>
                      <w:szCs w:val="21"/>
                    </w:rPr>
                  </w:pPr>
                </w:p>
              </w:tc>
              <w:tc>
                <w:tcPr>
                  <w:tcW w:w="452" w:type="pct"/>
                  <w:vAlign w:val="center"/>
                </w:tcPr>
                <w:p w14:paraId="1C4A2988">
                  <w:pPr>
                    <w:snapToGrid w:val="0"/>
                    <w:jc w:val="center"/>
                    <w:rPr>
                      <w:szCs w:val="21"/>
                    </w:rPr>
                  </w:pPr>
                  <w:r>
                    <w:rPr>
                      <w:szCs w:val="21"/>
                    </w:rPr>
                    <w:t>150</w:t>
                  </w:r>
                </w:p>
              </w:tc>
              <w:tc>
                <w:tcPr>
                  <w:tcW w:w="475" w:type="pct"/>
                  <w:vAlign w:val="center"/>
                </w:tcPr>
                <w:p w14:paraId="609AC38F">
                  <w:pPr>
                    <w:snapToGrid w:val="0"/>
                    <w:jc w:val="center"/>
                    <w:rPr>
                      <w:szCs w:val="21"/>
                    </w:rPr>
                  </w:pPr>
                  <w:r>
                    <w:rPr>
                      <w:szCs w:val="21"/>
                    </w:rPr>
                    <w:t>0.36</w:t>
                  </w:r>
                </w:p>
              </w:tc>
              <w:tc>
                <w:tcPr>
                  <w:tcW w:w="309" w:type="pct"/>
                  <w:vMerge w:val="continue"/>
                  <w:vAlign w:val="center"/>
                </w:tcPr>
                <w:p w14:paraId="426C96A2">
                  <w:pPr>
                    <w:widowControl/>
                    <w:adjustRightInd w:val="0"/>
                    <w:snapToGrid w:val="0"/>
                    <w:jc w:val="center"/>
                    <w:rPr>
                      <w:szCs w:val="21"/>
                    </w:rPr>
                  </w:pPr>
                </w:p>
              </w:tc>
              <w:tc>
                <w:tcPr>
                  <w:tcW w:w="469" w:type="pct"/>
                  <w:vAlign w:val="center"/>
                </w:tcPr>
                <w:p w14:paraId="1583794C">
                  <w:pPr>
                    <w:jc w:val="center"/>
                    <w:rPr>
                      <w:szCs w:val="21"/>
                    </w:rPr>
                  </w:pPr>
                  <w:r>
                    <w:rPr>
                      <w:szCs w:val="21"/>
                    </w:rPr>
                    <w:t>93.3</w:t>
                  </w:r>
                </w:p>
              </w:tc>
              <w:tc>
                <w:tcPr>
                  <w:tcW w:w="782" w:type="pct"/>
                  <w:vMerge w:val="continue"/>
                  <w:vAlign w:val="center"/>
                </w:tcPr>
                <w:p w14:paraId="7815CE2A">
                  <w:pPr>
                    <w:adjustRightInd w:val="0"/>
                    <w:snapToGrid w:val="0"/>
                    <w:jc w:val="center"/>
                    <w:rPr>
                      <w:kern w:val="0"/>
                      <w:szCs w:val="21"/>
                    </w:rPr>
                  </w:pPr>
                </w:p>
              </w:tc>
              <w:tc>
                <w:tcPr>
                  <w:tcW w:w="470" w:type="pct"/>
                  <w:vAlign w:val="center"/>
                </w:tcPr>
                <w:p w14:paraId="0E0BF12B">
                  <w:pPr>
                    <w:adjustRightInd w:val="0"/>
                    <w:snapToGrid w:val="0"/>
                    <w:jc w:val="center"/>
                    <w:rPr>
                      <w:szCs w:val="21"/>
                    </w:rPr>
                  </w:pPr>
                  <w:r>
                    <w:rPr>
                      <w:szCs w:val="21"/>
                    </w:rPr>
                    <w:t>10</w:t>
                  </w:r>
                </w:p>
              </w:tc>
              <w:tc>
                <w:tcPr>
                  <w:tcW w:w="422" w:type="pct"/>
                  <w:vAlign w:val="center"/>
                </w:tcPr>
                <w:p w14:paraId="0C47A886">
                  <w:pPr>
                    <w:widowControl/>
                    <w:jc w:val="center"/>
                    <w:textAlignment w:val="center"/>
                    <w:rPr>
                      <w:szCs w:val="21"/>
                    </w:rPr>
                  </w:pPr>
                  <w:r>
                    <w:rPr>
                      <w:rFonts w:hint="eastAsia"/>
                      <w:szCs w:val="21"/>
                    </w:rPr>
                    <w:t>0.024</w:t>
                  </w:r>
                </w:p>
              </w:tc>
              <w:tc>
                <w:tcPr>
                  <w:tcW w:w="335" w:type="pct"/>
                  <w:vMerge w:val="continue"/>
                  <w:tcBorders>
                    <w:right w:val="nil"/>
                  </w:tcBorders>
                  <w:vAlign w:val="center"/>
                </w:tcPr>
                <w:p w14:paraId="49EC96DA">
                  <w:pPr>
                    <w:adjustRightInd w:val="0"/>
                    <w:snapToGrid w:val="0"/>
                    <w:jc w:val="center"/>
                    <w:rPr>
                      <w:szCs w:val="21"/>
                    </w:rPr>
                  </w:pPr>
                </w:p>
              </w:tc>
            </w:tr>
            <w:tr w14:paraId="666922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continue"/>
                  <w:tcBorders>
                    <w:left w:val="nil"/>
                  </w:tcBorders>
                  <w:vAlign w:val="center"/>
                </w:tcPr>
                <w:p w14:paraId="32D3B193">
                  <w:pPr>
                    <w:adjustRightInd w:val="0"/>
                    <w:snapToGrid w:val="0"/>
                    <w:jc w:val="center"/>
                    <w:rPr>
                      <w:szCs w:val="21"/>
                    </w:rPr>
                  </w:pPr>
                </w:p>
              </w:tc>
              <w:tc>
                <w:tcPr>
                  <w:tcW w:w="460" w:type="pct"/>
                  <w:vAlign w:val="center"/>
                </w:tcPr>
                <w:p w14:paraId="44F2885F">
                  <w:pPr>
                    <w:adjustRightInd w:val="0"/>
                    <w:snapToGrid w:val="0"/>
                    <w:jc w:val="center"/>
                    <w:rPr>
                      <w:szCs w:val="21"/>
                    </w:rPr>
                  </w:pPr>
                  <w:r>
                    <w:rPr>
                      <w:szCs w:val="21"/>
                    </w:rPr>
                    <w:t>NH</w:t>
                  </w:r>
                  <w:r>
                    <w:rPr>
                      <w:szCs w:val="21"/>
                      <w:vertAlign w:val="subscript"/>
                    </w:rPr>
                    <w:t>3</w:t>
                  </w:r>
                  <w:r>
                    <w:rPr>
                      <w:szCs w:val="21"/>
                    </w:rPr>
                    <w:t>-N</w:t>
                  </w:r>
                </w:p>
              </w:tc>
              <w:tc>
                <w:tcPr>
                  <w:tcW w:w="489" w:type="pct"/>
                  <w:vMerge w:val="continue"/>
                  <w:vAlign w:val="center"/>
                </w:tcPr>
                <w:p w14:paraId="4991903C">
                  <w:pPr>
                    <w:adjustRightInd w:val="0"/>
                    <w:snapToGrid w:val="0"/>
                    <w:jc w:val="center"/>
                    <w:rPr>
                      <w:kern w:val="0"/>
                      <w:szCs w:val="21"/>
                    </w:rPr>
                  </w:pPr>
                </w:p>
              </w:tc>
              <w:tc>
                <w:tcPr>
                  <w:tcW w:w="452" w:type="pct"/>
                  <w:vAlign w:val="center"/>
                </w:tcPr>
                <w:p w14:paraId="509E26BF">
                  <w:pPr>
                    <w:snapToGrid w:val="0"/>
                    <w:jc w:val="center"/>
                    <w:rPr>
                      <w:szCs w:val="21"/>
                    </w:rPr>
                  </w:pPr>
                  <w:r>
                    <w:rPr>
                      <w:szCs w:val="21"/>
                    </w:rPr>
                    <w:t>30</w:t>
                  </w:r>
                </w:p>
              </w:tc>
              <w:tc>
                <w:tcPr>
                  <w:tcW w:w="475" w:type="pct"/>
                  <w:vAlign w:val="center"/>
                </w:tcPr>
                <w:p w14:paraId="2AF5432E">
                  <w:pPr>
                    <w:snapToGrid w:val="0"/>
                    <w:jc w:val="center"/>
                    <w:rPr>
                      <w:szCs w:val="21"/>
                    </w:rPr>
                  </w:pPr>
                  <w:r>
                    <w:rPr>
                      <w:szCs w:val="21"/>
                    </w:rPr>
                    <w:t>0.072</w:t>
                  </w:r>
                </w:p>
              </w:tc>
              <w:tc>
                <w:tcPr>
                  <w:tcW w:w="309" w:type="pct"/>
                  <w:vMerge w:val="continue"/>
                  <w:vAlign w:val="center"/>
                </w:tcPr>
                <w:p w14:paraId="28CE2D9D">
                  <w:pPr>
                    <w:widowControl/>
                    <w:adjustRightInd w:val="0"/>
                    <w:snapToGrid w:val="0"/>
                    <w:jc w:val="center"/>
                    <w:rPr>
                      <w:szCs w:val="21"/>
                    </w:rPr>
                  </w:pPr>
                </w:p>
              </w:tc>
              <w:tc>
                <w:tcPr>
                  <w:tcW w:w="469" w:type="pct"/>
                  <w:vAlign w:val="center"/>
                </w:tcPr>
                <w:p w14:paraId="68447B2D">
                  <w:pPr>
                    <w:jc w:val="center"/>
                    <w:rPr>
                      <w:szCs w:val="21"/>
                    </w:rPr>
                  </w:pPr>
                  <w:r>
                    <w:rPr>
                      <w:szCs w:val="21"/>
                    </w:rPr>
                    <w:t>86.7</w:t>
                  </w:r>
                </w:p>
              </w:tc>
              <w:tc>
                <w:tcPr>
                  <w:tcW w:w="782" w:type="pct"/>
                  <w:vMerge w:val="continue"/>
                  <w:vAlign w:val="center"/>
                </w:tcPr>
                <w:p w14:paraId="58084998">
                  <w:pPr>
                    <w:adjustRightInd w:val="0"/>
                    <w:snapToGrid w:val="0"/>
                    <w:jc w:val="center"/>
                    <w:rPr>
                      <w:kern w:val="0"/>
                      <w:szCs w:val="21"/>
                    </w:rPr>
                  </w:pPr>
                </w:p>
              </w:tc>
              <w:tc>
                <w:tcPr>
                  <w:tcW w:w="470" w:type="pct"/>
                  <w:vAlign w:val="center"/>
                </w:tcPr>
                <w:p w14:paraId="4968009A">
                  <w:pPr>
                    <w:adjustRightInd w:val="0"/>
                    <w:snapToGrid w:val="0"/>
                    <w:jc w:val="center"/>
                    <w:rPr>
                      <w:szCs w:val="21"/>
                    </w:rPr>
                  </w:pPr>
                  <w:r>
                    <w:rPr>
                      <w:szCs w:val="21"/>
                    </w:rPr>
                    <w:t>4</w:t>
                  </w:r>
                </w:p>
              </w:tc>
              <w:tc>
                <w:tcPr>
                  <w:tcW w:w="422" w:type="pct"/>
                  <w:vAlign w:val="center"/>
                </w:tcPr>
                <w:p w14:paraId="7D7BB43A">
                  <w:pPr>
                    <w:widowControl/>
                    <w:jc w:val="center"/>
                    <w:textAlignment w:val="center"/>
                    <w:rPr>
                      <w:szCs w:val="21"/>
                    </w:rPr>
                  </w:pPr>
                  <w:r>
                    <w:rPr>
                      <w:rFonts w:hint="eastAsia"/>
                      <w:szCs w:val="21"/>
                    </w:rPr>
                    <w:t>0.010</w:t>
                  </w:r>
                </w:p>
              </w:tc>
              <w:tc>
                <w:tcPr>
                  <w:tcW w:w="335" w:type="pct"/>
                  <w:vMerge w:val="continue"/>
                  <w:tcBorders>
                    <w:right w:val="nil"/>
                  </w:tcBorders>
                  <w:vAlign w:val="center"/>
                </w:tcPr>
                <w:p w14:paraId="097230AF">
                  <w:pPr>
                    <w:adjustRightInd w:val="0"/>
                    <w:snapToGrid w:val="0"/>
                    <w:jc w:val="center"/>
                    <w:rPr>
                      <w:szCs w:val="21"/>
                    </w:rPr>
                  </w:pPr>
                </w:p>
              </w:tc>
            </w:tr>
            <w:tr w14:paraId="7AA6BA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continue"/>
                  <w:tcBorders>
                    <w:left w:val="nil"/>
                  </w:tcBorders>
                  <w:vAlign w:val="center"/>
                </w:tcPr>
                <w:p w14:paraId="0E4D88F0">
                  <w:pPr>
                    <w:adjustRightInd w:val="0"/>
                    <w:snapToGrid w:val="0"/>
                    <w:jc w:val="center"/>
                    <w:rPr>
                      <w:szCs w:val="21"/>
                    </w:rPr>
                  </w:pPr>
                </w:p>
              </w:tc>
              <w:tc>
                <w:tcPr>
                  <w:tcW w:w="460" w:type="pct"/>
                  <w:vAlign w:val="center"/>
                </w:tcPr>
                <w:p w14:paraId="6B3B7D8B">
                  <w:pPr>
                    <w:adjustRightInd w:val="0"/>
                    <w:snapToGrid w:val="0"/>
                    <w:jc w:val="center"/>
                    <w:rPr>
                      <w:szCs w:val="21"/>
                    </w:rPr>
                  </w:pPr>
                  <w:r>
                    <w:rPr>
                      <w:szCs w:val="21"/>
                    </w:rPr>
                    <w:t xml:space="preserve">TN </w:t>
                  </w:r>
                </w:p>
              </w:tc>
              <w:tc>
                <w:tcPr>
                  <w:tcW w:w="489" w:type="pct"/>
                  <w:vMerge w:val="continue"/>
                  <w:vAlign w:val="center"/>
                </w:tcPr>
                <w:p w14:paraId="58E9B610">
                  <w:pPr>
                    <w:adjustRightInd w:val="0"/>
                    <w:snapToGrid w:val="0"/>
                    <w:jc w:val="center"/>
                    <w:rPr>
                      <w:kern w:val="0"/>
                      <w:szCs w:val="21"/>
                    </w:rPr>
                  </w:pPr>
                </w:p>
              </w:tc>
              <w:tc>
                <w:tcPr>
                  <w:tcW w:w="452" w:type="pct"/>
                  <w:vAlign w:val="center"/>
                </w:tcPr>
                <w:p w14:paraId="40D13C98">
                  <w:pPr>
                    <w:snapToGrid w:val="0"/>
                    <w:jc w:val="center"/>
                    <w:rPr>
                      <w:szCs w:val="21"/>
                    </w:rPr>
                  </w:pPr>
                  <w:r>
                    <w:rPr>
                      <w:szCs w:val="21"/>
                    </w:rPr>
                    <w:t>40</w:t>
                  </w:r>
                </w:p>
              </w:tc>
              <w:tc>
                <w:tcPr>
                  <w:tcW w:w="475" w:type="pct"/>
                  <w:vAlign w:val="center"/>
                </w:tcPr>
                <w:p w14:paraId="01ABA23F">
                  <w:pPr>
                    <w:snapToGrid w:val="0"/>
                    <w:jc w:val="center"/>
                    <w:rPr>
                      <w:szCs w:val="21"/>
                    </w:rPr>
                  </w:pPr>
                  <w:r>
                    <w:rPr>
                      <w:szCs w:val="21"/>
                    </w:rPr>
                    <w:t>0.096</w:t>
                  </w:r>
                </w:p>
              </w:tc>
              <w:tc>
                <w:tcPr>
                  <w:tcW w:w="309" w:type="pct"/>
                  <w:vMerge w:val="continue"/>
                  <w:vAlign w:val="center"/>
                </w:tcPr>
                <w:p w14:paraId="65101B71">
                  <w:pPr>
                    <w:widowControl/>
                    <w:adjustRightInd w:val="0"/>
                    <w:snapToGrid w:val="0"/>
                    <w:jc w:val="center"/>
                    <w:rPr>
                      <w:szCs w:val="21"/>
                    </w:rPr>
                  </w:pPr>
                </w:p>
              </w:tc>
              <w:tc>
                <w:tcPr>
                  <w:tcW w:w="469" w:type="pct"/>
                  <w:vAlign w:val="center"/>
                </w:tcPr>
                <w:p w14:paraId="34E3EDAD">
                  <w:pPr>
                    <w:jc w:val="center"/>
                    <w:rPr>
                      <w:szCs w:val="21"/>
                    </w:rPr>
                  </w:pPr>
                  <w:r>
                    <w:rPr>
                      <w:szCs w:val="21"/>
                    </w:rPr>
                    <w:t>70.0</w:t>
                  </w:r>
                </w:p>
              </w:tc>
              <w:tc>
                <w:tcPr>
                  <w:tcW w:w="782" w:type="pct"/>
                  <w:vMerge w:val="continue"/>
                  <w:vAlign w:val="center"/>
                </w:tcPr>
                <w:p w14:paraId="7071A511">
                  <w:pPr>
                    <w:adjustRightInd w:val="0"/>
                    <w:snapToGrid w:val="0"/>
                    <w:jc w:val="center"/>
                    <w:rPr>
                      <w:kern w:val="0"/>
                      <w:szCs w:val="21"/>
                    </w:rPr>
                  </w:pPr>
                </w:p>
              </w:tc>
              <w:tc>
                <w:tcPr>
                  <w:tcW w:w="470" w:type="pct"/>
                  <w:vAlign w:val="center"/>
                </w:tcPr>
                <w:p w14:paraId="39182237">
                  <w:pPr>
                    <w:adjustRightInd w:val="0"/>
                    <w:snapToGrid w:val="0"/>
                    <w:jc w:val="center"/>
                    <w:rPr>
                      <w:szCs w:val="21"/>
                    </w:rPr>
                  </w:pPr>
                  <w:r>
                    <w:rPr>
                      <w:rFonts w:hint="eastAsia"/>
                      <w:szCs w:val="21"/>
                    </w:rPr>
                    <w:t>12</w:t>
                  </w:r>
                </w:p>
              </w:tc>
              <w:tc>
                <w:tcPr>
                  <w:tcW w:w="422" w:type="pct"/>
                  <w:vAlign w:val="center"/>
                </w:tcPr>
                <w:p w14:paraId="324103AF">
                  <w:pPr>
                    <w:widowControl/>
                    <w:jc w:val="center"/>
                    <w:textAlignment w:val="center"/>
                    <w:rPr>
                      <w:szCs w:val="21"/>
                    </w:rPr>
                  </w:pPr>
                  <w:r>
                    <w:rPr>
                      <w:rFonts w:hint="eastAsia"/>
                      <w:szCs w:val="21"/>
                    </w:rPr>
                    <w:t>0.029</w:t>
                  </w:r>
                </w:p>
              </w:tc>
              <w:tc>
                <w:tcPr>
                  <w:tcW w:w="335" w:type="pct"/>
                  <w:vMerge w:val="continue"/>
                  <w:tcBorders>
                    <w:right w:val="nil"/>
                  </w:tcBorders>
                  <w:vAlign w:val="center"/>
                </w:tcPr>
                <w:p w14:paraId="25CDBA0E">
                  <w:pPr>
                    <w:adjustRightInd w:val="0"/>
                    <w:snapToGrid w:val="0"/>
                    <w:jc w:val="center"/>
                    <w:rPr>
                      <w:szCs w:val="21"/>
                    </w:rPr>
                  </w:pPr>
                </w:p>
              </w:tc>
            </w:tr>
            <w:tr w14:paraId="35373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continue"/>
                  <w:tcBorders>
                    <w:left w:val="nil"/>
                  </w:tcBorders>
                  <w:vAlign w:val="center"/>
                </w:tcPr>
                <w:p w14:paraId="5F633119">
                  <w:pPr>
                    <w:adjustRightInd w:val="0"/>
                    <w:snapToGrid w:val="0"/>
                    <w:jc w:val="center"/>
                    <w:rPr>
                      <w:szCs w:val="21"/>
                    </w:rPr>
                  </w:pPr>
                </w:p>
              </w:tc>
              <w:tc>
                <w:tcPr>
                  <w:tcW w:w="460" w:type="pct"/>
                  <w:vAlign w:val="center"/>
                </w:tcPr>
                <w:p w14:paraId="4E76C102">
                  <w:pPr>
                    <w:adjustRightInd w:val="0"/>
                    <w:snapToGrid w:val="0"/>
                    <w:jc w:val="center"/>
                    <w:rPr>
                      <w:szCs w:val="21"/>
                    </w:rPr>
                  </w:pPr>
                  <w:r>
                    <w:rPr>
                      <w:szCs w:val="21"/>
                    </w:rPr>
                    <w:t>TP</w:t>
                  </w:r>
                </w:p>
              </w:tc>
              <w:tc>
                <w:tcPr>
                  <w:tcW w:w="489" w:type="pct"/>
                  <w:vMerge w:val="continue"/>
                  <w:vAlign w:val="center"/>
                </w:tcPr>
                <w:p w14:paraId="6DC034AB">
                  <w:pPr>
                    <w:adjustRightInd w:val="0"/>
                    <w:snapToGrid w:val="0"/>
                    <w:jc w:val="center"/>
                    <w:rPr>
                      <w:kern w:val="0"/>
                      <w:szCs w:val="21"/>
                    </w:rPr>
                  </w:pPr>
                </w:p>
              </w:tc>
              <w:tc>
                <w:tcPr>
                  <w:tcW w:w="452" w:type="pct"/>
                  <w:vAlign w:val="center"/>
                </w:tcPr>
                <w:p w14:paraId="66632DD2">
                  <w:pPr>
                    <w:snapToGrid w:val="0"/>
                    <w:jc w:val="center"/>
                    <w:rPr>
                      <w:szCs w:val="21"/>
                    </w:rPr>
                  </w:pPr>
                  <w:r>
                    <w:rPr>
                      <w:szCs w:val="21"/>
                    </w:rPr>
                    <w:t>1</w:t>
                  </w:r>
                </w:p>
              </w:tc>
              <w:tc>
                <w:tcPr>
                  <w:tcW w:w="475" w:type="pct"/>
                  <w:vAlign w:val="center"/>
                </w:tcPr>
                <w:p w14:paraId="3A7A1B96">
                  <w:pPr>
                    <w:snapToGrid w:val="0"/>
                    <w:jc w:val="center"/>
                    <w:rPr>
                      <w:szCs w:val="21"/>
                    </w:rPr>
                  </w:pPr>
                  <w:r>
                    <w:rPr>
                      <w:szCs w:val="21"/>
                    </w:rPr>
                    <w:t>0.002</w:t>
                  </w:r>
                </w:p>
              </w:tc>
              <w:tc>
                <w:tcPr>
                  <w:tcW w:w="309" w:type="pct"/>
                  <w:vMerge w:val="continue"/>
                  <w:vAlign w:val="center"/>
                </w:tcPr>
                <w:p w14:paraId="6CDA8DA0">
                  <w:pPr>
                    <w:widowControl/>
                    <w:adjustRightInd w:val="0"/>
                    <w:snapToGrid w:val="0"/>
                    <w:jc w:val="center"/>
                    <w:rPr>
                      <w:szCs w:val="21"/>
                    </w:rPr>
                  </w:pPr>
                </w:p>
              </w:tc>
              <w:tc>
                <w:tcPr>
                  <w:tcW w:w="469" w:type="pct"/>
                  <w:vAlign w:val="center"/>
                </w:tcPr>
                <w:p w14:paraId="7296F503">
                  <w:pPr>
                    <w:jc w:val="center"/>
                    <w:rPr>
                      <w:szCs w:val="21"/>
                    </w:rPr>
                  </w:pPr>
                  <w:r>
                    <w:rPr>
                      <w:szCs w:val="21"/>
                    </w:rPr>
                    <w:t>50.0</w:t>
                  </w:r>
                </w:p>
              </w:tc>
              <w:tc>
                <w:tcPr>
                  <w:tcW w:w="782" w:type="pct"/>
                  <w:vMerge w:val="continue"/>
                  <w:vAlign w:val="center"/>
                </w:tcPr>
                <w:p w14:paraId="419321FA">
                  <w:pPr>
                    <w:adjustRightInd w:val="0"/>
                    <w:snapToGrid w:val="0"/>
                    <w:jc w:val="center"/>
                    <w:rPr>
                      <w:kern w:val="0"/>
                      <w:szCs w:val="21"/>
                    </w:rPr>
                  </w:pPr>
                </w:p>
              </w:tc>
              <w:tc>
                <w:tcPr>
                  <w:tcW w:w="470" w:type="pct"/>
                  <w:vAlign w:val="center"/>
                </w:tcPr>
                <w:p w14:paraId="005D978B">
                  <w:pPr>
                    <w:adjustRightInd w:val="0"/>
                    <w:snapToGrid w:val="0"/>
                    <w:jc w:val="center"/>
                    <w:rPr>
                      <w:szCs w:val="21"/>
                    </w:rPr>
                  </w:pPr>
                  <w:r>
                    <w:rPr>
                      <w:rFonts w:hint="eastAsia"/>
                      <w:szCs w:val="21"/>
                    </w:rPr>
                    <w:t>0.5</w:t>
                  </w:r>
                </w:p>
              </w:tc>
              <w:tc>
                <w:tcPr>
                  <w:tcW w:w="422" w:type="pct"/>
                  <w:vAlign w:val="center"/>
                </w:tcPr>
                <w:p w14:paraId="2634193B">
                  <w:pPr>
                    <w:widowControl/>
                    <w:jc w:val="center"/>
                    <w:textAlignment w:val="center"/>
                    <w:rPr>
                      <w:szCs w:val="21"/>
                    </w:rPr>
                  </w:pPr>
                  <w:r>
                    <w:rPr>
                      <w:rFonts w:hint="eastAsia"/>
                      <w:szCs w:val="21"/>
                    </w:rPr>
                    <w:t>0.001</w:t>
                  </w:r>
                </w:p>
              </w:tc>
              <w:tc>
                <w:tcPr>
                  <w:tcW w:w="335" w:type="pct"/>
                  <w:vMerge w:val="continue"/>
                  <w:tcBorders>
                    <w:right w:val="nil"/>
                  </w:tcBorders>
                  <w:vAlign w:val="center"/>
                </w:tcPr>
                <w:p w14:paraId="703306B8">
                  <w:pPr>
                    <w:adjustRightInd w:val="0"/>
                    <w:snapToGrid w:val="0"/>
                    <w:jc w:val="center"/>
                    <w:rPr>
                      <w:szCs w:val="21"/>
                    </w:rPr>
                  </w:pPr>
                </w:p>
              </w:tc>
            </w:tr>
            <w:tr w14:paraId="061E5A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continue"/>
                  <w:tcBorders>
                    <w:left w:val="nil"/>
                  </w:tcBorders>
                  <w:vAlign w:val="center"/>
                </w:tcPr>
                <w:p w14:paraId="05D1A2A9">
                  <w:pPr>
                    <w:adjustRightInd w:val="0"/>
                    <w:snapToGrid w:val="0"/>
                    <w:jc w:val="center"/>
                    <w:rPr>
                      <w:szCs w:val="21"/>
                    </w:rPr>
                  </w:pPr>
                  <w:bookmarkStart w:id="130" w:name="_Hlk201498694"/>
                </w:p>
              </w:tc>
              <w:tc>
                <w:tcPr>
                  <w:tcW w:w="460" w:type="pct"/>
                  <w:vAlign w:val="center"/>
                </w:tcPr>
                <w:p w14:paraId="6E35B11F">
                  <w:pPr>
                    <w:adjustRightInd w:val="0"/>
                    <w:snapToGrid w:val="0"/>
                    <w:jc w:val="center"/>
                    <w:rPr>
                      <w:szCs w:val="21"/>
                    </w:rPr>
                  </w:pPr>
                  <w:r>
                    <w:rPr>
                      <w:szCs w:val="21"/>
                    </w:rPr>
                    <w:t>石油类</w:t>
                  </w:r>
                </w:p>
              </w:tc>
              <w:tc>
                <w:tcPr>
                  <w:tcW w:w="489" w:type="pct"/>
                  <w:vMerge w:val="continue"/>
                  <w:vAlign w:val="center"/>
                </w:tcPr>
                <w:p w14:paraId="4AB16B60">
                  <w:pPr>
                    <w:adjustRightInd w:val="0"/>
                    <w:snapToGrid w:val="0"/>
                    <w:jc w:val="center"/>
                    <w:rPr>
                      <w:kern w:val="0"/>
                      <w:szCs w:val="21"/>
                    </w:rPr>
                  </w:pPr>
                </w:p>
              </w:tc>
              <w:tc>
                <w:tcPr>
                  <w:tcW w:w="452" w:type="pct"/>
                  <w:vAlign w:val="center"/>
                </w:tcPr>
                <w:p w14:paraId="2C5ECFD2">
                  <w:pPr>
                    <w:snapToGrid w:val="0"/>
                    <w:jc w:val="center"/>
                    <w:rPr>
                      <w:szCs w:val="21"/>
                    </w:rPr>
                  </w:pPr>
                  <w:r>
                    <w:rPr>
                      <w:szCs w:val="21"/>
                    </w:rPr>
                    <w:t>10</w:t>
                  </w:r>
                </w:p>
              </w:tc>
              <w:tc>
                <w:tcPr>
                  <w:tcW w:w="475" w:type="pct"/>
                  <w:vAlign w:val="center"/>
                </w:tcPr>
                <w:p w14:paraId="0A260704">
                  <w:pPr>
                    <w:snapToGrid w:val="0"/>
                    <w:jc w:val="center"/>
                    <w:rPr>
                      <w:szCs w:val="21"/>
                    </w:rPr>
                  </w:pPr>
                  <w:r>
                    <w:rPr>
                      <w:szCs w:val="21"/>
                    </w:rPr>
                    <w:t>0.024</w:t>
                  </w:r>
                </w:p>
              </w:tc>
              <w:tc>
                <w:tcPr>
                  <w:tcW w:w="309" w:type="pct"/>
                  <w:vMerge w:val="continue"/>
                  <w:vAlign w:val="center"/>
                </w:tcPr>
                <w:p w14:paraId="20FF4148">
                  <w:pPr>
                    <w:widowControl/>
                    <w:adjustRightInd w:val="0"/>
                    <w:snapToGrid w:val="0"/>
                    <w:jc w:val="center"/>
                    <w:rPr>
                      <w:szCs w:val="21"/>
                    </w:rPr>
                  </w:pPr>
                </w:p>
              </w:tc>
              <w:tc>
                <w:tcPr>
                  <w:tcW w:w="469" w:type="pct"/>
                  <w:vAlign w:val="center"/>
                </w:tcPr>
                <w:p w14:paraId="64E955BE">
                  <w:pPr>
                    <w:jc w:val="center"/>
                    <w:rPr>
                      <w:szCs w:val="21"/>
                    </w:rPr>
                  </w:pPr>
                  <w:r>
                    <w:rPr>
                      <w:szCs w:val="21"/>
                    </w:rPr>
                    <w:t>90.0</w:t>
                  </w:r>
                </w:p>
              </w:tc>
              <w:tc>
                <w:tcPr>
                  <w:tcW w:w="782" w:type="pct"/>
                  <w:vMerge w:val="continue"/>
                  <w:vAlign w:val="center"/>
                </w:tcPr>
                <w:p w14:paraId="57CEC4A8">
                  <w:pPr>
                    <w:adjustRightInd w:val="0"/>
                    <w:snapToGrid w:val="0"/>
                    <w:jc w:val="center"/>
                    <w:rPr>
                      <w:kern w:val="0"/>
                      <w:szCs w:val="21"/>
                    </w:rPr>
                  </w:pPr>
                </w:p>
              </w:tc>
              <w:tc>
                <w:tcPr>
                  <w:tcW w:w="470" w:type="pct"/>
                  <w:vAlign w:val="center"/>
                </w:tcPr>
                <w:p w14:paraId="5AE1A33D">
                  <w:pPr>
                    <w:adjustRightInd w:val="0"/>
                    <w:snapToGrid w:val="0"/>
                    <w:jc w:val="center"/>
                    <w:rPr>
                      <w:szCs w:val="21"/>
                    </w:rPr>
                  </w:pPr>
                  <w:r>
                    <w:rPr>
                      <w:rFonts w:hint="eastAsia"/>
                      <w:szCs w:val="21"/>
                    </w:rPr>
                    <w:t>1</w:t>
                  </w:r>
                </w:p>
              </w:tc>
              <w:tc>
                <w:tcPr>
                  <w:tcW w:w="422" w:type="pct"/>
                  <w:vAlign w:val="center"/>
                </w:tcPr>
                <w:p w14:paraId="11C6F04C">
                  <w:pPr>
                    <w:widowControl/>
                    <w:jc w:val="center"/>
                    <w:textAlignment w:val="center"/>
                    <w:rPr>
                      <w:szCs w:val="21"/>
                    </w:rPr>
                  </w:pPr>
                  <w:r>
                    <w:rPr>
                      <w:rFonts w:hint="eastAsia"/>
                      <w:szCs w:val="21"/>
                    </w:rPr>
                    <w:t>0.002</w:t>
                  </w:r>
                </w:p>
              </w:tc>
              <w:tc>
                <w:tcPr>
                  <w:tcW w:w="335" w:type="pct"/>
                  <w:vMerge w:val="continue"/>
                  <w:tcBorders>
                    <w:right w:val="nil"/>
                  </w:tcBorders>
                  <w:vAlign w:val="center"/>
                </w:tcPr>
                <w:p w14:paraId="5987A97C">
                  <w:pPr>
                    <w:adjustRightInd w:val="0"/>
                    <w:snapToGrid w:val="0"/>
                    <w:jc w:val="center"/>
                    <w:rPr>
                      <w:szCs w:val="21"/>
                    </w:rPr>
                  </w:pPr>
                </w:p>
              </w:tc>
            </w:tr>
            <w:tr w14:paraId="37576E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6" w:type="pct"/>
                  <w:vMerge w:val="continue"/>
                  <w:tcBorders>
                    <w:left w:val="nil"/>
                  </w:tcBorders>
                  <w:vAlign w:val="center"/>
                </w:tcPr>
                <w:p w14:paraId="658480F9">
                  <w:pPr>
                    <w:adjustRightInd w:val="0"/>
                    <w:snapToGrid w:val="0"/>
                    <w:jc w:val="center"/>
                    <w:rPr>
                      <w:szCs w:val="21"/>
                    </w:rPr>
                  </w:pPr>
                </w:p>
              </w:tc>
              <w:tc>
                <w:tcPr>
                  <w:tcW w:w="460" w:type="pct"/>
                  <w:vAlign w:val="center"/>
                </w:tcPr>
                <w:p w14:paraId="6C600286">
                  <w:pPr>
                    <w:adjustRightInd w:val="0"/>
                    <w:snapToGrid w:val="0"/>
                    <w:jc w:val="center"/>
                    <w:rPr>
                      <w:szCs w:val="21"/>
                    </w:rPr>
                  </w:pPr>
                  <w:r>
                    <w:rPr>
                      <w:szCs w:val="21"/>
                    </w:rPr>
                    <w:t>动植物油</w:t>
                  </w:r>
                </w:p>
              </w:tc>
              <w:tc>
                <w:tcPr>
                  <w:tcW w:w="489" w:type="pct"/>
                  <w:vMerge w:val="continue"/>
                  <w:vAlign w:val="center"/>
                </w:tcPr>
                <w:p w14:paraId="3E9C3F01">
                  <w:pPr>
                    <w:adjustRightInd w:val="0"/>
                    <w:snapToGrid w:val="0"/>
                    <w:jc w:val="center"/>
                    <w:rPr>
                      <w:kern w:val="0"/>
                      <w:szCs w:val="21"/>
                    </w:rPr>
                  </w:pPr>
                </w:p>
              </w:tc>
              <w:tc>
                <w:tcPr>
                  <w:tcW w:w="452" w:type="pct"/>
                  <w:vAlign w:val="center"/>
                </w:tcPr>
                <w:p w14:paraId="69613552">
                  <w:pPr>
                    <w:snapToGrid w:val="0"/>
                    <w:jc w:val="center"/>
                    <w:rPr>
                      <w:szCs w:val="21"/>
                    </w:rPr>
                  </w:pPr>
                  <w:r>
                    <w:rPr>
                      <w:rFonts w:hint="eastAsia"/>
                      <w:szCs w:val="21"/>
                    </w:rPr>
                    <w:t>50</w:t>
                  </w:r>
                </w:p>
              </w:tc>
              <w:tc>
                <w:tcPr>
                  <w:tcW w:w="475" w:type="pct"/>
                  <w:vAlign w:val="center"/>
                </w:tcPr>
                <w:p w14:paraId="1F880429">
                  <w:pPr>
                    <w:snapToGrid w:val="0"/>
                    <w:jc w:val="center"/>
                    <w:rPr>
                      <w:szCs w:val="21"/>
                    </w:rPr>
                  </w:pPr>
                  <w:r>
                    <w:rPr>
                      <w:rFonts w:hint="eastAsia"/>
                      <w:szCs w:val="21"/>
                    </w:rPr>
                    <w:t>0.12</w:t>
                  </w:r>
                </w:p>
              </w:tc>
              <w:tc>
                <w:tcPr>
                  <w:tcW w:w="309" w:type="pct"/>
                  <w:vMerge w:val="continue"/>
                  <w:vAlign w:val="center"/>
                </w:tcPr>
                <w:p w14:paraId="2A999946">
                  <w:pPr>
                    <w:widowControl/>
                    <w:adjustRightInd w:val="0"/>
                    <w:snapToGrid w:val="0"/>
                    <w:jc w:val="center"/>
                    <w:rPr>
                      <w:szCs w:val="21"/>
                    </w:rPr>
                  </w:pPr>
                </w:p>
              </w:tc>
              <w:tc>
                <w:tcPr>
                  <w:tcW w:w="469" w:type="pct"/>
                  <w:vAlign w:val="center"/>
                </w:tcPr>
                <w:p w14:paraId="09E279CA">
                  <w:pPr>
                    <w:jc w:val="center"/>
                    <w:rPr>
                      <w:szCs w:val="21"/>
                    </w:rPr>
                  </w:pPr>
                  <w:r>
                    <w:rPr>
                      <w:szCs w:val="21"/>
                    </w:rPr>
                    <w:t>98.0</w:t>
                  </w:r>
                </w:p>
              </w:tc>
              <w:tc>
                <w:tcPr>
                  <w:tcW w:w="782" w:type="pct"/>
                  <w:vMerge w:val="continue"/>
                  <w:vAlign w:val="center"/>
                </w:tcPr>
                <w:p w14:paraId="3D73BA9A">
                  <w:pPr>
                    <w:adjustRightInd w:val="0"/>
                    <w:snapToGrid w:val="0"/>
                    <w:jc w:val="center"/>
                    <w:rPr>
                      <w:kern w:val="0"/>
                      <w:szCs w:val="21"/>
                    </w:rPr>
                  </w:pPr>
                </w:p>
              </w:tc>
              <w:tc>
                <w:tcPr>
                  <w:tcW w:w="470" w:type="pct"/>
                  <w:vAlign w:val="center"/>
                </w:tcPr>
                <w:p w14:paraId="7410A866">
                  <w:pPr>
                    <w:adjustRightInd w:val="0"/>
                    <w:snapToGrid w:val="0"/>
                    <w:jc w:val="center"/>
                    <w:rPr>
                      <w:szCs w:val="21"/>
                    </w:rPr>
                  </w:pPr>
                  <w:r>
                    <w:rPr>
                      <w:rFonts w:hint="eastAsia"/>
                      <w:szCs w:val="21"/>
                    </w:rPr>
                    <w:t>1</w:t>
                  </w:r>
                </w:p>
              </w:tc>
              <w:tc>
                <w:tcPr>
                  <w:tcW w:w="422" w:type="pct"/>
                  <w:vAlign w:val="center"/>
                </w:tcPr>
                <w:p w14:paraId="669B4127">
                  <w:pPr>
                    <w:widowControl/>
                    <w:jc w:val="center"/>
                    <w:textAlignment w:val="center"/>
                    <w:rPr>
                      <w:szCs w:val="21"/>
                    </w:rPr>
                  </w:pPr>
                  <w:r>
                    <w:rPr>
                      <w:rFonts w:hint="eastAsia"/>
                      <w:szCs w:val="21"/>
                    </w:rPr>
                    <w:t>0.002</w:t>
                  </w:r>
                </w:p>
              </w:tc>
              <w:tc>
                <w:tcPr>
                  <w:tcW w:w="335" w:type="pct"/>
                  <w:vMerge w:val="continue"/>
                  <w:tcBorders>
                    <w:right w:val="nil"/>
                  </w:tcBorders>
                  <w:vAlign w:val="center"/>
                </w:tcPr>
                <w:p w14:paraId="5815607C">
                  <w:pPr>
                    <w:adjustRightInd w:val="0"/>
                    <w:snapToGrid w:val="0"/>
                    <w:jc w:val="center"/>
                    <w:rPr>
                      <w:szCs w:val="21"/>
                    </w:rPr>
                  </w:pPr>
                </w:p>
              </w:tc>
            </w:tr>
            <w:bookmarkEnd w:id="130"/>
          </w:tbl>
          <w:p w14:paraId="451E6895">
            <w:pPr>
              <w:pStyle w:val="8"/>
              <w:adjustRightInd w:val="0"/>
              <w:snapToGrid w:val="0"/>
              <w:spacing w:beforeLines="50" w:line="360" w:lineRule="auto"/>
              <w:ind w:firstLine="422" w:firstLineChars="200"/>
              <w:rPr>
                <w:b/>
                <w:bCs/>
                <w:szCs w:val="21"/>
              </w:rPr>
            </w:pPr>
            <w:r>
              <w:rPr>
                <w:b/>
                <w:bCs/>
                <w:szCs w:val="21"/>
              </w:rPr>
              <w:t>（2）排放口基本情况</w:t>
            </w:r>
          </w:p>
          <w:p w14:paraId="26FAA92C">
            <w:pPr>
              <w:jc w:val="center"/>
              <w:rPr>
                <w:b/>
                <w:bCs/>
                <w:szCs w:val="21"/>
              </w:rPr>
            </w:pPr>
            <w:r>
              <w:rPr>
                <w:b/>
                <w:bCs/>
                <w:szCs w:val="21"/>
              </w:rPr>
              <w:t>表4-17  废水类别、污染物及污染治理设施信息表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3"/>
              <w:gridCol w:w="740"/>
              <w:gridCol w:w="695"/>
              <w:gridCol w:w="573"/>
              <w:gridCol w:w="436"/>
              <w:gridCol w:w="552"/>
              <w:gridCol w:w="665"/>
              <w:gridCol w:w="501"/>
              <w:gridCol w:w="884"/>
              <w:gridCol w:w="589"/>
              <w:gridCol w:w="1105"/>
              <w:gridCol w:w="573"/>
              <w:gridCol w:w="1284"/>
            </w:tblGrid>
            <w:tr w14:paraId="712661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tcBorders>
                    <w:tl2br w:val="nil"/>
                    <w:tr2bl w:val="nil"/>
                  </w:tcBorders>
                  <w:vAlign w:val="center"/>
                </w:tcPr>
                <w:p w14:paraId="215F4753">
                  <w:pPr>
                    <w:pStyle w:val="67"/>
                    <w:rPr>
                      <w:b/>
                    </w:rPr>
                  </w:pPr>
                  <w:r>
                    <w:rPr>
                      <w:b/>
                    </w:rPr>
                    <w:t>序号</w:t>
                  </w:r>
                </w:p>
              </w:tc>
              <w:tc>
                <w:tcPr>
                  <w:tcW w:w="740" w:type="dxa"/>
                  <w:tcBorders>
                    <w:tl2br w:val="nil"/>
                    <w:tr2bl w:val="nil"/>
                  </w:tcBorders>
                  <w:vAlign w:val="center"/>
                </w:tcPr>
                <w:p w14:paraId="5F05743D">
                  <w:pPr>
                    <w:pStyle w:val="67"/>
                    <w:rPr>
                      <w:b/>
                    </w:rPr>
                  </w:pPr>
                  <w:r>
                    <w:rPr>
                      <w:b/>
                    </w:rPr>
                    <w:t>废水类别</w:t>
                  </w:r>
                </w:p>
              </w:tc>
              <w:tc>
                <w:tcPr>
                  <w:tcW w:w="695" w:type="dxa"/>
                  <w:tcBorders>
                    <w:tl2br w:val="nil"/>
                    <w:tr2bl w:val="nil"/>
                  </w:tcBorders>
                  <w:vAlign w:val="center"/>
                </w:tcPr>
                <w:p w14:paraId="579A610E">
                  <w:pPr>
                    <w:pStyle w:val="67"/>
                    <w:rPr>
                      <w:b/>
                    </w:rPr>
                  </w:pPr>
                  <w:r>
                    <w:rPr>
                      <w:b/>
                    </w:rPr>
                    <w:t>污染物种类</w:t>
                  </w:r>
                </w:p>
              </w:tc>
              <w:tc>
                <w:tcPr>
                  <w:tcW w:w="573" w:type="dxa"/>
                  <w:tcBorders>
                    <w:tl2br w:val="nil"/>
                    <w:tr2bl w:val="nil"/>
                  </w:tcBorders>
                  <w:vAlign w:val="center"/>
                </w:tcPr>
                <w:p w14:paraId="51316122">
                  <w:pPr>
                    <w:pStyle w:val="67"/>
                    <w:rPr>
                      <w:b/>
                    </w:rPr>
                  </w:pPr>
                  <w:r>
                    <w:rPr>
                      <w:b/>
                    </w:rPr>
                    <w:t>排放浓度mg/L</w:t>
                  </w:r>
                </w:p>
              </w:tc>
              <w:tc>
                <w:tcPr>
                  <w:tcW w:w="436" w:type="dxa"/>
                  <w:tcBorders>
                    <w:tl2br w:val="nil"/>
                    <w:tr2bl w:val="nil"/>
                  </w:tcBorders>
                  <w:vAlign w:val="center"/>
                </w:tcPr>
                <w:p w14:paraId="7CD7B0D9">
                  <w:pPr>
                    <w:pStyle w:val="67"/>
                    <w:rPr>
                      <w:b/>
                    </w:rPr>
                  </w:pPr>
                  <w:r>
                    <w:rPr>
                      <w:b/>
                    </w:rPr>
                    <w:t>排放方式</w:t>
                  </w:r>
                </w:p>
              </w:tc>
              <w:tc>
                <w:tcPr>
                  <w:tcW w:w="552" w:type="dxa"/>
                  <w:tcBorders>
                    <w:tl2br w:val="nil"/>
                    <w:tr2bl w:val="nil"/>
                  </w:tcBorders>
                  <w:vAlign w:val="center"/>
                </w:tcPr>
                <w:p w14:paraId="3491C6EB">
                  <w:pPr>
                    <w:pStyle w:val="67"/>
                  </w:pPr>
                  <w:r>
                    <w:rPr>
                      <w:b/>
                    </w:rPr>
                    <w:t>排放去向</w:t>
                  </w:r>
                </w:p>
              </w:tc>
              <w:tc>
                <w:tcPr>
                  <w:tcW w:w="665" w:type="dxa"/>
                  <w:tcBorders>
                    <w:tl2br w:val="nil"/>
                    <w:tr2bl w:val="nil"/>
                  </w:tcBorders>
                  <w:vAlign w:val="center"/>
                </w:tcPr>
                <w:p w14:paraId="7BC36979">
                  <w:pPr>
                    <w:pStyle w:val="67"/>
                    <w:rPr>
                      <w:b/>
                    </w:rPr>
                  </w:pPr>
                  <w:r>
                    <w:rPr>
                      <w:b/>
                    </w:rPr>
                    <w:t>排放规律</w:t>
                  </w:r>
                </w:p>
              </w:tc>
              <w:tc>
                <w:tcPr>
                  <w:tcW w:w="501" w:type="dxa"/>
                  <w:tcBorders>
                    <w:tl2br w:val="nil"/>
                    <w:tr2bl w:val="nil"/>
                  </w:tcBorders>
                  <w:vAlign w:val="center"/>
                </w:tcPr>
                <w:p w14:paraId="1FA205F2">
                  <w:pPr>
                    <w:pStyle w:val="67"/>
                    <w:rPr>
                      <w:b/>
                    </w:rPr>
                  </w:pPr>
                  <w:r>
                    <w:rPr>
                      <w:b/>
                    </w:rPr>
                    <w:t>排放口编号</w:t>
                  </w:r>
                </w:p>
              </w:tc>
              <w:tc>
                <w:tcPr>
                  <w:tcW w:w="884" w:type="dxa"/>
                  <w:tcBorders>
                    <w:tl2br w:val="nil"/>
                    <w:tr2bl w:val="nil"/>
                  </w:tcBorders>
                  <w:vAlign w:val="center"/>
                </w:tcPr>
                <w:p w14:paraId="030ADC84">
                  <w:pPr>
                    <w:pStyle w:val="67"/>
                    <w:rPr>
                      <w:b/>
                    </w:rPr>
                  </w:pPr>
                  <w:r>
                    <w:rPr>
                      <w:b/>
                    </w:rPr>
                    <w:t>排放口坐标</w:t>
                  </w:r>
                </w:p>
              </w:tc>
              <w:tc>
                <w:tcPr>
                  <w:tcW w:w="589" w:type="dxa"/>
                  <w:tcBorders>
                    <w:tl2br w:val="nil"/>
                    <w:tr2bl w:val="nil"/>
                  </w:tcBorders>
                  <w:vAlign w:val="center"/>
                </w:tcPr>
                <w:p w14:paraId="63EB6803">
                  <w:pPr>
                    <w:pStyle w:val="67"/>
                    <w:rPr>
                      <w:b/>
                    </w:rPr>
                  </w:pPr>
                  <w:r>
                    <w:rPr>
                      <w:b/>
                    </w:rPr>
                    <w:t>排放口设置是否符合要求</w:t>
                  </w:r>
                </w:p>
              </w:tc>
              <w:tc>
                <w:tcPr>
                  <w:tcW w:w="1105" w:type="dxa"/>
                  <w:tcBorders>
                    <w:tl2br w:val="nil"/>
                    <w:tr2bl w:val="nil"/>
                  </w:tcBorders>
                  <w:vAlign w:val="center"/>
                </w:tcPr>
                <w:p w14:paraId="4D60C617">
                  <w:pPr>
                    <w:pStyle w:val="67"/>
                  </w:pPr>
                  <w:r>
                    <w:rPr>
                      <w:b/>
                    </w:rPr>
                    <w:t>排放口类型</w:t>
                  </w:r>
                </w:p>
              </w:tc>
              <w:tc>
                <w:tcPr>
                  <w:tcW w:w="1857" w:type="dxa"/>
                  <w:gridSpan w:val="2"/>
                  <w:tcBorders>
                    <w:tl2br w:val="nil"/>
                    <w:tr2bl w:val="nil"/>
                  </w:tcBorders>
                  <w:vAlign w:val="center"/>
                </w:tcPr>
                <w:p w14:paraId="788A55F0">
                  <w:pPr>
                    <w:pStyle w:val="67"/>
                    <w:rPr>
                      <w:b/>
                    </w:rPr>
                  </w:pPr>
                  <w:r>
                    <w:rPr>
                      <w:b/>
                    </w:rPr>
                    <w:t>排放标准mg/L</w:t>
                  </w:r>
                </w:p>
              </w:tc>
            </w:tr>
            <w:tr w14:paraId="7D06FE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vMerge w:val="restart"/>
                  <w:tcBorders>
                    <w:tl2br w:val="nil"/>
                    <w:tr2bl w:val="nil"/>
                  </w:tcBorders>
                  <w:vAlign w:val="center"/>
                </w:tcPr>
                <w:p w14:paraId="67BE5A30">
                  <w:pPr>
                    <w:pStyle w:val="59"/>
                    <w:adjustRightInd w:val="0"/>
                    <w:snapToGrid w:val="0"/>
                    <w:spacing w:line="240" w:lineRule="auto"/>
                    <w:ind w:firstLine="0" w:firstLineChars="0"/>
                    <w:jc w:val="center"/>
                    <w:rPr>
                      <w:sz w:val="21"/>
                      <w:szCs w:val="21"/>
                    </w:rPr>
                  </w:pPr>
                  <w:r>
                    <w:rPr>
                      <w:sz w:val="21"/>
                      <w:szCs w:val="21"/>
                    </w:rPr>
                    <w:t>1</w:t>
                  </w:r>
                </w:p>
              </w:tc>
              <w:tc>
                <w:tcPr>
                  <w:tcW w:w="740" w:type="dxa"/>
                  <w:vMerge w:val="restart"/>
                  <w:tcBorders>
                    <w:tl2br w:val="nil"/>
                    <w:tr2bl w:val="nil"/>
                  </w:tcBorders>
                  <w:vAlign w:val="center"/>
                </w:tcPr>
                <w:p w14:paraId="1C635FC3">
                  <w:pPr>
                    <w:pStyle w:val="59"/>
                    <w:adjustRightInd w:val="0"/>
                    <w:snapToGrid w:val="0"/>
                    <w:spacing w:line="240" w:lineRule="auto"/>
                    <w:ind w:firstLine="0" w:firstLineChars="0"/>
                    <w:jc w:val="center"/>
                    <w:rPr>
                      <w:sz w:val="21"/>
                      <w:szCs w:val="21"/>
                    </w:rPr>
                  </w:pPr>
                  <w:r>
                    <w:rPr>
                      <w:sz w:val="21"/>
                      <w:szCs w:val="21"/>
                    </w:rPr>
                    <w:t>生活污水</w:t>
                  </w:r>
                </w:p>
              </w:tc>
              <w:tc>
                <w:tcPr>
                  <w:tcW w:w="695" w:type="dxa"/>
                  <w:tcBorders>
                    <w:tl2br w:val="nil"/>
                    <w:tr2bl w:val="nil"/>
                  </w:tcBorders>
                  <w:vAlign w:val="center"/>
                </w:tcPr>
                <w:p w14:paraId="34DBBF2F">
                  <w:pPr>
                    <w:pStyle w:val="59"/>
                    <w:adjustRightInd w:val="0"/>
                    <w:snapToGrid w:val="0"/>
                    <w:spacing w:line="240" w:lineRule="auto"/>
                    <w:ind w:firstLine="0" w:firstLineChars="0"/>
                    <w:jc w:val="center"/>
                    <w:rPr>
                      <w:sz w:val="21"/>
                      <w:szCs w:val="21"/>
                    </w:rPr>
                  </w:pPr>
                  <w:r>
                    <w:rPr>
                      <w:sz w:val="21"/>
                      <w:szCs w:val="21"/>
                    </w:rPr>
                    <w:t>COD</w:t>
                  </w:r>
                </w:p>
              </w:tc>
              <w:tc>
                <w:tcPr>
                  <w:tcW w:w="573" w:type="dxa"/>
                  <w:tcBorders>
                    <w:tl2br w:val="nil"/>
                    <w:tr2bl w:val="nil"/>
                  </w:tcBorders>
                  <w:vAlign w:val="center"/>
                </w:tcPr>
                <w:p w14:paraId="5D4A0EEB">
                  <w:pPr>
                    <w:snapToGrid w:val="0"/>
                    <w:jc w:val="center"/>
                    <w:rPr>
                      <w:szCs w:val="21"/>
                    </w:rPr>
                  </w:pPr>
                  <w:r>
                    <w:rPr>
                      <w:szCs w:val="21"/>
                    </w:rPr>
                    <w:t>300</w:t>
                  </w:r>
                </w:p>
              </w:tc>
              <w:tc>
                <w:tcPr>
                  <w:tcW w:w="436" w:type="dxa"/>
                  <w:vMerge w:val="restart"/>
                  <w:tcBorders>
                    <w:tl2br w:val="nil"/>
                    <w:tr2bl w:val="nil"/>
                  </w:tcBorders>
                  <w:vAlign w:val="center"/>
                </w:tcPr>
                <w:p w14:paraId="6E3E0DA3">
                  <w:pPr>
                    <w:pStyle w:val="59"/>
                    <w:adjustRightInd w:val="0"/>
                    <w:snapToGrid w:val="0"/>
                    <w:spacing w:line="240" w:lineRule="auto"/>
                    <w:ind w:firstLine="0" w:firstLineChars="0"/>
                    <w:jc w:val="center"/>
                    <w:rPr>
                      <w:sz w:val="21"/>
                      <w:szCs w:val="21"/>
                    </w:rPr>
                  </w:pPr>
                  <w:r>
                    <w:rPr>
                      <w:sz w:val="21"/>
                      <w:szCs w:val="21"/>
                    </w:rPr>
                    <w:t>间接排放</w:t>
                  </w:r>
                </w:p>
              </w:tc>
              <w:tc>
                <w:tcPr>
                  <w:tcW w:w="552" w:type="dxa"/>
                  <w:vMerge w:val="restart"/>
                  <w:tcBorders>
                    <w:tl2br w:val="nil"/>
                    <w:tr2bl w:val="nil"/>
                  </w:tcBorders>
                  <w:vAlign w:val="center"/>
                </w:tcPr>
                <w:p w14:paraId="7AD37E7A">
                  <w:pPr>
                    <w:pStyle w:val="59"/>
                    <w:adjustRightInd w:val="0"/>
                    <w:snapToGrid w:val="0"/>
                    <w:spacing w:line="240" w:lineRule="auto"/>
                    <w:ind w:firstLine="0" w:firstLineChars="0"/>
                    <w:jc w:val="center"/>
                    <w:rPr>
                      <w:sz w:val="21"/>
                      <w:szCs w:val="21"/>
                    </w:rPr>
                  </w:pPr>
                  <w:r>
                    <w:rPr>
                      <w:sz w:val="21"/>
                      <w:szCs w:val="21"/>
                    </w:rPr>
                    <w:t>排放至常州金坛区第二污水处理有限公司</w:t>
                  </w:r>
                </w:p>
              </w:tc>
              <w:tc>
                <w:tcPr>
                  <w:tcW w:w="665" w:type="dxa"/>
                  <w:vMerge w:val="restart"/>
                  <w:tcBorders>
                    <w:tl2br w:val="nil"/>
                    <w:tr2bl w:val="nil"/>
                  </w:tcBorders>
                  <w:vAlign w:val="center"/>
                </w:tcPr>
                <w:p w14:paraId="7DB32D2D">
                  <w:pPr>
                    <w:pStyle w:val="59"/>
                    <w:adjustRightInd w:val="0"/>
                    <w:snapToGrid w:val="0"/>
                    <w:spacing w:line="240" w:lineRule="auto"/>
                    <w:ind w:firstLine="0" w:firstLineChars="0"/>
                    <w:jc w:val="center"/>
                    <w:rPr>
                      <w:sz w:val="21"/>
                      <w:szCs w:val="21"/>
                    </w:rPr>
                  </w:pPr>
                  <w:r>
                    <w:rPr>
                      <w:sz w:val="21"/>
                      <w:szCs w:val="21"/>
                    </w:rPr>
                    <w:t>间断排放，流量不稳定</w:t>
                  </w:r>
                </w:p>
              </w:tc>
              <w:tc>
                <w:tcPr>
                  <w:tcW w:w="501" w:type="dxa"/>
                  <w:vMerge w:val="restart"/>
                  <w:tcBorders>
                    <w:tl2br w:val="nil"/>
                    <w:tr2bl w:val="nil"/>
                  </w:tcBorders>
                  <w:vAlign w:val="center"/>
                </w:tcPr>
                <w:p w14:paraId="649E9128">
                  <w:pPr>
                    <w:pStyle w:val="59"/>
                    <w:adjustRightInd w:val="0"/>
                    <w:snapToGrid w:val="0"/>
                    <w:spacing w:line="240" w:lineRule="auto"/>
                    <w:ind w:firstLine="0" w:firstLineChars="0"/>
                    <w:jc w:val="center"/>
                    <w:rPr>
                      <w:sz w:val="21"/>
                      <w:szCs w:val="21"/>
                    </w:rPr>
                  </w:pPr>
                  <w:r>
                    <w:rPr>
                      <w:sz w:val="21"/>
                      <w:szCs w:val="21"/>
                    </w:rPr>
                    <w:t>DW001</w:t>
                  </w:r>
                </w:p>
              </w:tc>
              <w:tc>
                <w:tcPr>
                  <w:tcW w:w="884" w:type="dxa"/>
                  <w:vMerge w:val="restart"/>
                  <w:tcBorders>
                    <w:tl2br w:val="nil"/>
                    <w:tr2bl w:val="nil"/>
                  </w:tcBorders>
                  <w:vAlign w:val="center"/>
                </w:tcPr>
                <w:p w14:paraId="543A9BC7">
                  <w:pPr>
                    <w:pStyle w:val="59"/>
                    <w:adjustRightInd w:val="0"/>
                    <w:snapToGrid w:val="0"/>
                    <w:spacing w:line="240" w:lineRule="auto"/>
                    <w:ind w:firstLine="0" w:firstLineChars="0"/>
                    <w:jc w:val="center"/>
                    <w:rPr>
                      <w:sz w:val="21"/>
                      <w:szCs w:val="21"/>
                    </w:rPr>
                  </w:pPr>
                  <w:r>
                    <w:rPr>
                      <w:sz w:val="21"/>
                      <w:szCs w:val="21"/>
                    </w:rPr>
                    <w:t>E119</w:t>
                  </w:r>
                  <w:bookmarkStart w:id="131" w:name="OLE_LINK207"/>
                  <w:bookmarkStart w:id="132" w:name="OLE_LINK206"/>
                  <w:r>
                    <w:rPr>
                      <w:rFonts w:hint="eastAsia"/>
                      <w:sz w:val="21"/>
                      <w:szCs w:val="21"/>
                    </w:rPr>
                    <w:t>.632966</w:t>
                  </w:r>
                  <w:r>
                    <w:rPr>
                      <w:rFonts w:hint="eastAsia" w:ascii="宋体" w:hAnsi="宋体"/>
                      <w:sz w:val="21"/>
                      <w:szCs w:val="21"/>
                    </w:rPr>
                    <w:t>°</w:t>
                  </w:r>
                  <w:bookmarkEnd w:id="131"/>
                  <w:bookmarkEnd w:id="132"/>
                </w:p>
                <w:p w14:paraId="752C7D89">
                  <w:pPr>
                    <w:pStyle w:val="59"/>
                    <w:adjustRightInd w:val="0"/>
                    <w:snapToGrid w:val="0"/>
                    <w:spacing w:line="240" w:lineRule="auto"/>
                    <w:ind w:firstLine="0" w:firstLineChars="0"/>
                    <w:jc w:val="center"/>
                    <w:rPr>
                      <w:sz w:val="21"/>
                      <w:szCs w:val="21"/>
                    </w:rPr>
                  </w:pPr>
                  <w:r>
                    <w:rPr>
                      <w:sz w:val="21"/>
                      <w:szCs w:val="21"/>
                    </w:rPr>
                    <w:t>N</w:t>
                  </w:r>
                  <w:r>
                    <w:rPr>
                      <w:kern w:val="18"/>
                      <w:sz w:val="21"/>
                      <w:szCs w:val="21"/>
                    </w:rPr>
                    <w:t>31.</w:t>
                  </w:r>
                  <w:r>
                    <w:rPr>
                      <w:rFonts w:hint="eastAsia"/>
                      <w:kern w:val="18"/>
                      <w:sz w:val="21"/>
                      <w:szCs w:val="21"/>
                    </w:rPr>
                    <w:t>669236</w:t>
                  </w:r>
                  <w:r>
                    <w:rPr>
                      <w:rFonts w:hint="eastAsia" w:ascii="宋体" w:hAnsi="宋体"/>
                      <w:sz w:val="21"/>
                      <w:szCs w:val="21"/>
                    </w:rPr>
                    <w:t>°</w:t>
                  </w:r>
                </w:p>
              </w:tc>
              <w:tc>
                <w:tcPr>
                  <w:tcW w:w="589" w:type="dxa"/>
                  <w:vMerge w:val="restart"/>
                  <w:tcBorders>
                    <w:tl2br w:val="nil"/>
                    <w:tr2bl w:val="nil"/>
                  </w:tcBorders>
                  <w:vAlign w:val="center"/>
                </w:tcPr>
                <w:p w14:paraId="20C14A91">
                  <w:pPr>
                    <w:pStyle w:val="59"/>
                    <w:adjustRightInd w:val="0"/>
                    <w:snapToGrid w:val="0"/>
                    <w:spacing w:line="240" w:lineRule="auto"/>
                    <w:ind w:firstLine="0" w:firstLineChars="0"/>
                    <w:jc w:val="center"/>
                    <w:rPr>
                      <w:sz w:val="21"/>
                      <w:szCs w:val="21"/>
                    </w:rPr>
                  </w:pPr>
                  <w:r>
                    <w:rPr>
                      <w:sz w:val="21"/>
                      <w:szCs w:val="21"/>
                    </w:rPr>
                    <w:t>是</w:t>
                  </w:r>
                  <w:r>
                    <w:rPr>
                      <w:sz w:val="21"/>
                      <w:szCs w:val="21"/>
                    </w:rPr>
                    <w:sym w:font="Wingdings 2" w:char="0052"/>
                  </w:r>
                </w:p>
                <w:p w14:paraId="684DB564">
                  <w:pPr>
                    <w:pStyle w:val="59"/>
                    <w:adjustRightInd w:val="0"/>
                    <w:snapToGrid w:val="0"/>
                    <w:spacing w:line="240" w:lineRule="auto"/>
                    <w:ind w:firstLine="0" w:firstLineChars="0"/>
                    <w:jc w:val="center"/>
                    <w:rPr>
                      <w:sz w:val="21"/>
                      <w:szCs w:val="21"/>
                    </w:rPr>
                  </w:pPr>
                  <w:r>
                    <w:rPr>
                      <w:sz w:val="21"/>
                      <w:szCs w:val="21"/>
                    </w:rPr>
                    <w:t>否</w:t>
                  </w:r>
                  <w:r>
                    <w:rPr>
                      <w:sz w:val="21"/>
                      <w:szCs w:val="21"/>
                    </w:rPr>
                    <w:sym w:font="Wingdings 2" w:char="00A3"/>
                  </w:r>
                </w:p>
              </w:tc>
              <w:tc>
                <w:tcPr>
                  <w:tcW w:w="1105" w:type="dxa"/>
                  <w:vMerge w:val="restart"/>
                  <w:tcBorders>
                    <w:tl2br w:val="nil"/>
                    <w:tr2bl w:val="nil"/>
                  </w:tcBorders>
                  <w:vAlign w:val="center"/>
                </w:tcPr>
                <w:p w14:paraId="3271BFE9">
                  <w:pPr>
                    <w:pStyle w:val="59"/>
                    <w:adjustRightInd w:val="0"/>
                    <w:snapToGrid w:val="0"/>
                    <w:spacing w:line="240" w:lineRule="auto"/>
                    <w:ind w:firstLine="0" w:firstLineChars="0"/>
                    <w:jc w:val="center"/>
                    <w:rPr>
                      <w:sz w:val="21"/>
                      <w:szCs w:val="21"/>
                    </w:rPr>
                  </w:pPr>
                  <w:r>
                    <w:rPr>
                      <w:sz w:val="21"/>
                      <w:szCs w:val="21"/>
                    </w:rPr>
                    <w:sym w:font="Wingdings 2" w:char="0052"/>
                  </w:r>
                  <w:r>
                    <w:rPr>
                      <w:sz w:val="21"/>
                      <w:szCs w:val="21"/>
                    </w:rPr>
                    <w:t>企业总排</w:t>
                  </w:r>
                </w:p>
                <w:p w14:paraId="0B5D793F">
                  <w:pPr>
                    <w:pStyle w:val="59"/>
                    <w:adjustRightInd w:val="0"/>
                    <w:snapToGrid w:val="0"/>
                    <w:spacing w:line="240" w:lineRule="auto"/>
                    <w:ind w:firstLine="0" w:firstLineChars="0"/>
                    <w:jc w:val="center"/>
                    <w:rPr>
                      <w:sz w:val="21"/>
                      <w:szCs w:val="21"/>
                    </w:rPr>
                  </w:pPr>
                  <w:r>
                    <w:rPr>
                      <w:sz w:val="21"/>
                      <w:szCs w:val="21"/>
                    </w:rPr>
                    <w:t>□雨水排放</w:t>
                  </w:r>
                </w:p>
                <w:p w14:paraId="38D7C2EA">
                  <w:pPr>
                    <w:pStyle w:val="59"/>
                    <w:adjustRightInd w:val="0"/>
                    <w:snapToGrid w:val="0"/>
                    <w:spacing w:line="240" w:lineRule="auto"/>
                    <w:ind w:firstLine="0" w:firstLineChars="0"/>
                    <w:jc w:val="center"/>
                    <w:rPr>
                      <w:sz w:val="21"/>
                      <w:szCs w:val="21"/>
                    </w:rPr>
                  </w:pPr>
                  <w:r>
                    <w:rPr>
                      <w:sz w:val="21"/>
                      <w:szCs w:val="21"/>
                    </w:rPr>
                    <w:t>□清净下水排放</w:t>
                  </w:r>
                </w:p>
                <w:p w14:paraId="16131BE8">
                  <w:pPr>
                    <w:pStyle w:val="59"/>
                    <w:adjustRightInd w:val="0"/>
                    <w:snapToGrid w:val="0"/>
                    <w:spacing w:line="240" w:lineRule="auto"/>
                    <w:ind w:firstLine="0" w:firstLineChars="0"/>
                    <w:jc w:val="center"/>
                    <w:rPr>
                      <w:sz w:val="21"/>
                      <w:szCs w:val="21"/>
                    </w:rPr>
                  </w:pPr>
                  <w:r>
                    <w:rPr>
                      <w:sz w:val="21"/>
                      <w:szCs w:val="21"/>
                    </w:rPr>
                    <w:t>□温排水排放</w:t>
                  </w:r>
                </w:p>
                <w:p w14:paraId="020D73A4">
                  <w:pPr>
                    <w:pStyle w:val="59"/>
                    <w:adjustRightInd w:val="0"/>
                    <w:snapToGrid w:val="0"/>
                    <w:spacing w:line="240" w:lineRule="auto"/>
                    <w:ind w:firstLine="0" w:firstLineChars="0"/>
                    <w:jc w:val="center"/>
                    <w:rPr>
                      <w:sz w:val="21"/>
                      <w:szCs w:val="21"/>
                    </w:rPr>
                  </w:pPr>
                  <w:r>
                    <w:rPr>
                      <w:sz w:val="21"/>
                      <w:szCs w:val="21"/>
                    </w:rPr>
                    <w:t>□车间或车间处理系统排放口</w:t>
                  </w:r>
                </w:p>
              </w:tc>
              <w:tc>
                <w:tcPr>
                  <w:tcW w:w="573" w:type="dxa"/>
                  <w:tcBorders>
                    <w:tl2br w:val="nil"/>
                    <w:tr2bl w:val="nil"/>
                  </w:tcBorders>
                  <w:vAlign w:val="center"/>
                </w:tcPr>
                <w:p w14:paraId="43529CE1">
                  <w:pPr>
                    <w:pStyle w:val="59"/>
                    <w:adjustRightInd w:val="0"/>
                    <w:snapToGrid w:val="0"/>
                    <w:spacing w:line="240" w:lineRule="auto"/>
                    <w:ind w:firstLine="0" w:firstLineChars="0"/>
                    <w:jc w:val="center"/>
                    <w:rPr>
                      <w:sz w:val="21"/>
                      <w:szCs w:val="21"/>
                    </w:rPr>
                  </w:pPr>
                  <w:r>
                    <w:rPr>
                      <w:sz w:val="21"/>
                      <w:szCs w:val="21"/>
                    </w:rPr>
                    <w:t>300</w:t>
                  </w:r>
                </w:p>
              </w:tc>
              <w:tc>
                <w:tcPr>
                  <w:tcW w:w="1284" w:type="dxa"/>
                  <w:vMerge w:val="restart"/>
                  <w:tcBorders>
                    <w:tl2br w:val="nil"/>
                    <w:tr2bl w:val="nil"/>
                  </w:tcBorders>
                  <w:vAlign w:val="center"/>
                </w:tcPr>
                <w:p w14:paraId="605609E3">
                  <w:pPr>
                    <w:pStyle w:val="59"/>
                    <w:adjustRightInd w:val="0"/>
                    <w:snapToGrid w:val="0"/>
                    <w:spacing w:line="240" w:lineRule="auto"/>
                    <w:ind w:firstLine="0" w:firstLineChars="0"/>
                    <w:jc w:val="center"/>
                    <w:rPr>
                      <w:sz w:val="21"/>
                      <w:szCs w:val="21"/>
                    </w:rPr>
                  </w:pPr>
                  <w:bookmarkStart w:id="133" w:name="OLE_LINK201"/>
                  <w:bookmarkStart w:id="134" w:name="OLE_LINK202"/>
                  <w:r>
                    <w:rPr>
                      <w:sz w:val="21"/>
                      <w:szCs w:val="21"/>
                    </w:rPr>
                    <w:t>《橡胶制品工业污染物排放标准》（GB27632-2011）</w:t>
                  </w:r>
                  <w:bookmarkEnd w:id="133"/>
                  <w:bookmarkEnd w:id="134"/>
                </w:p>
              </w:tc>
            </w:tr>
            <w:tr w14:paraId="0F8C95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vMerge w:val="continue"/>
                  <w:tcBorders>
                    <w:tl2br w:val="nil"/>
                    <w:tr2bl w:val="nil"/>
                  </w:tcBorders>
                  <w:vAlign w:val="center"/>
                </w:tcPr>
                <w:p w14:paraId="0E158CEF">
                  <w:pPr>
                    <w:pStyle w:val="59"/>
                    <w:adjustRightInd w:val="0"/>
                    <w:snapToGrid w:val="0"/>
                    <w:spacing w:line="240" w:lineRule="auto"/>
                    <w:ind w:firstLine="0" w:firstLineChars="0"/>
                    <w:jc w:val="center"/>
                    <w:rPr>
                      <w:sz w:val="21"/>
                      <w:szCs w:val="21"/>
                    </w:rPr>
                  </w:pPr>
                </w:p>
              </w:tc>
              <w:tc>
                <w:tcPr>
                  <w:tcW w:w="740" w:type="dxa"/>
                  <w:vMerge w:val="continue"/>
                  <w:tcBorders>
                    <w:tl2br w:val="nil"/>
                    <w:tr2bl w:val="nil"/>
                  </w:tcBorders>
                  <w:vAlign w:val="center"/>
                </w:tcPr>
                <w:p w14:paraId="173E385F">
                  <w:pPr>
                    <w:pStyle w:val="59"/>
                    <w:adjustRightInd w:val="0"/>
                    <w:snapToGrid w:val="0"/>
                    <w:spacing w:line="240" w:lineRule="auto"/>
                    <w:ind w:firstLine="0" w:firstLineChars="0"/>
                    <w:jc w:val="center"/>
                    <w:rPr>
                      <w:sz w:val="21"/>
                      <w:szCs w:val="21"/>
                    </w:rPr>
                  </w:pPr>
                </w:p>
              </w:tc>
              <w:tc>
                <w:tcPr>
                  <w:tcW w:w="695" w:type="dxa"/>
                  <w:tcBorders>
                    <w:tl2br w:val="nil"/>
                    <w:tr2bl w:val="nil"/>
                  </w:tcBorders>
                  <w:vAlign w:val="center"/>
                </w:tcPr>
                <w:p w14:paraId="5229E5D8">
                  <w:pPr>
                    <w:pStyle w:val="59"/>
                    <w:adjustRightInd w:val="0"/>
                    <w:snapToGrid w:val="0"/>
                    <w:spacing w:line="240" w:lineRule="auto"/>
                    <w:ind w:firstLine="0" w:firstLineChars="0"/>
                    <w:jc w:val="center"/>
                    <w:rPr>
                      <w:sz w:val="21"/>
                      <w:szCs w:val="21"/>
                    </w:rPr>
                  </w:pPr>
                  <w:r>
                    <w:rPr>
                      <w:sz w:val="21"/>
                      <w:szCs w:val="21"/>
                    </w:rPr>
                    <w:t>SS</w:t>
                  </w:r>
                </w:p>
              </w:tc>
              <w:tc>
                <w:tcPr>
                  <w:tcW w:w="573" w:type="dxa"/>
                  <w:tcBorders>
                    <w:tl2br w:val="nil"/>
                    <w:tr2bl w:val="nil"/>
                  </w:tcBorders>
                  <w:vAlign w:val="center"/>
                </w:tcPr>
                <w:p w14:paraId="53656765">
                  <w:pPr>
                    <w:snapToGrid w:val="0"/>
                    <w:jc w:val="center"/>
                    <w:rPr>
                      <w:szCs w:val="21"/>
                    </w:rPr>
                  </w:pPr>
                  <w:r>
                    <w:rPr>
                      <w:szCs w:val="21"/>
                    </w:rPr>
                    <w:t>150</w:t>
                  </w:r>
                </w:p>
              </w:tc>
              <w:tc>
                <w:tcPr>
                  <w:tcW w:w="436" w:type="dxa"/>
                  <w:vMerge w:val="continue"/>
                  <w:tcBorders>
                    <w:tl2br w:val="nil"/>
                    <w:tr2bl w:val="nil"/>
                  </w:tcBorders>
                  <w:vAlign w:val="center"/>
                </w:tcPr>
                <w:p w14:paraId="7F996EC1">
                  <w:pPr>
                    <w:pStyle w:val="59"/>
                    <w:adjustRightInd w:val="0"/>
                    <w:snapToGrid w:val="0"/>
                    <w:spacing w:line="240" w:lineRule="auto"/>
                    <w:ind w:firstLine="0" w:firstLineChars="0"/>
                    <w:jc w:val="center"/>
                    <w:rPr>
                      <w:sz w:val="21"/>
                      <w:szCs w:val="21"/>
                    </w:rPr>
                  </w:pPr>
                </w:p>
              </w:tc>
              <w:tc>
                <w:tcPr>
                  <w:tcW w:w="552" w:type="dxa"/>
                  <w:vMerge w:val="continue"/>
                  <w:tcBorders>
                    <w:tl2br w:val="nil"/>
                    <w:tr2bl w:val="nil"/>
                  </w:tcBorders>
                  <w:vAlign w:val="center"/>
                </w:tcPr>
                <w:p w14:paraId="5CCADABB">
                  <w:pPr>
                    <w:pStyle w:val="59"/>
                    <w:adjustRightInd w:val="0"/>
                    <w:snapToGrid w:val="0"/>
                    <w:spacing w:line="240" w:lineRule="auto"/>
                    <w:ind w:firstLine="0" w:firstLineChars="0"/>
                    <w:jc w:val="center"/>
                    <w:rPr>
                      <w:sz w:val="21"/>
                      <w:szCs w:val="21"/>
                    </w:rPr>
                  </w:pPr>
                </w:p>
              </w:tc>
              <w:tc>
                <w:tcPr>
                  <w:tcW w:w="665" w:type="dxa"/>
                  <w:vMerge w:val="continue"/>
                  <w:tcBorders>
                    <w:tl2br w:val="nil"/>
                    <w:tr2bl w:val="nil"/>
                  </w:tcBorders>
                  <w:vAlign w:val="center"/>
                </w:tcPr>
                <w:p w14:paraId="35F228AE">
                  <w:pPr>
                    <w:pStyle w:val="59"/>
                    <w:adjustRightInd w:val="0"/>
                    <w:snapToGrid w:val="0"/>
                    <w:spacing w:line="240" w:lineRule="auto"/>
                    <w:ind w:firstLine="0" w:firstLineChars="0"/>
                    <w:jc w:val="center"/>
                    <w:rPr>
                      <w:sz w:val="21"/>
                      <w:szCs w:val="21"/>
                    </w:rPr>
                  </w:pPr>
                </w:p>
              </w:tc>
              <w:tc>
                <w:tcPr>
                  <w:tcW w:w="501" w:type="dxa"/>
                  <w:vMerge w:val="continue"/>
                  <w:tcBorders>
                    <w:tl2br w:val="nil"/>
                    <w:tr2bl w:val="nil"/>
                  </w:tcBorders>
                  <w:vAlign w:val="center"/>
                </w:tcPr>
                <w:p w14:paraId="3A16769E">
                  <w:pPr>
                    <w:pStyle w:val="59"/>
                    <w:adjustRightInd w:val="0"/>
                    <w:snapToGrid w:val="0"/>
                    <w:spacing w:line="240" w:lineRule="auto"/>
                    <w:ind w:firstLine="0" w:firstLineChars="0"/>
                    <w:jc w:val="center"/>
                    <w:rPr>
                      <w:sz w:val="21"/>
                      <w:szCs w:val="21"/>
                    </w:rPr>
                  </w:pPr>
                </w:p>
              </w:tc>
              <w:tc>
                <w:tcPr>
                  <w:tcW w:w="884" w:type="dxa"/>
                  <w:vMerge w:val="continue"/>
                  <w:tcBorders>
                    <w:tl2br w:val="nil"/>
                    <w:tr2bl w:val="nil"/>
                  </w:tcBorders>
                  <w:vAlign w:val="center"/>
                </w:tcPr>
                <w:p w14:paraId="59B58788">
                  <w:pPr>
                    <w:pStyle w:val="59"/>
                    <w:adjustRightInd w:val="0"/>
                    <w:snapToGrid w:val="0"/>
                    <w:spacing w:line="240" w:lineRule="auto"/>
                    <w:ind w:firstLine="0" w:firstLineChars="0"/>
                    <w:jc w:val="center"/>
                    <w:rPr>
                      <w:sz w:val="21"/>
                      <w:szCs w:val="21"/>
                    </w:rPr>
                  </w:pPr>
                </w:p>
              </w:tc>
              <w:tc>
                <w:tcPr>
                  <w:tcW w:w="589" w:type="dxa"/>
                  <w:vMerge w:val="continue"/>
                  <w:tcBorders>
                    <w:tl2br w:val="nil"/>
                    <w:tr2bl w:val="nil"/>
                  </w:tcBorders>
                  <w:vAlign w:val="center"/>
                </w:tcPr>
                <w:p w14:paraId="7C8B4BD1">
                  <w:pPr>
                    <w:pStyle w:val="59"/>
                    <w:adjustRightInd w:val="0"/>
                    <w:snapToGrid w:val="0"/>
                    <w:spacing w:line="240" w:lineRule="auto"/>
                    <w:ind w:firstLine="0" w:firstLineChars="0"/>
                    <w:jc w:val="center"/>
                    <w:rPr>
                      <w:sz w:val="21"/>
                      <w:szCs w:val="21"/>
                    </w:rPr>
                  </w:pPr>
                </w:p>
              </w:tc>
              <w:tc>
                <w:tcPr>
                  <w:tcW w:w="1105" w:type="dxa"/>
                  <w:vMerge w:val="continue"/>
                  <w:tcBorders>
                    <w:tl2br w:val="nil"/>
                    <w:tr2bl w:val="nil"/>
                  </w:tcBorders>
                  <w:vAlign w:val="center"/>
                </w:tcPr>
                <w:p w14:paraId="1F9B27FE">
                  <w:pPr>
                    <w:pStyle w:val="59"/>
                    <w:adjustRightInd w:val="0"/>
                    <w:snapToGrid w:val="0"/>
                    <w:spacing w:line="240" w:lineRule="auto"/>
                    <w:ind w:firstLine="0" w:firstLineChars="0"/>
                    <w:jc w:val="center"/>
                    <w:rPr>
                      <w:sz w:val="21"/>
                      <w:szCs w:val="21"/>
                    </w:rPr>
                  </w:pPr>
                </w:p>
              </w:tc>
              <w:tc>
                <w:tcPr>
                  <w:tcW w:w="573" w:type="dxa"/>
                  <w:tcBorders>
                    <w:tl2br w:val="nil"/>
                    <w:tr2bl w:val="nil"/>
                  </w:tcBorders>
                  <w:vAlign w:val="center"/>
                </w:tcPr>
                <w:p w14:paraId="608603D8">
                  <w:pPr>
                    <w:pStyle w:val="59"/>
                    <w:adjustRightInd w:val="0"/>
                    <w:snapToGrid w:val="0"/>
                    <w:spacing w:line="240" w:lineRule="auto"/>
                    <w:ind w:firstLine="0" w:firstLineChars="0"/>
                    <w:jc w:val="center"/>
                    <w:rPr>
                      <w:sz w:val="21"/>
                      <w:szCs w:val="21"/>
                    </w:rPr>
                  </w:pPr>
                  <w:r>
                    <w:rPr>
                      <w:sz w:val="21"/>
                      <w:szCs w:val="21"/>
                    </w:rPr>
                    <w:t>150</w:t>
                  </w:r>
                </w:p>
              </w:tc>
              <w:tc>
                <w:tcPr>
                  <w:tcW w:w="1284" w:type="dxa"/>
                  <w:vMerge w:val="continue"/>
                  <w:tcBorders>
                    <w:tl2br w:val="nil"/>
                    <w:tr2bl w:val="nil"/>
                  </w:tcBorders>
                  <w:vAlign w:val="center"/>
                </w:tcPr>
                <w:p w14:paraId="7A03F987">
                  <w:pPr>
                    <w:pStyle w:val="59"/>
                    <w:adjustRightInd w:val="0"/>
                    <w:snapToGrid w:val="0"/>
                    <w:spacing w:line="240" w:lineRule="auto"/>
                    <w:ind w:firstLine="0" w:firstLineChars="0"/>
                    <w:jc w:val="center"/>
                    <w:rPr>
                      <w:sz w:val="21"/>
                      <w:szCs w:val="21"/>
                    </w:rPr>
                  </w:pPr>
                </w:p>
              </w:tc>
            </w:tr>
            <w:tr w14:paraId="2E91E2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vMerge w:val="continue"/>
                  <w:tcBorders>
                    <w:tl2br w:val="nil"/>
                    <w:tr2bl w:val="nil"/>
                  </w:tcBorders>
                  <w:vAlign w:val="center"/>
                </w:tcPr>
                <w:p w14:paraId="44B27D26">
                  <w:pPr>
                    <w:pStyle w:val="59"/>
                    <w:adjustRightInd w:val="0"/>
                    <w:snapToGrid w:val="0"/>
                    <w:spacing w:line="240" w:lineRule="auto"/>
                    <w:ind w:firstLine="0" w:firstLineChars="0"/>
                    <w:jc w:val="center"/>
                    <w:rPr>
                      <w:sz w:val="21"/>
                      <w:szCs w:val="21"/>
                    </w:rPr>
                  </w:pPr>
                </w:p>
              </w:tc>
              <w:tc>
                <w:tcPr>
                  <w:tcW w:w="740" w:type="dxa"/>
                  <w:vMerge w:val="continue"/>
                  <w:tcBorders>
                    <w:tl2br w:val="nil"/>
                    <w:tr2bl w:val="nil"/>
                  </w:tcBorders>
                  <w:vAlign w:val="center"/>
                </w:tcPr>
                <w:p w14:paraId="7605BBFA">
                  <w:pPr>
                    <w:pStyle w:val="59"/>
                    <w:adjustRightInd w:val="0"/>
                    <w:snapToGrid w:val="0"/>
                    <w:spacing w:line="240" w:lineRule="auto"/>
                    <w:ind w:firstLine="0" w:firstLineChars="0"/>
                    <w:jc w:val="center"/>
                    <w:rPr>
                      <w:sz w:val="21"/>
                      <w:szCs w:val="21"/>
                    </w:rPr>
                  </w:pPr>
                </w:p>
              </w:tc>
              <w:tc>
                <w:tcPr>
                  <w:tcW w:w="695" w:type="dxa"/>
                  <w:tcBorders>
                    <w:tl2br w:val="nil"/>
                    <w:tr2bl w:val="nil"/>
                  </w:tcBorders>
                  <w:vAlign w:val="center"/>
                </w:tcPr>
                <w:p w14:paraId="08131394">
                  <w:pPr>
                    <w:pStyle w:val="59"/>
                    <w:adjustRightInd w:val="0"/>
                    <w:snapToGrid w:val="0"/>
                    <w:spacing w:line="240" w:lineRule="auto"/>
                    <w:ind w:firstLine="0" w:firstLineChars="0"/>
                    <w:jc w:val="center"/>
                    <w:rPr>
                      <w:sz w:val="21"/>
                      <w:szCs w:val="21"/>
                    </w:rPr>
                  </w:pPr>
                  <w:r>
                    <w:rPr>
                      <w:sz w:val="21"/>
                      <w:szCs w:val="21"/>
                    </w:rPr>
                    <w:t>氨氮</w:t>
                  </w:r>
                </w:p>
              </w:tc>
              <w:tc>
                <w:tcPr>
                  <w:tcW w:w="573" w:type="dxa"/>
                  <w:tcBorders>
                    <w:tl2br w:val="nil"/>
                    <w:tr2bl w:val="nil"/>
                  </w:tcBorders>
                  <w:vAlign w:val="center"/>
                </w:tcPr>
                <w:p w14:paraId="3C21A4F9">
                  <w:pPr>
                    <w:snapToGrid w:val="0"/>
                    <w:jc w:val="center"/>
                    <w:rPr>
                      <w:szCs w:val="21"/>
                    </w:rPr>
                  </w:pPr>
                  <w:r>
                    <w:rPr>
                      <w:szCs w:val="21"/>
                    </w:rPr>
                    <w:t>30</w:t>
                  </w:r>
                </w:p>
              </w:tc>
              <w:tc>
                <w:tcPr>
                  <w:tcW w:w="436" w:type="dxa"/>
                  <w:vMerge w:val="continue"/>
                  <w:tcBorders>
                    <w:tl2br w:val="nil"/>
                    <w:tr2bl w:val="nil"/>
                  </w:tcBorders>
                  <w:vAlign w:val="center"/>
                </w:tcPr>
                <w:p w14:paraId="7A704B5F">
                  <w:pPr>
                    <w:pStyle w:val="59"/>
                    <w:adjustRightInd w:val="0"/>
                    <w:snapToGrid w:val="0"/>
                    <w:spacing w:line="240" w:lineRule="auto"/>
                    <w:ind w:firstLine="0" w:firstLineChars="0"/>
                    <w:jc w:val="center"/>
                    <w:rPr>
                      <w:sz w:val="21"/>
                      <w:szCs w:val="21"/>
                    </w:rPr>
                  </w:pPr>
                </w:p>
              </w:tc>
              <w:tc>
                <w:tcPr>
                  <w:tcW w:w="552" w:type="dxa"/>
                  <w:vMerge w:val="continue"/>
                  <w:tcBorders>
                    <w:tl2br w:val="nil"/>
                    <w:tr2bl w:val="nil"/>
                  </w:tcBorders>
                  <w:vAlign w:val="center"/>
                </w:tcPr>
                <w:p w14:paraId="332779EA">
                  <w:pPr>
                    <w:pStyle w:val="59"/>
                    <w:adjustRightInd w:val="0"/>
                    <w:snapToGrid w:val="0"/>
                    <w:spacing w:line="240" w:lineRule="auto"/>
                    <w:ind w:firstLine="0" w:firstLineChars="0"/>
                    <w:jc w:val="center"/>
                    <w:rPr>
                      <w:sz w:val="21"/>
                      <w:szCs w:val="21"/>
                    </w:rPr>
                  </w:pPr>
                </w:p>
              </w:tc>
              <w:tc>
                <w:tcPr>
                  <w:tcW w:w="665" w:type="dxa"/>
                  <w:vMerge w:val="continue"/>
                  <w:tcBorders>
                    <w:tl2br w:val="nil"/>
                    <w:tr2bl w:val="nil"/>
                  </w:tcBorders>
                  <w:vAlign w:val="center"/>
                </w:tcPr>
                <w:p w14:paraId="4AE928EF">
                  <w:pPr>
                    <w:pStyle w:val="59"/>
                    <w:adjustRightInd w:val="0"/>
                    <w:snapToGrid w:val="0"/>
                    <w:spacing w:line="240" w:lineRule="auto"/>
                    <w:ind w:firstLine="0" w:firstLineChars="0"/>
                    <w:jc w:val="center"/>
                    <w:rPr>
                      <w:sz w:val="21"/>
                      <w:szCs w:val="21"/>
                    </w:rPr>
                  </w:pPr>
                </w:p>
              </w:tc>
              <w:tc>
                <w:tcPr>
                  <w:tcW w:w="501" w:type="dxa"/>
                  <w:vMerge w:val="continue"/>
                  <w:tcBorders>
                    <w:tl2br w:val="nil"/>
                    <w:tr2bl w:val="nil"/>
                  </w:tcBorders>
                  <w:vAlign w:val="center"/>
                </w:tcPr>
                <w:p w14:paraId="4A179D26">
                  <w:pPr>
                    <w:pStyle w:val="59"/>
                    <w:adjustRightInd w:val="0"/>
                    <w:snapToGrid w:val="0"/>
                    <w:spacing w:line="240" w:lineRule="auto"/>
                    <w:ind w:firstLine="0" w:firstLineChars="0"/>
                    <w:jc w:val="center"/>
                    <w:rPr>
                      <w:sz w:val="21"/>
                      <w:szCs w:val="21"/>
                    </w:rPr>
                  </w:pPr>
                </w:p>
              </w:tc>
              <w:tc>
                <w:tcPr>
                  <w:tcW w:w="884" w:type="dxa"/>
                  <w:vMerge w:val="continue"/>
                  <w:tcBorders>
                    <w:tl2br w:val="nil"/>
                    <w:tr2bl w:val="nil"/>
                  </w:tcBorders>
                  <w:vAlign w:val="center"/>
                </w:tcPr>
                <w:p w14:paraId="0273F86A">
                  <w:pPr>
                    <w:pStyle w:val="59"/>
                    <w:adjustRightInd w:val="0"/>
                    <w:snapToGrid w:val="0"/>
                    <w:spacing w:line="240" w:lineRule="auto"/>
                    <w:ind w:firstLine="0" w:firstLineChars="0"/>
                    <w:jc w:val="center"/>
                    <w:rPr>
                      <w:sz w:val="21"/>
                      <w:szCs w:val="21"/>
                    </w:rPr>
                  </w:pPr>
                </w:p>
              </w:tc>
              <w:tc>
                <w:tcPr>
                  <w:tcW w:w="589" w:type="dxa"/>
                  <w:vMerge w:val="continue"/>
                  <w:tcBorders>
                    <w:tl2br w:val="nil"/>
                    <w:tr2bl w:val="nil"/>
                  </w:tcBorders>
                  <w:vAlign w:val="center"/>
                </w:tcPr>
                <w:p w14:paraId="59FFFF19">
                  <w:pPr>
                    <w:pStyle w:val="59"/>
                    <w:adjustRightInd w:val="0"/>
                    <w:snapToGrid w:val="0"/>
                    <w:spacing w:line="240" w:lineRule="auto"/>
                    <w:ind w:firstLine="0" w:firstLineChars="0"/>
                    <w:jc w:val="center"/>
                    <w:rPr>
                      <w:sz w:val="21"/>
                      <w:szCs w:val="21"/>
                    </w:rPr>
                  </w:pPr>
                </w:p>
              </w:tc>
              <w:tc>
                <w:tcPr>
                  <w:tcW w:w="1105" w:type="dxa"/>
                  <w:vMerge w:val="continue"/>
                  <w:tcBorders>
                    <w:tl2br w:val="nil"/>
                    <w:tr2bl w:val="nil"/>
                  </w:tcBorders>
                  <w:vAlign w:val="center"/>
                </w:tcPr>
                <w:p w14:paraId="2A2F4C7A">
                  <w:pPr>
                    <w:pStyle w:val="59"/>
                    <w:adjustRightInd w:val="0"/>
                    <w:snapToGrid w:val="0"/>
                    <w:spacing w:line="240" w:lineRule="auto"/>
                    <w:ind w:firstLine="0" w:firstLineChars="0"/>
                    <w:jc w:val="center"/>
                    <w:rPr>
                      <w:sz w:val="21"/>
                      <w:szCs w:val="21"/>
                    </w:rPr>
                  </w:pPr>
                </w:p>
              </w:tc>
              <w:tc>
                <w:tcPr>
                  <w:tcW w:w="573" w:type="dxa"/>
                  <w:tcBorders>
                    <w:tl2br w:val="nil"/>
                    <w:tr2bl w:val="nil"/>
                  </w:tcBorders>
                  <w:vAlign w:val="center"/>
                </w:tcPr>
                <w:p w14:paraId="1AF5F2E8">
                  <w:pPr>
                    <w:pStyle w:val="59"/>
                    <w:adjustRightInd w:val="0"/>
                    <w:snapToGrid w:val="0"/>
                    <w:spacing w:line="240" w:lineRule="auto"/>
                    <w:ind w:firstLine="0" w:firstLineChars="0"/>
                    <w:jc w:val="center"/>
                    <w:rPr>
                      <w:sz w:val="21"/>
                      <w:szCs w:val="21"/>
                    </w:rPr>
                  </w:pPr>
                  <w:r>
                    <w:rPr>
                      <w:sz w:val="21"/>
                      <w:szCs w:val="21"/>
                    </w:rPr>
                    <w:t>30</w:t>
                  </w:r>
                </w:p>
              </w:tc>
              <w:tc>
                <w:tcPr>
                  <w:tcW w:w="1284" w:type="dxa"/>
                  <w:vMerge w:val="continue"/>
                  <w:tcBorders>
                    <w:tl2br w:val="nil"/>
                    <w:tr2bl w:val="nil"/>
                  </w:tcBorders>
                  <w:vAlign w:val="center"/>
                </w:tcPr>
                <w:p w14:paraId="7840C1A0">
                  <w:pPr>
                    <w:pStyle w:val="59"/>
                    <w:adjustRightInd w:val="0"/>
                    <w:snapToGrid w:val="0"/>
                    <w:spacing w:line="240" w:lineRule="auto"/>
                    <w:ind w:firstLine="0" w:firstLineChars="0"/>
                    <w:jc w:val="center"/>
                    <w:rPr>
                      <w:sz w:val="21"/>
                      <w:szCs w:val="21"/>
                    </w:rPr>
                  </w:pPr>
                </w:p>
              </w:tc>
            </w:tr>
            <w:tr w14:paraId="3B5178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vMerge w:val="continue"/>
                  <w:tcBorders>
                    <w:tl2br w:val="nil"/>
                    <w:tr2bl w:val="nil"/>
                  </w:tcBorders>
                  <w:vAlign w:val="center"/>
                </w:tcPr>
                <w:p w14:paraId="4BFC3205">
                  <w:pPr>
                    <w:pStyle w:val="59"/>
                    <w:adjustRightInd w:val="0"/>
                    <w:snapToGrid w:val="0"/>
                    <w:spacing w:line="240" w:lineRule="auto"/>
                    <w:ind w:firstLine="0" w:firstLineChars="0"/>
                    <w:jc w:val="center"/>
                    <w:rPr>
                      <w:sz w:val="21"/>
                      <w:szCs w:val="21"/>
                    </w:rPr>
                  </w:pPr>
                </w:p>
              </w:tc>
              <w:tc>
                <w:tcPr>
                  <w:tcW w:w="740" w:type="dxa"/>
                  <w:vMerge w:val="continue"/>
                  <w:tcBorders>
                    <w:tl2br w:val="nil"/>
                    <w:tr2bl w:val="nil"/>
                  </w:tcBorders>
                  <w:vAlign w:val="center"/>
                </w:tcPr>
                <w:p w14:paraId="0691DBE6">
                  <w:pPr>
                    <w:pStyle w:val="59"/>
                    <w:adjustRightInd w:val="0"/>
                    <w:snapToGrid w:val="0"/>
                    <w:spacing w:line="240" w:lineRule="auto"/>
                    <w:ind w:firstLine="0" w:firstLineChars="0"/>
                    <w:jc w:val="center"/>
                    <w:rPr>
                      <w:sz w:val="21"/>
                      <w:szCs w:val="21"/>
                    </w:rPr>
                  </w:pPr>
                </w:p>
              </w:tc>
              <w:tc>
                <w:tcPr>
                  <w:tcW w:w="695" w:type="dxa"/>
                  <w:tcBorders>
                    <w:tl2br w:val="nil"/>
                    <w:tr2bl w:val="nil"/>
                  </w:tcBorders>
                  <w:vAlign w:val="center"/>
                </w:tcPr>
                <w:p w14:paraId="732699EB">
                  <w:pPr>
                    <w:pStyle w:val="59"/>
                    <w:adjustRightInd w:val="0"/>
                    <w:snapToGrid w:val="0"/>
                    <w:spacing w:line="240" w:lineRule="auto"/>
                    <w:ind w:firstLine="0" w:firstLineChars="0"/>
                    <w:jc w:val="center"/>
                    <w:rPr>
                      <w:sz w:val="21"/>
                      <w:szCs w:val="21"/>
                    </w:rPr>
                  </w:pPr>
                  <w:r>
                    <w:rPr>
                      <w:sz w:val="21"/>
                      <w:szCs w:val="21"/>
                    </w:rPr>
                    <w:t xml:space="preserve">TN </w:t>
                  </w:r>
                </w:p>
              </w:tc>
              <w:tc>
                <w:tcPr>
                  <w:tcW w:w="573" w:type="dxa"/>
                  <w:tcBorders>
                    <w:tl2br w:val="nil"/>
                    <w:tr2bl w:val="nil"/>
                  </w:tcBorders>
                  <w:vAlign w:val="center"/>
                </w:tcPr>
                <w:p w14:paraId="0A15FF9E">
                  <w:pPr>
                    <w:snapToGrid w:val="0"/>
                    <w:jc w:val="center"/>
                    <w:rPr>
                      <w:szCs w:val="21"/>
                    </w:rPr>
                  </w:pPr>
                  <w:r>
                    <w:rPr>
                      <w:szCs w:val="21"/>
                    </w:rPr>
                    <w:t>40</w:t>
                  </w:r>
                </w:p>
              </w:tc>
              <w:tc>
                <w:tcPr>
                  <w:tcW w:w="436" w:type="dxa"/>
                  <w:vMerge w:val="continue"/>
                  <w:tcBorders>
                    <w:tl2br w:val="nil"/>
                    <w:tr2bl w:val="nil"/>
                  </w:tcBorders>
                  <w:vAlign w:val="center"/>
                </w:tcPr>
                <w:p w14:paraId="250BA624">
                  <w:pPr>
                    <w:pStyle w:val="59"/>
                    <w:adjustRightInd w:val="0"/>
                    <w:snapToGrid w:val="0"/>
                    <w:spacing w:line="240" w:lineRule="auto"/>
                    <w:ind w:firstLine="0" w:firstLineChars="0"/>
                    <w:jc w:val="center"/>
                    <w:rPr>
                      <w:sz w:val="21"/>
                      <w:szCs w:val="21"/>
                    </w:rPr>
                  </w:pPr>
                </w:p>
              </w:tc>
              <w:tc>
                <w:tcPr>
                  <w:tcW w:w="552" w:type="dxa"/>
                  <w:vMerge w:val="continue"/>
                  <w:tcBorders>
                    <w:tl2br w:val="nil"/>
                    <w:tr2bl w:val="nil"/>
                  </w:tcBorders>
                  <w:vAlign w:val="center"/>
                </w:tcPr>
                <w:p w14:paraId="3B140F7C">
                  <w:pPr>
                    <w:pStyle w:val="59"/>
                    <w:adjustRightInd w:val="0"/>
                    <w:snapToGrid w:val="0"/>
                    <w:spacing w:line="240" w:lineRule="auto"/>
                    <w:ind w:firstLine="0" w:firstLineChars="0"/>
                    <w:jc w:val="center"/>
                    <w:rPr>
                      <w:sz w:val="21"/>
                      <w:szCs w:val="21"/>
                    </w:rPr>
                  </w:pPr>
                </w:p>
              </w:tc>
              <w:tc>
                <w:tcPr>
                  <w:tcW w:w="665" w:type="dxa"/>
                  <w:vMerge w:val="continue"/>
                  <w:tcBorders>
                    <w:tl2br w:val="nil"/>
                    <w:tr2bl w:val="nil"/>
                  </w:tcBorders>
                  <w:vAlign w:val="center"/>
                </w:tcPr>
                <w:p w14:paraId="0DDE93F8">
                  <w:pPr>
                    <w:pStyle w:val="59"/>
                    <w:adjustRightInd w:val="0"/>
                    <w:snapToGrid w:val="0"/>
                    <w:spacing w:line="240" w:lineRule="auto"/>
                    <w:ind w:firstLine="0" w:firstLineChars="0"/>
                    <w:jc w:val="center"/>
                    <w:rPr>
                      <w:sz w:val="21"/>
                      <w:szCs w:val="21"/>
                    </w:rPr>
                  </w:pPr>
                </w:p>
              </w:tc>
              <w:tc>
                <w:tcPr>
                  <w:tcW w:w="501" w:type="dxa"/>
                  <w:vMerge w:val="continue"/>
                  <w:tcBorders>
                    <w:tl2br w:val="nil"/>
                    <w:tr2bl w:val="nil"/>
                  </w:tcBorders>
                  <w:vAlign w:val="center"/>
                </w:tcPr>
                <w:p w14:paraId="7BBD22DD">
                  <w:pPr>
                    <w:pStyle w:val="59"/>
                    <w:adjustRightInd w:val="0"/>
                    <w:snapToGrid w:val="0"/>
                    <w:spacing w:line="240" w:lineRule="auto"/>
                    <w:ind w:firstLine="0" w:firstLineChars="0"/>
                    <w:jc w:val="center"/>
                    <w:rPr>
                      <w:sz w:val="21"/>
                      <w:szCs w:val="21"/>
                    </w:rPr>
                  </w:pPr>
                </w:p>
              </w:tc>
              <w:tc>
                <w:tcPr>
                  <w:tcW w:w="884" w:type="dxa"/>
                  <w:vMerge w:val="continue"/>
                  <w:tcBorders>
                    <w:tl2br w:val="nil"/>
                    <w:tr2bl w:val="nil"/>
                  </w:tcBorders>
                  <w:vAlign w:val="center"/>
                </w:tcPr>
                <w:p w14:paraId="187C93AB">
                  <w:pPr>
                    <w:pStyle w:val="59"/>
                    <w:adjustRightInd w:val="0"/>
                    <w:snapToGrid w:val="0"/>
                    <w:spacing w:line="240" w:lineRule="auto"/>
                    <w:ind w:firstLine="0" w:firstLineChars="0"/>
                    <w:jc w:val="center"/>
                    <w:rPr>
                      <w:sz w:val="21"/>
                      <w:szCs w:val="21"/>
                    </w:rPr>
                  </w:pPr>
                </w:p>
              </w:tc>
              <w:tc>
                <w:tcPr>
                  <w:tcW w:w="589" w:type="dxa"/>
                  <w:vMerge w:val="continue"/>
                  <w:tcBorders>
                    <w:tl2br w:val="nil"/>
                    <w:tr2bl w:val="nil"/>
                  </w:tcBorders>
                  <w:vAlign w:val="center"/>
                </w:tcPr>
                <w:p w14:paraId="2D266FFB">
                  <w:pPr>
                    <w:pStyle w:val="59"/>
                    <w:adjustRightInd w:val="0"/>
                    <w:snapToGrid w:val="0"/>
                    <w:spacing w:line="240" w:lineRule="auto"/>
                    <w:ind w:firstLine="0" w:firstLineChars="0"/>
                    <w:jc w:val="center"/>
                    <w:rPr>
                      <w:sz w:val="21"/>
                      <w:szCs w:val="21"/>
                    </w:rPr>
                  </w:pPr>
                </w:p>
              </w:tc>
              <w:tc>
                <w:tcPr>
                  <w:tcW w:w="1105" w:type="dxa"/>
                  <w:vMerge w:val="continue"/>
                  <w:tcBorders>
                    <w:tl2br w:val="nil"/>
                    <w:tr2bl w:val="nil"/>
                  </w:tcBorders>
                  <w:vAlign w:val="center"/>
                </w:tcPr>
                <w:p w14:paraId="31FFA889">
                  <w:pPr>
                    <w:pStyle w:val="59"/>
                    <w:adjustRightInd w:val="0"/>
                    <w:snapToGrid w:val="0"/>
                    <w:spacing w:line="240" w:lineRule="auto"/>
                    <w:ind w:firstLine="0" w:firstLineChars="0"/>
                    <w:jc w:val="center"/>
                    <w:rPr>
                      <w:sz w:val="21"/>
                      <w:szCs w:val="21"/>
                    </w:rPr>
                  </w:pPr>
                </w:p>
              </w:tc>
              <w:tc>
                <w:tcPr>
                  <w:tcW w:w="573" w:type="dxa"/>
                  <w:tcBorders>
                    <w:tl2br w:val="nil"/>
                    <w:tr2bl w:val="nil"/>
                  </w:tcBorders>
                  <w:vAlign w:val="center"/>
                </w:tcPr>
                <w:p w14:paraId="5BBCA440">
                  <w:pPr>
                    <w:pStyle w:val="59"/>
                    <w:adjustRightInd w:val="0"/>
                    <w:snapToGrid w:val="0"/>
                    <w:spacing w:line="240" w:lineRule="auto"/>
                    <w:ind w:firstLine="0" w:firstLineChars="0"/>
                    <w:jc w:val="center"/>
                    <w:rPr>
                      <w:sz w:val="21"/>
                      <w:szCs w:val="21"/>
                    </w:rPr>
                  </w:pPr>
                  <w:r>
                    <w:rPr>
                      <w:sz w:val="21"/>
                      <w:szCs w:val="21"/>
                    </w:rPr>
                    <w:t>40</w:t>
                  </w:r>
                </w:p>
              </w:tc>
              <w:tc>
                <w:tcPr>
                  <w:tcW w:w="1284" w:type="dxa"/>
                  <w:vMerge w:val="continue"/>
                  <w:tcBorders>
                    <w:tl2br w:val="nil"/>
                    <w:tr2bl w:val="nil"/>
                  </w:tcBorders>
                  <w:vAlign w:val="center"/>
                </w:tcPr>
                <w:p w14:paraId="15A1A009">
                  <w:pPr>
                    <w:pStyle w:val="59"/>
                    <w:adjustRightInd w:val="0"/>
                    <w:snapToGrid w:val="0"/>
                    <w:spacing w:line="240" w:lineRule="auto"/>
                    <w:ind w:firstLine="0" w:firstLineChars="0"/>
                    <w:jc w:val="center"/>
                    <w:rPr>
                      <w:sz w:val="21"/>
                      <w:szCs w:val="21"/>
                    </w:rPr>
                  </w:pPr>
                </w:p>
              </w:tc>
            </w:tr>
            <w:tr w14:paraId="352808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vMerge w:val="continue"/>
                  <w:tcBorders>
                    <w:tl2br w:val="nil"/>
                    <w:tr2bl w:val="nil"/>
                  </w:tcBorders>
                  <w:vAlign w:val="center"/>
                </w:tcPr>
                <w:p w14:paraId="3BFAF3BE">
                  <w:pPr>
                    <w:pStyle w:val="59"/>
                    <w:adjustRightInd w:val="0"/>
                    <w:snapToGrid w:val="0"/>
                    <w:spacing w:line="240" w:lineRule="auto"/>
                    <w:ind w:firstLine="0" w:firstLineChars="0"/>
                    <w:jc w:val="center"/>
                    <w:rPr>
                      <w:sz w:val="21"/>
                      <w:szCs w:val="21"/>
                    </w:rPr>
                  </w:pPr>
                </w:p>
              </w:tc>
              <w:tc>
                <w:tcPr>
                  <w:tcW w:w="740" w:type="dxa"/>
                  <w:vMerge w:val="continue"/>
                  <w:tcBorders>
                    <w:tl2br w:val="nil"/>
                    <w:tr2bl w:val="nil"/>
                  </w:tcBorders>
                  <w:vAlign w:val="center"/>
                </w:tcPr>
                <w:p w14:paraId="5BFBFC13">
                  <w:pPr>
                    <w:pStyle w:val="59"/>
                    <w:adjustRightInd w:val="0"/>
                    <w:snapToGrid w:val="0"/>
                    <w:spacing w:line="240" w:lineRule="auto"/>
                    <w:ind w:firstLine="0" w:firstLineChars="0"/>
                    <w:jc w:val="center"/>
                    <w:rPr>
                      <w:sz w:val="21"/>
                      <w:szCs w:val="21"/>
                    </w:rPr>
                  </w:pPr>
                </w:p>
              </w:tc>
              <w:tc>
                <w:tcPr>
                  <w:tcW w:w="695" w:type="dxa"/>
                  <w:tcBorders>
                    <w:tl2br w:val="nil"/>
                    <w:tr2bl w:val="nil"/>
                  </w:tcBorders>
                  <w:vAlign w:val="center"/>
                </w:tcPr>
                <w:p w14:paraId="6D80215C">
                  <w:pPr>
                    <w:pStyle w:val="59"/>
                    <w:adjustRightInd w:val="0"/>
                    <w:snapToGrid w:val="0"/>
                    <w:spacing w:line="240" w:lineRule="auto"/>
                    <w:ind w:firstLine="0" w:firstLineChars="0"/>
                    <w:jc w:val="center"/>
                    <w:rPr>
                      <w:sz w:val="21"/>
                      <w:szCs w:val="21"/>
                    </w:rPr>
                  </w:pPr>
                  <w:r>
                    <w:rPr>
                      <w:sz w:val="21"/>
                      <w:szCs w:val="21"/>
                    </w:rPr>
                    <w:t>TP</w:t>
                  </w:r>
                </w:p>
              </w:tc>
              <w:tc>
                <w:tcPr>
                  <w:tcW w:w="573" w:type="dxa"/>
                  <w:tcBorders>
                    <w:tl2br w:val="nil"/>
                    <w:tr2bl w:val="nil"/>
                  </w:tcBorders>
                  <w:vAlign w:val="center"/>
                </w:tcPr>
                <w:p w14:paraId="1C0FAF25">
                  <w:pPr>
                    <w:snapToGrid w:val="0"/>
                    <w:jc w:val="center"/>
                    <w:rPr>
                      <w:szCs w:val="21"/>
                    </w:rPr>
                  </w:pPr>
                  <w:r>
                    <w:rPr>
                      <w:szCs w:val="21"/>
                    </w:rPr>
                    <w:t>1</w:t>
                  </w:r>
                </w:p>
              </w:tc>
              <w:tc>
                <w:tcPr>
                  <w:tcW w:w="436" w:type="dxa"/>
                  <w:vMerge w:val="continue"/>
                  <w:tcBorders>
                    <w:tl2br w:val="nil"/>
                    <w:tr2bl w:val="nil"/>
                  </w:tcBorders>
                  <w:vAlign w:val="center"/>
                </w:tcPr>
                <w:p w14:paraId="2F97F65A">
                  <w:pPr>
                    <w:pStyle w:val="59"/>
                    <w:adjustRightInd w:val="0"/>
                    <w:snapToGrid w:val="0"/>
                    <w:spacing w:line="240" w:lineRule="auto"/>
                    <w:ind w:firstLine="0" w:firstLineChars="0"/>
                    <w:jc w:val="center"/>
                    <w:rPr>
                      <w:sz w:val="21"/>
                      <w:szCs w:val="21"/>
                    </w:rPr>
                  </w:pPr>
                </w:p>
              </w:tc>
              <w:tc>
                <w:tcPr>
                  <w:tcW w:w="552" w:type="dxa"/>
                  <w:vMerge w:val="continue"/>
                  <w:tcBorders>
                    <w:tl2br w:val="nil"/>
                    <w:tr2bl w:val="nil"/>
                  </w:tcBorders>
                  <w:vAlign w:val="center"/>
                </w:tcPr>
                <w:p w14:paraId="3B3A8AED">
                  <w:pPr>
                    <w:pStyle w:val="59"/>
                    <w:adjustRightInd w:val="0"/>
                    <w:snapToGrid w:val="0"/>
                    <w:spacing w:line="240" w:lineRule="auto"/>
                    <w:ind w:firstLine="0" w:firstLineChars="0"/>
                    <w:jc w:val="center"/>
                    <w:rPr>
                      <w:sz w:val="21"/>
                      <w:szCs w:val="21"/>
                    </w:rPr>
                  </w:pPr>
                </w:p>
              </w:tc>
              <w:tc>
                <w:tcPr>
                  <w:tcW w:w="665" w:type="dxa"/>
                  <w:vMerge w:val="continue"/>
                  <w:tcBorders>
                    <w:tl2br w:val="nil"/>
                    <w:tr2bl w:val="nil"/>
                  </w:tcBorders>
                  <w:vAlign w:val="center"/>
                </w:tcPr>
                <w:p w14:paraId="46B4D94C">
                  <w:pPr>
                    <w:pStyle w:val="59"/>
                    <w:adjustRightInd w:val="0"/>
                    <w:snapToGrid w:val="0"/>
                    <w:spacing w:line="240" w:lineRule="auto"/>
                    <w:ind w:firstLine="0" w:firstLineChars="0"/>
                    <w:jc w:val="center"/>
                    <w:rPr>
                      <w:sz w:val="21"/>
                      <w:szCs w:val="21"/>
                    </w:rPr>
                  </w:pPr>
                </w:p>
              </w:tc>
              <w:tc>
                <w:tcPr>
                  <w:tcW w:w="501" w:type="dxa"/>
                  <w:vMerge w:val="continue"/>
                  <w:tcBorders>
                    <w:tl2br w:val="nil"/>
                    <w:tr2bl w:val="nil"/>
                  </w:tcBorders>
                  <w:vAlign w:val="center"/>
                </w:tcPr>
                <w:p w14:paraId="0F9DEB6E">
                  <w:pPr>
                    <w:pStyle w:val="59"/>
                    <w:adjustRightInd w:val="0"/>
                    <w:snapToGrid w:val="0"/>
                    <w:spacing w:line="240" w:lineRule="auto"/>
                    <w:ind w:firstLine="0" w:firstLineChars="0"/>
                    <w:jc w:val="center"/>
                    <w:rPr>
                      <w:sz w:val="21"/>
                      <w:szCs w:val="21"/>
                    </w:rPr>
                  </w:pPr>
                </w:p>
              </w:tc>
              <w:tc>
                <w:tcPr>
                  <w:tcW w:w="884" w:type="dxa"/>
                  <w:vMerge w:val="continue"/>
                  <w:tcBorders>
                    <w:tl2br w:val="nil"/>
                    <w:tr2bl w:val="nil"/>
                  </w:tcBorders>
                  <w:vAlign w:val="center"/>
                </w:tcPr>
                <w:p w14:paraId="4F4659D0">
                  <w:pPr>
                    <w:pStyle w:val="59"/>
                    <w:adjustRightInd w:val="0"/>
                    <w:snapToGrid w:val="0"/>
                    <w:spacing w:line="240" w:lineRule="auto"/>
                    <w:ind w:firstLine="0" w:firstLineChars="0"/>
                    <w:jc w:val="center"/>
                    <w:rPr>
                      <w:sz w:val="21"/>
                      <w:szCs w:val="21"/>
                    </w:rPr>
                  </w:pPr>
                </w:p>
              </w:tc>
              <w:tc>
                <w:tcPr>
                  <w:tcW w:w="589" w:type="dxa"/>
                  <w:vMerge w:val="continue"/>
                  <w:tcBorders>
                    <w:tl2br w:val="nil"/>
                    <w:tr2bl w:val="nil"/>
                  </w:tcBorders>
                  <w:vAlign w:val="center"/>
                </w:tcPr>
                <w:p w14:paraId="06621330">
                  <w:pPr>
                    <w:pStyle w:val="59"/>
                    <w:adjustRightInd w:val="0"/>
                    <w:snapToGrid w:val="0"/>
                    <w:spacing w:line="240" w:lineRule="auto"/>
                    <w:ind w:firstLine="0" w:firstLineChars="0"/>
                    <w:jc w:val="center"/>
                    <w:rPr>
                      <w:sz w:val="21"/>
                      <w:szCs w:val="21"/>
                    </w:rPr>
                  </w:pPr>
                </w:p>
              </w:tc>
              <w:tc>
                <w:tcPr>
                  <w:tcW w:w="1105" w:type="dxa"/>
                  <w:vMerge w:val="continue"/>
                  <w:tcBorders>
                    <w:tl2br w:val="nil"/>
                    <w:tr2bl w:val="nil"/>
                  </w:tcBorders>
                  <w:vAlign w:val="center"/>
                </w:tcPr>
                <w:p w14:paraId="04227484">
                  <w:pPr>
                    <w:pStyle w:val="59"/>
                    <w:adjustRightInd w:val="0"/>
                    <w:snapToGrid w:val="0"/>
                    <w:spacing w:line="240" w:lineRule="auto"/>
                    <w:ind w:firstLine="0" w:firstLineChars="0"/>
                    <w:jc w:val="center"/>
                    <w:rPr>
                      <w:sz w:val="21"/>
                      <w:szCs w:val="21"/>
                    </w:rPr>
                  </w:pPr>
                </w:p>
              </w:tc>
              <w:tc>
                <w:tcPr>
                  <w:tcW w:w="573" w:type="dxa"/>
                  <w:tcBorders>
                    <w:tl2br w:val="nil"/>
                    <w:tr2bl w:val="nil"/>
                  </w:tcBorders>
                  <w:vAlign w:val="center"/>
                </w:tcPr>
                <w:p w14:paraId="4AD69705">
                  <w:pPr>
                    <w:pStyle w:val="59"/>
                    <w:adjustRightInd w:val="0"/>
                    <w:snapToGrid w:val="0"/>
                    <w:spacing w:line="240" w:lineRule="auto"/>
                    <w:ind w:firstLine="0" w:firstLineChars="0"/>
                    <w:jc w:val="center"/>
                    <w:rPr>
                      <w:sz w:val="21"/>
                      <w:szCs w:val="21"/>
                    </w:rPr>
                  </w:pPr>
                  <w:r>
                    <w:rPr>
                      <w:sz w:val="21"/>
                      <w:szCs w:val="21"/>
                    </w:rPr>
                    <w:t>1.0</w:t>
                  </w:r>
                </w:p>
              </w:tc>
              <w:tc>
                <w:tcPr>
                  <w:tcW w:w="1284" w:type="dxa"/>
                  <w:vMerge w:val="continue"/>
                  <w:tcBorders>
                    <w:tl2br w:val="nil"/>
                    <w:tr2bl w:val="nil"/>
                  </w:tcBorders>
                  <w:vAlign w:val="center"/>
                </w:tcPr>
                <w:p w14:paraId="5FA2BA62">
                  <w:pPr>
                    <w:pStyle w:val="59"/>
                    <w:adjustRightInd w:val="0"/>
                    <w:snapToGrid w:val="0"/>
                    <w:spacing w:line="240" w:lineRule="auto"/>
                    <w:ind w:firstLine="0" w:firstLineChars="0"/>
                    <w:jc w:val="center"/>
                    <w:rPr>
                      <w:sz w:val="21"/>
                      <w:szCs w:val="21"/>
                    </w:rPr>
                  </w:pPr>
                </w:p>
              </w:tc>
            </w:tr>
            <w:tr w14:paraId="54AD92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vMerge w:val="continue"/>
                  <w:tcBorders>
                    <w:tl2br w:val="nil"/>
                    <w:tr2bl w:val="nil"/>
                  </w:tcBorders>
                  <w:vAlign w:val="center"/>
                </w:tcPr>
                <w:p w14:paraId="64866E72">
                  <w:pPr>
                    <w:pStyle w:val="59"/>
                    <w:adjustRightInd w:val="0"/>
                    <w:snapToGrid w:val="0"/>
                    <w:spacing w:line="240" w:lineRule="auto"/>
                    <w:ind w:firstLine="0" w:firstLineChars="0"/>
                    <w:jc w:val="center"/>
                    <w:rPr>
                      <w:sz w:val="21"/>
                      <w:szCs w:val="21"/>
                    </w:rPr>
                  </w:pPr>
                </w:p>
              </w:tc>
              <w:tc>
                <w:tcPr>
                  <w:tcW w:w="740" w:type="dxa"/>
                  <w:vMerge w:val="continue"/>
                  <w:tcBorders>
                    <w:tl2br w:val="nil"/>
                    <w:tr2bl w:val="nil"/>
                  </w:tcBorders>
                  <w:vAlign w:val="center"/>
                </w:tcPr>
                <w:p w14:paraId="73F465E1">
                  <w:pPr>
                    <w:pStyle w:val="59"/>
                    <w:adjustRightInd w:val="0"/>
                    <w:snapToGrid w:val="0"/>
                    <w:spacing w:line="240" w:lineRule="auto"/>
                    <w:ind w:firstLine="0" w:firstLineChars="0"/>
                    <w:jc w:val="center"/>
                    <w:rPr>
                      <w:sz w:val="21"/>
                      <w:szCs w:val="21"/>
                    </w:rPr>
                  </w:pPr>
                </w:p>
              </w:tc>
              <w:tc>
                <w:tcPr>
                  <w:tcW w:w="695" w:type="dxa"/>
                  <w:tcBorders>
                    <w:tl2br w:val="nil"/>
                    <w:tr2bl w:val="nil"/>
                  </w:tcBorders>
                  <w:vAlign w:val="center"/>
                </w:tcPr>
                <w:p w14:paraId="3E7A81D2">
                  <w:pPr>
                    <w:adjustRightInd w:val="0"/>
                    <w:snapToGrid w:val="0"/>
                    <w:jc w:val="center"/>
                    <w:rPr>
                      <w:szCs w:val="21"/>
                    </w:rPr>
                  </w:pPr>
                  <w:r>
                    <w:rPr>
                      <w:szCs w:val="21"/>
                    </w:rPr>
                    <w:t>石油类</w:t>
                  </w:r>
                </w:p>
              </w:tc>
              <w:tc>
                <w:tcPr>
                  <w:tcW w:w="573" w:type="dxa"/>
                  <w:tcBorders>
                    <w:tl2br w:val="nil"/>
                    <w:tr2bl w:val="nil"/>
                  </w:tcBorders>
                  <w:vAlign w:val="center"/>
                </w:tcPr>
                <w:p w14:paraId="63B71048">
                  <w:pPr>
                    <w:snapToGrid w:val="0"/>
                    <w:jc w:val="center"/>
                    <w:rPr>
                      <w:szCs w:val="21"/>
                    </w:rPr>
                  </w:pPr>
                  <w:r>
                    <w:rPr>
                      <w:szCs w:val="21"/>
                    </w:rPr>
                    <w:t>10</w:t>
                  </w:r>
                </w:p>
              </w:tc>
              <w:tc>
                <w:tcPr>
                  <w:tcW w:w="436" w:type="dxa"/>
                  <w:vMerge w:val="continue"/>
                  <w:tcBorders>
                    <w:tl2br w:val="nil"/>
                    <w:tr2bl w:val="nil"/>
                  </w:tcBorders>
                  <w:vAlign w:val="center"/>
                </w:tcPr>
                <w:p w14:paraId="42D95265">
                  <w:pPr>
                    <w:pStyle w:val="59"/>
                    <w:adjustRightInd w:val="0"/>
                    <w:snapToGrid w:val="0"/>
                    <w:spacing w:line="240" w:lineRule="auto"/>
                    <w:ind w:firstLine="0" w:firstLineChars="0"/>
                    <w:jc w:val="center"/>
                    <w:rPr>
                      <w:sz w:val="21"/>
                      <w:szCs w:val="21"/>
                    </w:rPr>
                  </w:pPr>
                </w:p>
              </w:tc>
              <w:tc>
                <w:tcPr>
                  <w:tcW w:w="552" w:type="dxa"/>
                  <w:vMerge w:val="continue"/>
                  <w:tcBorders>
                    <w:tl2br w:val="nil"/>
                    <w:tr2bl w:val="nil"/>
                  </w:tcBorders>
                  <w:vAlign w:val="center"/>
                </w:tcPr>
                <w:p w14:paraId="07D7A6D1">
                  <w:pPr>
                    <w:pStyle w:val="59"/>
                    <w:adjustRightInd w:val="0"/>
                    <w:snapToGrid w:val="0"/>
                    <w:spacing w:line="240" w:lineRule="auto"/>
                    <w:ind w:firstLine="0" w:firstLineChars="0"/>
                    <w:jc w:val="center"/>
                    <w:rPr>
                      <w:sz w:val="21"/>
                      <w:szCs w:val="21"/>
                    </w:rPr>
                  </w:pPr>
                </w:p>
              </w:tc>
              <w:tc>
                <w:tcPr>
                  <w:tcW w:w="665" w:type="dxa"/>
                  <w:vMerge w:val="continue"/>
                  <w:tcBorders>
                    <w:tl2br w:val="nil"/>
                    <w:tr2bl w:val="nil"/>
                  </w:tcBorders>
                  <w:vAlign w:val="center"/>
                </w:tcPr>
                <w:p w14:paraId="134B0E3B">
                  <w:pPr>
                    <w:pStyle w:val="59"/>
                    <w:adjustRightInd w:val="0"/>
                    <w:snapToGrid w:val="0"/>
                    <w:spacing w:line="240" w:lineRule="auto"/>
                    <w:ind w:firstLine="0" w:firstLineChars="0"/>
                    <w:jc w:val="center"/>
                    <w:rPr>
                      <w:sz w:val="21"/>
                      <w:szCs w:val="21"/>
                    </w:rPr>
                  </w:pPr>
                </w:p>
              </w:tc>
              <w:tc>
                <w:tcPr>
                  <w:tcW w:w="501" w:type="dxa"/>
                  <w:vMerge w:val="continue"/>
                  <w:tcBorders>
                    <w:tl2br w:val="nil"/>
                    <w:tr2bl w:val="nil"/>
                  </w:tcBorders>
                  <w:vAlign w:val="center"/>
                </w:tcPr>
                <w:p w14:paraId="45A80B9E">
                  <w:pPr>
                    <w:pStyle w:val="59"/>
                    <w:adjustRightInd w:val="0"/>
                    <w:snapToGrid w:val="0"/>
                    <w:spacing w:line="240" w:lineRule="auto"/>
                    <w:ind w:firstLine="0" w:firstLineChars="0"/>
                    <w:jc w:val="center"/>
                    <w:rPr>
                      <w:sz w:val="21"/>
                      <w:szCs w:val="21"/>
                    </w:rPr>
                  </w:pPr>
                </w:p>
              </w:tc>
              <w:tc>
                <w:tcPr>
                  <w:tcW w:w="884" w:type="dxa"/>
                  <w:vMerge w:val="continue"/>
                  <w:tcBorders>
                    <w:tl2br w:val="nil"/>
                    <w:tr2bl w:val="nil"/>
                  </w:tcBorders>
                  <w:vAlign w:val="center"/>
                </w:tcPr>
                <w:p w14:paraId="7409D067">
                  <w:pPr>
                    <w:pStyle w:val="59"/>
                    <w:adjustRightInd w:val="0"/>
                    <w:snapToGrid w:val="0"/>
                    <w:spacing w:line="240" w:lineRule="auto"/>
                    <w:ind w:firstLine="0" w:firstLineChars="0"/>
                    <w:jc w:val="center"/>
                    <w:rPr>
                      <w:sz w:val="21"/>
                      <w:szCs w:val="21"/>
                    </w:rPr>
                  </w:pPr>
                </w:p>
              </w:tc>
              <w:tc>
                <w:tcPr>
                  <w:tcW w:w="589" w:type="dxa"/>
                  <w:vMerge w:val="continue"/>
                  <w:tcBorders>
                    <w:tl2br w:val="nil"/>
                    <w:tr2bl w:val="nil"/>
                  </w:tcBorders>
                  <w:vAlign w:val="center"/>
                </w:tcPr>
                <w:p w14:paraId="2E773569">
                  <w:pPr>
                    <w:pStyle w:val="59"/>
                    <w:adjustRightInd w:val="0"/>
                    <w:snapToGrid w:val="0"/>
                    <w:spacing w:line="240" w:lineRule="auto"/>
                    <w:ind w:firstLine="0" w:firstLineChars="0"/>
                    <w:jc w:val="center"/>
                    <w:rPr>
                      <w:sz w:val="21"/>
                      <w:szCs w:val="21"/>
                    </w:rPr>
                  </w:pPr>
                </w:p>
              </w:tc>
              <w:tc>
                <w:tcPr>
                  <w:tcW w:w="1105" w:type="dxa"/>
                  <w:vMerge w:val="continue"/>
                  <w:tcBorders>
                    <w:tl2br w:val="nil"/>
                    <w:tr2bl w:val="nil"/>
                  </w:tcBorders>
                  <w:vAlign w:val="center"/>
                </w:tcPr>
                <w:p w14:paraId="61833497">
                  <w:pPr>
                    <w:pStyle w:val="59"/>
                    <w:adjustRightInd w:val="0"/>
                    <w:snapToGrid w:val="0"/>
                    <w:spacing w:line="240" w:lineRule="auto"/>
                    <w:ind w:firstLine="0" w:firstLineChars="0"/>
                    <w:jc w:val="center"/>
                    <w:rPr>
                      <w:sz w:val="21"/>
                      <w:szCs w:val="21"/>
                    </w:rPr>
                  </w:pPr>
                </w:p>
              </w:tc>
              <w:tc>
                <w:tcPr>
                  <w:tcW w:w="573" w:type="dxa"/>
                  <w:tcBorders>
                    <w:tl2br w:val="nil"/>
                    <w:tr2bl w:val="nil"/>
                  </w:tcBorders>
                  <w:vAlign w:val="center"/>
                </w:tcPr>
                <w:p w14:paraId="75687101">
                  <w:pPr>
                    <w:pStyle w:val="59"/>
                    <w:adjustRightInd w:val="0"/>
                    <w:snapToGrid w:val="0"/>
                    <w:spacing w:line="240" w:lineRule="auto"/>
                    <w:ind w:firstLine="0" w:firstLineChars="0"/>
                    <w:jc w:val="center"/>
                    <w:rPr>
                      <w:sz w:val="21"/>
                      <w:szCs w:val="21"/>
                    </w:rPr>
                  </w:pPr>
                  <w:r>
                    <w:rPr>
                      <w:rFonts w:hint="eastAsia"/>
                      <w:sz w:val="21"/>
                      <w:szCs w:val="21"/>
                    </w:rPr>
                    <w:t>10</w:t>
                  </w:r>
                </w:p>
              </w:tc>
              <w:tc>
                <w:tcPr>
                  <w:tcW w:w="1284" w:type="dxa"/>
                  <w:vMerge w:val="continue"/>
                  <w:tcBorders>
                    <w:tl2br w:val="nil"/>
                    <w:tr2bl w:val="nil"/>
                  </w:tcBorders>
                  <w:vAlign w:val="center"/>
                </w:tcPr>
                <w:p w14:paraId="6900A4B3">
                  <w:pPr>
                    <w:pStyle w:val="59"/>
                    <w:adjustRightInd w:val="0"/>
                    <w:snapToGrid w:val="0"/>
                    <w:spacing w:line="240" w:lineRule="auto"/>
                    <w:ind w:firstLine="0" w:firstLineChars="0"/>
                    <w:jc w:val="center"/>
                    <w:rPr>
                      <w:sz w:val="21"/>
                      <w:szCs w:val="21"/>
                    </w:rPr>
                  </w:pPr>
                </w:p>
              </w:tc>
            </w:tr>
            <w:tr w14:paraId="427B79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 w:type="dxa"/>
                  <w:vMerge w:val="continue"/>
                  <w:tcBorders>
                    <w:tl2br w:val="nil"/>
                    <w:tr2bl w:val="nil"/>
                  </w:tcBorders>
                  <w:vAlign w:val="center"/>
                </w:tcPr>
                <w:p w14:paraId="72747D3A">
                  <w:pPr>
                    <w:pStyle w:val="59"/>
                    <w:adjustRightInd w:val="0"/>
                    <w:snapToGrid w:val="0"/>
                    <w:spacing w:line="240" w:lineRule="auto"/>
                    <w:ind w:firstLine="0" w:firstLineChars="0"/>
                    <w:jc w:val="center"/>
                    <w:rPr>
                      <w:sz w:val="21"/>
                      <w:szCs w:val="21"/>
                    </w:rPr>
                  </w:pPr>
                </w:p>
              </w:tc>
              <w:tc>
                <w:tcPr>
                  <w:tcW w:w="740" w:type="dxa"/>
                  <w:vMerge w:val="continue"/>
                  <w:tcBorders>
                    <w:tl2br w:val="nil"/>
                    <w:tr2bl w:val="nil"/>
                  </w:tcBorders>
                  <w:vAlign w:val="center"/>
                </w:tcPr>
                <w:p w14:paraId="4B94C827">
                  <w:pPr>
                    <w:pStyle w:val="59"/>
                    <w:adjustRightInd w:val="0"/>
                    <w:snapToGrid w:val="0"/>
                    <w:spacing w:line="240" w:lineRule="auto"/>
                    <w:ind w:firstLine="0" w:firstLineChars="0"/>
                    <w:jc w:val="center"/>
                    <w:rPr>
                      <w:sz w:val="21"/>
                      <w:szCs w:val="21"/>
                    </w:rPr>
                  </w:pPr>
                </w:p>
              </w:tc>
              <w:tc>
                <w:tcPr>
                  <w:tcW w:w="695" w:type="dxa"/>
                  <w:tcBorders>
                    <w:tl2br w:val="nil"/>
                    <w:tr2bl w:val="nil"/>
                  </w:tcBorders>
                  <w:vAlign w:val="center"/>
                </w:tcPr>
                <w:p w14:paraId="1AAD6104">
                  <w:pPr>
                    <w:adjustRightInd w:val="0"/>
                    <w:snapToGrid w:val="0"/>
                    <w:jc w:val="center"/>
                    <w:rPr>
                      <w:szCs w:val="21"/>
                    </w:rPr>
                  </w:pPr>
                  <w:r>
                    <w:rPr>
                      <w:szCs w:val="21"/>
                    </w:rPr>
                    <w:t>动植物油</w:t>
                  </w:r>
                </w:p>
              </w:tc>
              <w:tc>
                <w:tcPr>
                  <w:tcW w:w="573" w:type="dxa"/>
                  <w:tcBorders>
                    <w:tl2br w:val="nil"/>
                    <w:tr2bl w:val="nil"/>
                  </w:tcBorders>
                  <w:vAlign w:val="center"/>
                </w:tcPr>
                <w:p w14:paraId="721E05CB">
                  <w:pPr>
                    <w:snapToGrid w:val="0"/>
                    <w:jc w:val="center"/>
                    <w:rPr>
                      <w:szCs w:val="21"/>
                    </w:rPr>
                  </w:pPr>
                  <w:r>
                    <w:rPr>
                      <w:rFonts w:hint="eastAsia"/>
                      <w:szCs w:val="21"/>
                    </w:rPr>
                    <w:t>50</w:t>
                  </w:r>
                </w:p>
              </w:tc>
              <w:tc>
                <w:tcPr>
                  <w:tcW w:w="436" w:type="dxa"/>
                  <w:vMerge w:val="continue"/>
                  <w:tcBorders>
                    <w:tl2br w:val="nil"/>
                    <w:tr2bl w:val="nil"/>
                  </w:tcBorders>
                  <w:vAlign w:val="center"/>
                </w:tcPr>
                <w:p w14:paraId="29478F1E">
                  <w:pPr>
                    <w:pStyle w:val="59"/>
                    <w:adjustRightInd w:val="0"/>
                    <w:snapToGrid w:val="0"/>
                    <w:spacing w:line="240" w:lineRule="auto"/>
                    <w:ind w:firstLine="0" w:firstLineChars="0"/>
                    <w:jc w:val="center"/>
                    <w:rPr>
                      <w:sz w:val="21"/>
                      <w:szCs w:val="21"/>
                    </w:rPr>
                  </w:pPr>
                </w:p>
              </w:tc>
              <w:tc>
                <w:tcPr>
                  <w:tcW w:w="552" w:type="dxa"/>
                  <w:vMerge w:val="continue"/>
                  <w:tcBorders>
                    <w:tl2br w:val="nil"/>
                    <w:tr2bl w:val="nil"/>
                  </w:tcBorders>
                  <w:vAlign w:val="center"/>
                </w:tcPr>
                <w:p w14:paraId="488CFCC7">
                  <w:pPr>
                    <w:pStyle w:val="59"/>
                    <w:adjustRightInd w:val="0"/>
                    <w:snapToGrid w:val="0"/>
                    <w:spacing w:line="240" w:lineRule="auto"/>
                    <w:ind w:firstLine="0" w:firstLineChars="0"/>
                    <w:jc w:val="center"/>
                    <w:rPr>
                      <w:sz w:val="21"/>
                      <w:szCs w:val="21"/>
                    </w:rPr>
                  </w:pPr>
                </w:p>
              </w:tc>
              <w:tc>
                <w:tcPr>
                  <w:tcW w:w="665" w:type="dxa"/>
                  <w:vMerge w:val="continue"/>
                  <w:tcBorders>
                    <w:tl2br w:val="nil"/>
                    <w:tr2bl w:val="nil"/>
                  </w:tcBorders>
                  <w:vAlign w:val="center"/>
                </w:tcPr>
                <w:p w14:paraId="64CC6F0F">
                  <w:pPr>
                    <w:pStyle w:val="59"/>
                    <w:adjustRightInd w:val="0"/>
                    <w:snapToGrid w:val="0"/>
                    <w:spacing w:line="240" w:lineRule="auto"/>
                    <w:ind w:firstLine="0" w:firstLineChars="0"/>
                    <w:jc w:val="center"/>
                    <w:rPr>
                      <w:sz w:val="21"/>
                      <w:szCs w:val="21"/>
                    </w:rPr>
                  </w:pPr>
                </w:p>
              </w:tc>
              <w:tc>
                <w:tcPr>
                  <w:tcW w:w="501" w:type="dxa"/>
                  <w:vMerge w:val="continue"/>
                  <w:tcBorders>
                    <w:tl2br w:val="nil"/>
                    <w:tr2bl w:val="nil"/>
                  </w:tcBorders>
                  <w:vAlign w:val="center"/>
                </w:tcPr>
                <w:p w14:paraId="671DF856">
                  <w:pPr>
                    <w:pStyle w:val="59"/>
                    <w:adjustRightInd w:val="0"/>
                    <w:snapToGrid w:val="0"/>
                    <w:spacing w:line="240" w:lineRule="auto"/>
                    <w:ind w:firstLine="0" w:firstLineChars="0"/>
                    <w:jc w:val="center"/>
                    <w:rPr>
                      <w:sz w:val="21"/>
                      <w:szCs w:val="21"/>
                    </w:rPr>
                  </w:pPr>
                </w:p>
              </w:tc>
              <w:tc>
                <w:tcPr>
                  <w:tcW w:w="884" w:type="dxa"/>
                  <w:vMerge w:val="continue"/>
                  <w:tcBorders>
                    <w:tl2br w:val="nil"/>
                    <w:tr2bl w:val="nil"/>
                  </w:tcBorders>
                  <w:vAlign w:val="center"/>
                </w:tcPr>
                <w:p w14:paraId="4E395198">
                  <w:pPr>
                    <w:pStyle w:val="59"/>
                    <w:adjustRightInd w:val="0"/>
                    <w:snapToGrid w:val="0"/>
                    <w:spacing w:line="240" w:lineRule="auto"/>
                    <w:ind w:firstLine="0" w:firstLineChars="0"/>
                    <w:jc w:val="center"/>
                    <w:rPr>
                      <w:sz w:val="21"/>
                      <w:szCs w:val="21"/>
                    </w:rPr>
                  </w:pPr>
                </w:p>
              </w:tc>
              <w:tc>
                <w:tcPr>
                  <w:tcW w:w="589" w:type="dxa"/>
                  <w:vMerge w:val="continue"/>
                  <w:tcBorders>
                    <w:tl2br w:val="nil"/>
                    <w:tr2bl w:val="nil"/>
                  </w:tcBorders>
                  <w:vAlign w:val="center"/>
                </w:tcPr>
                <w:p w14:paraId="41D7B9C5">
                  <w:pPr>
                    <w:pStyle w:val="59"/>
                    <w:adjustRightInd w:val="0"/>
                    <w:snapToGrid w:val="0"/>
                    <w:spacing w:line="240" w:lineRule="auto"/>
                    <w:ind w:firstLine="0" w:firstLineChars="0"/>
                    <w:jc w:val="center"/>
                    <w:rPr>
                      <w:sz w:val="21"/>
                      <w:szCs w:val="21"/>
                    </w:rPr>
                  </w:pPr>
                </w:p>
              </w:tc>
              <w:tc>
                <w:tcPr>
                  <w:tcW w:w="1105" w:type="dxa"/>
                  <w:vMerge w:val="continue"/>
                  <w:tcBorders>
                    <w:tl2br w:val="nil"/>
                    <w:tr2bl w:val="nil"/>
                  </w:tcBorders>
                  <w:vAlign w:val="center"/>
                </w:tcPr>
                <w:p w14:paraId="12285D8E">
                  <w:pPr>
                    <w:pStyle w:val="59"/>
                    <w:adjustRightInd w:val="0"/>
                    <w:snapToGrid w:val="0"/>
                    <w:spacing w:line="240" w:lineRule="auto"/>
                    <w:ind w:firstLine="0" w:firstLineChars="0"/>
                    <w:jc w:val="center"/>
                    <w:rPr>
                      <w:sz w:val="21"/>
                      <w:szCs w:val="21"/>
                    </w:rPr>
                  </w:pPr>
                </w:p>
              </w:tc>
              <w:tc>
                <w:tcPr>
                  <w:tcW w:w="573" w:type="dxa"/>
                  <w:tcBorders>
                    <w:tl2br w:val="nil"/>
                    <w:tr2bl w:val="nil"/>
                  </w:tcBorders>
                  <w:vAlign w:val="center"/>
                </w:tcPr>
                <w:p w14:paraId="6FE097BF">
                  <w:pPr>
                    <w:pStyle w:val="59"/>
                    <w:adjustRightInd w:val="0"/>
                    <w:snapToGrid w:val="0"/>
                    <w:spacing w:line="240" w:lineRule="auto"/>
                    <w:ind w:firstLine="0" w:firstLineChars="0"/>
                    <w:jc w:val="center"/>
                    <w:rPr>
                      <w:sz w:val="21"/>
                      <w:szCs w:val="21"/>
                    </w:rPr>
                  </w:pPr>
                  <w:r>
                    <w:rPr>
                      <w:rFonts w:hint="eastAsia"/>
                      <w:sz w:val="21"/>
                      <w:szCs w:val="21"/>
                    </w:rPr>
                    <w:t>100</w:t>
                  </w:r>
                </w:p>
              </w:tc>
              <w:tc>
                <w:tcPr>
                  <w:tcW w:w="1284" w:type="dxa"/>
                  <w:tcBorders>
                    <w:tl2br w:val="nil"/>
                    <w:tr2bl w:val="nil"/>
                  </w:tcBorders>
                  <w:vAlign w:val="center"/>
                </w:tcPr>
                <w:p w14:paraId="793671EB">
                  <w:pPr>
                    <w:pStyle w:val="59"/>
                    <w:adjustRightInd w:val="0"/>
                    <w:snapToGrid w:val="0"/>
                    <w:spacing w:line="240" w:lineRule="auto"/>
                    <w:ind w:firstLine="0" w:firstLineChars="0"/>
                    <w:jc w:val="center"/>
                    <w:rPr>
                      <w:sz w:val="21"/>
                      <w:szCs w:val="21"/>
                    </w:rPr>
                  </w:pPr>
                  <w:r>
                    <w:rPr>
                      <w:rFonts w:hint="eastAsia"/>
                      <w:sz w:val="21"/>
                      <w:szCs w:val="21"/>
                    </w:rPr>
                    <w:t>污水排入城镇下水道水质标准(GB/T 31962-2015)</w:t>
                  </w:r>
                </w:p>
              </w:tc>
            </w:tr>
          </w:tbl>
          <w:p w14:paraId="7F12E0FE">
            <w:pPr>
              <w:pStyle w:val="8"/>
              <w:adjustRightInd w:val="0"/>
              <w:snapToGrid w:val="0"/>
              <w:spacing w:beforeLines="50" w:line="360" w:lineRule="auto"/>
              <w:ind w:firstLine="422" w:firstLineChars="200"/>
              <w:rPr>
                <w:b/>
                <w:bCs/>
                <w:szCs w:val="21"/>
              </w:rPr>
            </w:pPr>
            <w:r>
              <w:rPr>
                <w:b/>
                <w:bCs/>
                <w:szCs w:val="21"/>
              </w:rPr>
              <w:t>（3）废水回用可行性分析</w:t>
            </w:r>
          </w:p>
          <w:p w14:paraId="74FF55C5">
            <w:pPr>
              <w:pStyle w:val="8"/>
              <w:adjustRightInd w:val="0"/>
              <w:snapToGrid w:val="0"/>
              <w:spacing w:line="360" w:lineRule="auto"/>
              <w:ind w:firstLine="422" w:firstLineChars="200"/>
              <w:rPr>
                <w:b/>
                <w:bCs/>
                <w:szCs w:val="21"/>
              </w:rPr>
            </w:pPr>
            <w:r>
              <w:rPr>
                <w:b/>
                <w:bCs/>
                <w:szCs w:val="21"/>
              </w:rPr>
              <w:t>①废水产生情况</w:t>
            </w:r>
          </w:p>
          <w:p w14:paraId="333EE3EC">
            <w:pPr>
              <w:pStyle w:val="5"/>
              <w:adjustRightInd w:val="0"/>
              <w:snapToGrid w:val="0"/>
              <w:spacing w:line="360" w:lineRule="auto"/>
              <w:ind w:firstLine="420"/>
              <w:rPr>
                <w:szCs w:val="21"/>
              </w:rPr>
            </w:pPr>
            <w:r>
              <w:rPr>
                <w:szCs w:val="21"/>
              </w:rPr>
              <w:t>根据企业提供的废水设计方案中混合废水的水质情况，模具清洗废水类比《</w:t>
            </w:r>
            <w:r>
              <w:rPr>
                <w:rFonts w:hint="eastAsia"/>
                <w:szCs w:val="21"/>
              </w:rPr>
              <w:t>常州市致远橡胶制品厂新能源汽车零部件生产项目</w:t>
            </w:r>
            <w:r>
              <w:rPr>
                <w:szCs w:val="21"/>
              </w:rPr>
              <w:t>》中模具清洗工段的实测数据，各污染物浓度产生及各废水产生情况见表4-1</w:t>
            </w:r>
            <w:r>
              <w:rPr>
                <w:rFonts w:hint="eastAsia"/>
                <w:szCs w:val="21"/>
              </w:rPr>
              <w:t>8</w:t>
            </w:r>
            <w:r>
              <w:rPr>
                <w:szCs w:val="21"/>
              </w:rPr>
              <w:t>。</w:t>
            </w:r>
          </w:p>
          <w:p w14:paraId="662DD2D7">
            <w:pPr>
              <w:pStyle w:val="8"/>
              <w:adjustRightInd w:val="0"/>
              <w:snapToGrid w:val="0"/>
              <w:spacing w:beforeLines="50"/>
              <w:jc w:val="center"/>
              <w:rPr>
                <w:b/>
                <w:bCs/>
                <w:szCs w:val="21"/>
              </w:rPr>
            </w:pPr>
            <w:r>
              <w:rPr>
                <w:b/>
                <w:bCs/>
                <w:szCs w:val="21"/>
              </w:rPr>
              <w:t>表4-1</w:t>
            </w:r>
            <w:r>
              <w:rPr>
                <w:rFonts w:hint="eastAsia"/>
                <w:b/>
                <w:bCs/>
                <w:szCs w:val="21"/>
              </w:rPr>
              <w:t>8</w:t>
            </w:r>
            <w:r>
              <w:rPr>
                <w:b/>
                <w:bCs/>
                <w:szCs w:val="21"/>
              </w:rPr>
              <w:t xml:space="preserve">  综合废水产生情况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63"/>
              <w:gridCol w:w="1718"/>
              <w:gridCol w:w="1882"/>
              <w:gridCol w:w="2288"/>
              <w:gridCol w:w="2079"/>
            </w:tblGrid>
            <w:tr w14:paraId="3CC8AE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Align w:val="center"/>
                </w:tcPr>
                <w:p w14:paraId="42CBF1DB">
                  <w:pPr>
                    <w:adjustRightInd w:val="0"/>
                    <w:snapToGrid w:val="0"/>
                    <w:jc w:val="center"/>
                    <w:rPr>
                      <w:b/>
                      <w:bCs/>
                      <w:szCs w:val="21"/>
                    </w:rPr>
                  </w:pPr>
                  <w:r>
                    <w:rPr>
                      <w:b/>
                      <w:bCs/>
                      <w:szCs w:val="21"/>
                    </w:rPr>
                    <w:t>废水类别</w:t>
                  </w:r>
                </w:p>
              </w:tc>
              <w:tc>
                <w:tcPr>
                  <w:tcW w:w="1718" w:type="dxa"/>
                  <w:vAlign w:val="center"/>
                </w:tcPr>
                <w:p w14:paraId="7EDF5604">
                  <w:pPr>
                    <w:adjustRightInd w:val="0"/>
                    <w:snapToGrid w:val="0"/>
                    <w:jc w:val="center"/>
                    <w:rPr>
                      <w:b/>
                      <w:bCs/>
                      <w:szCs w:val="21"/>
                    </w:rPr>
                  </w:pPr>
                  <w:r>
                    <w:rPr>
                      <w:b/>
                      <w:bCs/>
                      <w:szCs w:val="21"/>
                    </w:rPr>
                    <w:t>废水产生量（t/a）</w:t>
                  </w:r>
                </w:p>
              </w:tc>
              <w:tc>
                <w:tcPr>
                  <w:tcW w:w="1882" w:type="dxa"/>
                  <w:vAlign w:val="center"/>
                </w:tcPr>
                <w:p w14:paraId="5DD30C6D">
                  <w:pPr>
                    <w:adjustRightInd w:val="0"/>
                    <w:snapToGrid w:val="0"/>
                    <w:jc w:val="center"/>
                    <w:rPr>
                      <w:b/>
                      <w:bCs/>
                      <w:szCs w:val="21"/>
                    </w:rPr>
                  </w:pPr>
                  <w:r>
                    <w:rPr>
                      <w:b/>
                      <w:bCs/>
                      <w:szCs w:val="21"/>
                    </w:rPr>
                    <w:t>污染物类别</w:t>
                  </w:r>
                </w:p>
              </w:tc>
              <w:tc>
                <w:tcPr>
                  <w:tcW w:w="2288" w:type="dxa"/>
                  <w:vAlign w:val="center"/>
                </w:tcPr>
                <w:p w14:paraId="6531B532">
                  <w:pPr>
                    <w:adjustRightInd w:val="0"/>
                    <w:snapToGrid w:val="0"/>
                    <w:jc w:val="center"/>
                    <w:rPr>
                      <w:b/>
                      <w:bCs/>
                      <w:szCs w:val="21"/>
                    </w:rPr>
                  </w:pPr>
                  <w:r>
                    <w:rPr>
                      <w:b/>
                      <w:bCs/>
                      <w:szCs w:val="21"/>
                    </w:rPr>
                    <w:t>污染物产生浓度（mg/L）</w:t>
                  </w:r>
                </w:p>
              </w:tc>
              <w:tc>
                <w:tcPr>
                  <w:tcW w:w="2079" w:type="dxa"/>
                  <w:vAlign w:val="center"/>
                </w:tcPr>
                <w:p w14:paraId="3C14A63F">
                  <w:pPr>
                    <w:adjustRightInd w:val="0"/>
                    <w:snapToGrid w:val="0"/>
                    <w:jc w:val="center"/>
                    <w:rPr>
                      <w:b/>
                      <w:bCs/>
                      <w:szCs w:val="21"/>
                    </w:rPr>
                  </w:pPr>
                  <w:r>
                    <w:rPr>
                      <w:b/>
                      <w:bCs/>
                      <w:szCs w:val="21"/>
                    </w:rPr>
                    <w:t>污染物产生量（t/a）</w:t>
                  </w:r>
                </w:p>
              </w:tc>
            </w:tr>
            <w:tr w14:paraId="45B435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restart"/>
                  <w:vAlign w:val="center"/>
                </w:tcPr>
                <w:p w14:paraId="406D3ECC">
                  <w:pPr>
                    <w:adjustRightInd w:val="0"/>
                    <w:snapToGrid w:val="0"/>
                    <w:jc w:val="center"/>
                    <w:rPr>
                      <w:szCs w:val="21"/>
                    </w:rPr>
                  </w:pPr>
                  <w:r>
                    <w:rPr>
                      <w:szCs w:val="21"/>
                    </w:rPr>
                    <w:t>模具清洗废水</w:t>
                  </w:r>
                </w:p>
              </w:tc>
              <w:tc>
                <w:tcPr>
                  <w:tcW w:w="1718" w:type="dxa"/>
                  <w:vMerge w:val="restart"/>
                  <w:vAlign w:val="center"/>
                </w:tcPr>
                <w:p w14:paraId="156E6D1E">
                  <w:pPr>
                    <w:adjustRightInd w:val="0"/>
                    <w:snapToGrid w:val="0"/>
                    <w:jc w:val="center"/>
                    <w:rPr>
                      <w:szCs w:val="21"/>
                    </w:rPr>
                  </w:pPr>
                  <w:r>
                    <w:rPr>
                      <w:rFonts w:hint="eastAsia"/>
                      <w:szCs w:val="21"/>
                    </w:rPr>
                    <w:t>194.1</w:t>
                  </w:r>
                </w:p>
              </w:tc>
              <w:tc>
                <w:tcPr>
                  <w:tcW w:w="1882" w:type="dxa"/>
                  <w:vAlign w:val="center"/>
                </w:tcPr>
                <w:p w14:paraId="7CAA3D31">
                  <w:pPr>
                    <w:adjustRightInd w:val="0"/>
                    <w:snapToGrid w:val="0"/>
                    <w:jc w:val="center"/>
                    <w:rPr>
                      <w:szCs w:val="21"/>
                    </w:rPr>
                  </w:pPr>
                  <w:r>
                    <w:rPr>
                      <w:rFonts w:hint="eastAsia"/>
                      <w:szCs w:val="21"/>
                    </w:rPr>
                    <w:t>pH</w:t>
                  </w:r>
                </w:p>
              </w:tc>
              <w:tc>
                <w:tcPr>
                  <w:tcW w:w="2288" w:type="dxa"/>
                  <w:vAlign w:val="center"/>
                </w:tcPr>
                <w:p w14:paraId="0BDA0333">
                  <w:pPr>
                    <w:adjustRightInd w:val="0"/>
                    <w:snapToGrid w:val="0"/>
                    <w:jc w:val="center"/>
                    <w:rPr>
                      <w:szCs w:val="21"/>
                    </w:rPr>
                  </w:pPr>
                  <w:r>
                    <w:rPr>
                      <w:szCs w:val="21"/>
                    </w:rPr>
                    <w:t>12～14</w:t>
                  </w:r>
                </w:p>
              </w:tc>
              <w:tc>
                <w:tcPr>
                  <w:tcW w:w="2079" w:type="dxa"/>
                  <w:vAlign w:val="center"/>
                </w:tcPr>
                <w:p w14:paraId="217F6833">
                  <w:pPr>
                    <w:jc w:val="center"/>
                    <w:rPr>
                      <w:szCs w:val="21"/>
                    </w:rPr>
                  </w:pPr>
                  <w:r>
                    <w:rPr>
                      <w:szCs w:val="21"/>
                    </w:rPr>
                    <w:t>/</w:t>
                  </w:r>
                </w:p>
              </w:tc>
            </w:tr>
            <w:tr w14:paraId="6B7E06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5E074B0">
                  <w:pPr>
                    <w:adjustRightInd w:val="0"/>
                    <w:snapToGrid w:val="0"/>
                    <w:jc w:val="center"/>
                    <w:rPr>
                      <w:szCs w:val="21"/>
                    </w:rPr>
                  </w:pPr>
                </w:p>
              </w:tc>
              <w:tc>
                <w:tcPr>
                  <w:tcW w:w="1718" w:type="dxa"/>
                  <w:vMerge w:val="continue"/>
                  <w:vAlign w:val="center"/>
                </w:tcPr>
                <w:p w14:paraId="67CDA41E">
                  <w:pPr>
                    <w:adjustRightInd w:val="0"/>
                    <w:snapToGrid w:val="0"/>
                    <w:jc w:val="center"/>
                    <w:rPr>
                      <w:szCs w:val="21"/>
                    </w:rPr>
                  </w:pPr>
                </w:p>
              </w:tc>
              <w:tc>
                <w:tcPr>
                  <w:tcW w:w="1882" w:type="dxa"/>
                  <w:vAlign w:val="center"/>
                </w:tcPr>
                <w:p w14:paraId="130BB653">
                  <w:pPr>
                    <w:adjustRightInd w:val="0"/>
                    <w:snapToGrid w:val="0"/>
                    <w:jc w:val="center"/>
                    <w:rPr>
                      <w:szCs w:val="21"/>
                    </w:rPr>
                  </w:pPr>
                  <w:r>
                    <w:rPr>
                      <w:rFonts w:hint="eastAsia"/>
                      <w:szCs w:val="21"/>
                    </w:rPr>
                    <w:t>COD</w:t>
                  </w:r>
                </w:p>
              </w:tc>
              <w:tc>
                <w:tcPr>
                  <w:tcW w:w="2288" w:type="dxa"/>
                  <w:vAlign w:val="center"/>
                </w:tcPr>
                <w:p w14:paraId="71F13327">
                  <w:pPr>
                    <w:adjustRightInd w:val="0"/>
                    <w:snapToGrid w:val="0"/>
                    <w:jc w:val="center"/>
                    <w:rPr>
                      <w:szCs w:val="21"/>
                    </w:rPr>
                  </w:pPr>
                  <w:r>
                    <w:rPr>
                      <w:szCs w:val="21"/>
                    </w:rPr>
                    <w:t>8.27×10</w:t>
                  </w:r>
                  <w:r>
                    <w:rPr>
                      <w:szCs w:val="21"/>
                      <w:vertAlign w:val="superscript"/>
                    </w:rPr>
                    <w:t>3</w:t>
                  </w:r>
                </w:p>
              </w:tc>
              <w:tc>
                <w:tcPr>
                  <w:tcW w:w="2079" w:type="dxa"/>
                  <w:vAlign w:val="center"/>
                </w:tcPr>
                <w:p w14:paraId="65CF9C2E">
                  <w:pPr>
                    <w:jc w:val="center"/>
                    <w:rPr>
                      <w:szCs w:val="21"/>
                    </w:rPr>
                  </w:pPr>
                  <w:r>
                    <w:rPr>
                      <w:szCs w:val="21"/>
                    </w:rPr>
                    <w:t>1.605</w:t>
                  </w:r>
                </w:p>
              </w:tc>
            </w:tr>
            <w:tr w14:paraId="4674E3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31DC145F">
                  <w:pPr>
                    <w:adjustRightInd w:val="0"/>
                    <w:snapToGrid w:val="0"/>
                    <w:jc w:val="center"/>
                    <w:rPr>
                      <w:szCs w:val="21"/>
                    </w:rPr>
                  </w:pPr>
                </w:p>
              </w:tc>
              <w:tc>
                <w:tcPr>
                  <w:tcW w:w="1718" w:type="dxa"/>
                  <w:vMerge w:val="continue"/>
                  <w:vAlign w:val="center"/>
                </w:tcPr>
                <w:p w14:paraId="3BF8DDFA">
                  <w:pPr>
                    <w:adjustRightInd w:val="0"/>
                    <w:snapToGrid w:val="0"/>
                    <w:jc w:val="center"/>
                    <w:rPr>
                      <w:szCs w:val="21"/>
                    </w:rPr>
                  </w:pPr>
                </w:p>
              </w:tc>
              <w:tc>
                <w:tcPr>
                  <w:tcW w:w="1882" w:type="dxa"/>
                  <w:vAlign w:val="center"/>
                </w:tcPr>
                <w:p w14:paraId="660CB4F9">
                  <w:pPr>
                    <w:adjustRightInd w:val="0"/>
                    <w:snapToGrid w:val="0"/>
                    <w:jc w:val="center"/>
                    <w:rPr>
                      <w:szCs w:val="21"/>
                    </w:rPr>
                  </w:pPr>
                  <w:r>
                    <w:rPr>
                      <w:rFonts w:hint="eastAsia"/>
                      <w:szCs w:val="21"/>
                    </w:rPr>
                    <w:t>SS</w:t>
                  </w:r>
                </w:p>
              </w:tc>
              <w:tc>
                <w:tcPr>
                  <w:tcW w:w="2288" w:type="dxa"/>
                  <w:vAlign w:val="center"/>
                </w:tcPr>
                <w:p w14:paraId="0C5A37C5">
                  <w:pPr>
                    <w:adjustRightInd w:val="0"/>
                    <w:snapToGrid w:val="0"/>
                    <w:jc w:val="center"/>
                    <w:rPr>
                      <w:szCs w:val="21"/>
                    </w:rPr>
                  </w:pPr>
                  <w:r>
                    <w:rPr>
                      <w:szCs w:val="21"/>
                    </w:rPr>
                    <w:t>35</w:t>
                  </w:r>
                </w:p>
              </w:tc>
              <w:tc>
                <w:tcPr>
                  <w:tcW w:w="2079" w:type="dxa"/>
                  <w:vAlign w:val="center"/>
                </w:tcPr>
                <w:p w14:paraId="665BFC12">
                  <w:pPr>
                    <w:jc w:val="center"/>
                    <w:rPr>
                      <w:szCs w:val="21"/>
                    </w:rPr>
                  </w:pPr>
                  <w:r>
                    <w:rPr>
                      <w:szCs w:val="21"/>
                    </w:rPr>
                    <w:t>0.007</w:t>
                  </w:r>
                </w:p>
              </w:tc>
            </w:tr>
            <w:tr w14:paraId="2C78E9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1C6A4367">
                  <w:pPr>
                    <w:adjustRightInd w:val="0"/>
                    <w:snapToGrid w:val="0"/>
                    <w:jc w:val="center"/>
                    <w:rPr>
                      <w:szCs w:val="21"/>
                    </w:rPr>
                  </w:pPr>
                </w:p>
              </w:tc>
              <w:tc>
                <w:tcPr>
                  <w:tcW w:w="1718" w:type="dxa"/>
                  <w:vMerge w:val="continue"/>
                  <w:vAlign w:val="center"/>
                </w:tcPr>
                <w:p w14:paraId="1D683691">
                  <w:pPr>
                    <w:adjustRightInd w:val="0"/>
                    <w:snapToGrid w:val="0"/>
                    <w:jc w:val="center"/>
                    <w:rPr>
                      <w:szCs w:val="21"/>
                    </w:rPr>
                  </w:pPr>
                </w:p>
              </w:tc>
              <w:tc>
                <w:tcPr>
                  <w:tcW w:w="1882" w:type="dxa"/>
                  <w:vAlign w:val="center"/>
                </w:tcPr>
                <w:p w14:paraId="78E763DD">
                  <w:pPr>
                    <w:adjustRightInd w:val="0"/>
                    <w:snapToGrid w:val="0"/>
                    <w:jc w:val="center"/>
                    <w:rPr>
                      <w:szCs w:val="21"/>
                    </w:rPr>
                  </w:pPr>
                  <w:r>
                    <w:rPr>
                      <w:szCs w:val="21"/>
                    </w:rPr>
                    <w:t>石油类</w:t>
                  </w:r>
                </w:p>
              </w:tc>
              <w:tc>
                <w:tcPr>
                  <w:tcW w:w="2288" w:type="dxa"/>
                  <w:vAlign w:val="center"/>
                </w:tcPr>
                <w:p w14:paraId="65D0D16F">
                  <w:pPr>
                    <w:adjustRightInd w:val="0"/>
                    <w:snapToGrid w:val="0"/>
                    <w:jc w:val="center"/>
                    <w:rPr>
                      <w:szCs w:val="21"/>
                    </w:rPr>
                  </w:pPr>
                  <w:r>
                    <w:rPr>
                      <w:szCs w:val="21"/>
                    </w:rPr>
                    <w:t>0.64</w:t>
                  </w:r>
                </w:p>
              </w:tc>
              <w:tc>
                <w:tcPr>
                  <w:tcW w:w="2079" w:type="dxa"/>
                  <w:vAlign w:val="center"/>
                </w:tcPr>
                <w:p w14:paraId="32C7451F">
                  <w:pPr>
                    <w:jc w:val="center"/>
                    <w:rPr>
                      <w:szCs w:val="21"/>
                    </w:rPr>
                  </w:pPr>
                  <w:r>
                    <w:rPr>
                      <w:szCs w:val="21"/>
                    </w:rPr>
                    <w:t>0.0001</w:t>
                  </w:r>
                </w:p>
              </w:tc>
            </w:tr>
            <w:tr w14:paraId="3E97FA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26C7671C">
                  <w:pPr>
                    <w:adjustRightInd w:val="0"/>
                    <w:snapToGrid w:val="0"/>
                    <w:jc w:val="center"/>
                    <w:rPr>
                      <w:szCs w:val="21"/>
                    </w:rPr>
                  </w:pPr>
                </w:p>
              </w:tc>
              <w:tc>
                <w:tcPr>
                  <w:tcW w:w="1718" w:type="dxa"/>
                  <w:vMerge w:val="continue"/>
                  <w:vAlign w:val="center"/>
                </w:tcPr>
                <w:p w14:paraId="03307A9C">
                  <w:pPr>
                    <w:adjustRightInd w:val="0"/>
                    <w:snapToGrid w:val="0"/>
                    <w:jc w:val="center"/>
                    <w:rPr>
                      <w:szCs w:val="21"/>
                    </w:rPr>
                  </w:pPr>
                </w:p>
              </w:tc>
              <w:tc>
                <w:tcPr>
                  <w:tcW w:w="1882" w:type="dxa"/>
                  <w:vAlign w:val="center"/>
                </w:tcPr>
                <w:p w14:paraId="05A77EE3">
                  <w:pPr>
                    <w:adjustRightInd w:val="0"/>
                    <w:snapToGrid w:val="0"/>
                    <w:jc w:val="center"/>
                    <w:rPr>
                      <w:szCs w:val="21"/>
                    </w:rPr>
                  </w:pPr>
                  <w:r>
                    <w:rPr>
                      <w:szCs w:val="21"/>
                    </w:rPr>
                    <w:t>阴离子表面活性剂</w:t>
                  </w:r>
                </w:p>
              </w:tc>
              <w:tc>
                <w:tcPr>
                  <w:tcW w:w="2288" w:type="dxa"/>
                  <w:vAlign w:val="center"/>
                </w:tcPr>
                <w:p w14:paraId="039B045D">
                  <w:pPr>
                    <w:adjustRightInd w:val="0"/>
                    <w:snapToGrid w:val="0"/>
                    <w:jc w:val="center"/>
                    <w:rPr>
                      <w:szCs w:val="21"/>
                    </w:rPr>
                  </w:pPr>
                  <w:r>
                    <w:rPr>
                      <w:szCs w:val="21"/>
                    </w:rPr>
                    <w:t>0.88</w:t>
                  </w:r>
                </w:p>
              </w:tc>
              <w:tc>
                <w:tcPr>
                  <w:tcW w:w="2079" w:type="dxa"/>
                  <w:vAlign w:val="center"/>
                </w:tcPr>
                <w:p w14:paraId="3B02F274">
                  <w:pPr>
                    <w:jc w:val="center"/>
                    <w:rPr>
                      <w:szCs w:val="21"/>
                    </w:rPr>
                  </w:pPr>
                  <w:r>
                    <w:rPr>
                      <w:szCs w:val="21"/>
                    </w:rPr>
                    <w:t>0.0002</w:t>
                  </w:r>
                </w:p>
              </w:tc>
            </w:tr>
            <w:tr w14:paraId="02D09A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restart"/>
                  <w:vAlign w:val="center"/>
                </w:tcPr>
                <w:p w14:paraId="2B9E87D6">
                  <w:pPr>
                    <w:adjustRightInd w:val="0"/>
                    <w:snapToGrid w:val="0"/>
                    <w:jc w:val="center"/>
                    <w:rPr>
                      <w:szCs w:val="21"/>
                    </w:rPr>
                  </w:pPr>
                  <w:r>
                    <w:rPr>
                      <w:szCs w:val="21"/>
                    </w:rPr>
                    <w:t>脱脂水洗废水</w:t>
                  </w:r>
                </w:p>
              </w:tc>
              <w:tc>
                <w:tcPr>
                  <w:tcW w:w="1718" w:type="dxa"/>
                  <w:vMerge w:val="restart"/>
                  <w:vAlign w:val="center"/>
                </w:tcPr>
                <w:p w14:paraId="51ECF4FF">
                  <w:pPr>
                    <w:adjustRightInd w:val="0"/>
                    <w:snapToGrid w:val="0"/>
                    <w:jc w:val="center"/>
                    <w:rPr>
                      <w:szCs w:val="21"/>
                    </w:rPr>
                  </w:pPr>
                  <w:r>
                    <w:rPr>
                      <w:rFonts w:hint="eastAsia"/>
                      <w:szCs w:val="21"/>
                    </w:rPr>
                    <w:t>864</w:t>
                  </w:r>
                </w:p>
              </w:tc>
              <w:tc>
                <w:tcPr>
                  <w:tcW w:w="1882" w:type="dxa"/>
                  <w:vAlign w:val="center"/>
                </w:tcPr>
                <w:p w14:paraId="2BDE9448">
                  <w:pPr>
                    <w:snapToGrid w:val="0"/>
                    <w:jc w:val="center"/>
                    <w:rPr>
                      <w:szCs w:val="21"/>
                    </w:rPr>
                  </w:pPr>
                  <w:r>
                    <w:rPr>
                      <w:szCs w:val="21"/>
                    </w:rPr>
                    <w:t>pH</w:t>
                  </w:r>
                </w:p>
              </w:tc>
              <w:tc>
                <w:tcPr>
                  <w:tcW w:w="2288" w:type="dxa"/>
                  <w:vAlign w:val="center"/>
                </w:tcPr>
                <w:p w14:paraId="7FA5FA85">
                  <w:pPr>
                    <w:snapToGrid w:val="0"/>
                    <w:jc w:val="center"/>
                    <w:rPr>
                      <w:szCs w:val="21"/>
                    </w:rPr>
                  </w:pPr>
                  <w:r>
                    <w:rPr>
                      <w:szCs w:val="21"/>
                    </w:rPr>
                    <w:t>12～13</w:t>
                  </w:r>
                </w:p>
              </w:tc>
              <w:tc>
                <w:tcPr>
                  <w:tcW w:w="2079" w:type="dxa"/>
                  <w:vAlign w:val="center"/>
                </w:tcPr>
                <w:p w14:paraId="619461EF">
                  <w:pPr>
                    <w:jc w:val="center"/>
                    <w:rPr>
                      <w:szCs w:val="21"/>
                    </w:rPr>
                  </w:pPr>
                  <w:r>
                    <w:rPr>
                      <w:szCs w:val="21"/>
                    </w:rPr>
                    <w:t>/</w:t>
                  </w:r>
                </w:p>
              </w:tc>
            </w:tr>
            <w:tr w14:paraId="06D3CF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7707AE44">
                  <w:pPr>
                    <w:adjustRightInd w:val="0"/>
                    <w:snapToGrid w:val="0"/>
                    <w:jc w:val="center"/>
                    <w:rPr>
                      <w:szCs w:val="21"/>
                    </w:rPr>
                  </w:pPr>
                </w:p>
              </w:tc>
              <w:tc>
                <w:tcPr>
                  <w:tcW w:w="1718" w:type="dxa"/>
                  <w:vMerge w:val="continue"/>
                  <w:vAlign w:val="center"/>
                </w:tcPr>
                <w:p w14:paraId="4E046929">
                  <w:pPr>
                    <w:adjustRightInd w:val="0"/>
                    <w:snapToGrid w:val="0"/>
                    <w:jc w:val="center"/>
                    <w:rPr>
                      <w:szCs w:val="21"/>
                    </w:rPr>
                  </w:pPr>
                </w:p>
              </w:tc>
              <w:tc>
                <w:tcPr>
                  <w:tcW w:w="1882" w:type="dxa"/>
                  <w:vAlign w:val="center"/>
                </w:tcPr>
                <w:p w14:paraId="6AA237C8">
                  <w:pPr>
                    <w:snapToGrid w:val="0"/>
                    <w:jc w:val="center"/>
                    <w:rPr>
                      <w:szCs w:val="21"/>
                    </w:rPr>
                  </w:pPr>
                  <w:r>
                    <w:rPr>
                      <w:szCs w:val="21"/>
                    </w:rPr>
                    <w:t>COD</w:t>
                  </w:r>
                </w:p>
              </w:tc>
              <w:tc>
                <w:tcPr>
                  <w:tcW w:w="2288" w:type="dxa"/>
                  <w:vAlign w:val="center"/>
                </w:tcPr>
                <w:p w14:paraId="07DD5796">
                  <w:pPr>
                    <w:snapToGrid w:val="0"/>
                    <w:jc w:val="center"/>
                    <w:rPr>
                      <w:szCs w:val="21"/>
                    </w:rPr>
                  </w:pPr>
                  <w:r>
                    <w:rPr>
                      <w:szCs w:val="21"/>
                    </w:rPr>
                    <w:t>700</w:t>
                  </w:r>
                </w:p>
              </w:tc>
              <w:tc>
                <w:tcPr>
                  <w:tcW w:w="2079" w:type="dxa"/>
                  <w:vAlign w:val="center"/>
                </w:tcPr>
                <w:p w14:paraId="784EF932">
                  <w:pPr>
                    <w:jc w:val="center"/>
                    <w:rPr>
                      <w:szCs w:val="21"/>
                    </w:rPr>
                  </w:pPr>
                  <w:r>
                    <w:rPr>
                      <w:szCs w:val="21"/>
                    </w:rPr>
                    <w:t>0.605</w:t>
                  </w:r>
                </w:p>
              </w:tc>
            </w:tr>
            <w:tr w14:paraId="28E931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4D9E680">
                  <w:pPr>
                    <w:adjustRightInd w:val="0"/>
                    <w:snapToGrid w:val="0"/>
                    <w:jc w:val="center"/>
                    <w:rPr>
                      <w:szCs w:val="21"/>
                    </w:rPr>
                  </w:pPr>
                </w:p>
              </w:tc>
              <w:tc>
                <w:tcPr>
                  <w:tcW w:w="1718" w:type="dxa"/>
                  <w:vMerge w:val="continue"/>
                  <w:vAlign w:val="center"/>
                </w:tcPr>
                <w:p w14:paraId="2CC6C60E">
                  <w:pPr>
                    <w:adjustRightInd w:val="0"/>
                    <w:snapToGrid w:val="0"/>
                    <w:jc w:val="center"/>
                    <w:rPr>
                      <w:szCs w:val="21"/>
                    </w:rPr>
                  </w:pPr>
                </w:p>
              </w:tc>
              <w:tc>
                <w:tcPr>
                  <w:tcW w:w="1882" w:type="dxa"/>
                  <w:vAlign w:val="center"/>
                </w:tcPr>
                <w:p w14:paraId="4F269E1A">
                  <w:pPr>
                    <w:snapToGrid w:val="0"/>
                    <w:jc w:val="center"/>
                    <w:rPr>
                      <w:szCs w:val="21"/>
                    </w:rPr>
                  </w:pPr>
                  <w:r>
                    <w:rPr>
                      <w:rFonts w:hAnsi="宋体"/>
                      <w:szCs w:val="21"/>
                    </w:rPr>
                    <w:t>石油类</w:t>
                  </w:r>
                </w:p>
              </w:tc>
              <w:tc>
                <w:tcPr>
                  <w:tcW w:w="2288" w:type="dxa"/>
                  <w:vAlign w:val="center"/>
                </w:tcPr>
                <w:p w14:paraId="6A8A6204">
                  <w:pPr>
                    <w:snapToGrid w:val="0"/>
                    <w:jc w:val="center"/>
                    <w:rPr>
                      <w:szCs w:val="21"/>
                    </w:rPr>
                  </w:pPr>
                  <w:r>
                    <w:rPr>
                      <w:szCs w:val="21"/>
                    </w:rPr>
                    <w:t>50</w:t>
                  </w:r>
                </w:p>
              </w:tc>
              <w:tc>
                <w:tcPr>
                  <w:tcW w:w="2079" w:type="dxa"/>
                  <w:vAlign w:val="center"/>
                </w:tcPr>
                <w:p w14:paraId="5A5E001E">
                  <w:pPr>
                    <w:jc w:val="center"/>
                    <w:rPr>
                      <w:szCs w:val="21"/>
                    </w:rPr>
                  </w:pPr>
                  <w:r>
                    <w:rPr>
                      <w:szCs w:val="21"/>
                    </w:rPr>
                    <w:t>0.043</w:t>
                  </w:r>
                </w:p>
              </w:tc>
            </w:tr>
            <w:tr w14:paraId="5F1FE2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07B37D6F">
                  <w:pPr>
                    <w:adjustRightInd w:val="0"/>
                    <w:snapToGrid w:val="0"/>
                    <w:jc w:val="center"/>
                    <w:rPr>
                      <w:szCs w:val="21"/>
                    </w:rPr>
                  </w:pPr>
                </w:p>
              </w:tc>
              <w:tc>
                <w:tcPr>
                  <w:tcW w:w="1718" w:type="dxa"/>
                  <w:vMerge w:val="continue"/>
                  <w:vAlign w:val="center"/>
                </w:tcPr>
                <w:p w14:paraId="5259CDE1">
                  <w:pPr>
                    <w:adjustRightInd w:val="0"/>
                    <w:snapToGrid w:val="0"/>
                    <w:jc w:val="center"/>
                    <w:rPr>
                      <w:szCs w:val="21"/>
                    </w:rPr>
                  </w:pPr>
                </w:p>
              </w:tc>
              <w:tc>
                <w:tcPr>
                  <w:tcW w:w="1882" w:type="dxa"/>
                  <w:vAlign w:val="center"/>
                </w:tcPr>
                <w:p w14:paraId="211F1411">
                  <w:pPr>
                    <w:snapToGrid w:val="0"/>
                    <w:jc w:val="center"/>
                    <w:rPr>
                      <w:szCs w:val="21"/>
                    </w:rPr>
                  </w:pPr>
                  <w:r>
                    <w:rPr>
                      <w:szCs w:val="21"/>
                    </w:rPr>
                    <w:t>SS</w:t>
                  </w:r>
                </w:p>
              </w:tc>
              <w:tc>
                <w:tcPr>
                  <w:tcW w:w="2288" w:type="dxa"/>
                  <w:vAlign w:val="center"/>
                </w:tcPr>
                <w:p w14:paraId="4C18332B">
                  <w:pPr>
                    <w:snapToGrid w:val="0"/>
                    <w:jc w:val="center"/>
                    <w:rPr>
                      <w:szCs w:val="21"/>
                    </w:rPr>
                  </w:pPr>
                  <w:r>
                    <w:rPr>
                      <w:szCs w:val="21"/>
                    </w:rPr>
                    <w:t>300</w:t>
                  </w:r>
                </w:p>
              </w:tc>
              <w:tc>
                <w:tcPr>
                  <w:tcW w:w="2079" w:type="dxa"/>
                  <w:vAlign w:val="center"/>
                </w:tcPr>
                <w:p w14:paraId="08D2FA03">
                  <w:pPr>
                    <w:jc w:val="center"/>
                    <w:rPr>
                      <w:szCs w:val="21"/>
                    </w:rPr>
                  </w:pPr>
                  <w:r>
                    <w:rPr>
                      <w:szCs w:val="21"/>
                    </w:rPr>
                    <w:t>0.259</w:t>
                  </w:r>
                </w:p>
              </w:tc>
            </w:tr>
            <w:tr w14:paraId="724189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71268FCD">
                  <w:pPr>
                    <w:adjustRightInd w:val="0"/>
                    <w:snapToGrid w:val="0"/>
                    <w:jc w:val="center"/>
                    <w:rPr>
                      <w:szCs w:val="21"/>
                    </w:rPr>
                  </w:pPr>
                </w:p>
              </w:tc>
              <w:tc>
                <w:tcPr>
                  <w:tcW w:w="1718" w:type="dxa"/>
                  <w:vMerge w:val="continue"/>
                  <w:vAlign w:val="center"/>
                </w:tcPr>
                <w:p w14:paraId="5B8B599D">
                  <w:pPr>
                    <w:adjustRightInd w:val="0"/>
                    <w:snapToGrid w:val="0"/>
                    <w:jc w:val="center"/>
                    <w:rPr>
                      <w:szCs w:val="21"/>
                    </w:rPr>
                  </w:pPr>
                </w:p>
              </w:tc>
              <w:tc>
                <w:tcPr>
                  <w:tcW w:w="1882" w:type="dxa"/>
                  <w:vAlign w:val="center"/>
                </w:tcPr>
                <w:p w14:paraId="64676280">
                  <w:pPr>
                    <w:snapToGrid w:val="0"/>
                    <w:jc w:val="center"/>
                    <w:rPr>
                      <w:szCs w:val="21"/>
                    </w:rPr>
                  </w:pPr>
                  <w:r>
                    <w:rPr>
                      <w:bCs/>
                      <w:szCs w:val="21"/>
                    </w:rPr>
                    <w:t>阴离子表面活性剂</w:t>
                  </w:r>
                </w:p>
              </w:tc>
              <w:tc>
                <w:tcPr>
                  <w:tcW w:w="2288" w:type="dxa"/>
                  <w:vAlign w:val="center"/>
                </w:tcPr>
                <w:p w14:paraId="44A3F1A0">
                  <w:pPr>
                    <w:snapToGrid w:val="0"/>
                    <w:jc w:val="center"/>
                    <w:rPr>
                      <w:szCs w:val="21"/>
                    </w:rPr>
                  </w:pPr>
                  <w:r>
                    <w:rPr>
                      <w:szCs w:val="21"/>
                    </w:rPr>
                    <w:t>0.15</w:t>
                  </w:r>
                </w:p>
              </w:tc>
              <w:tc>
                <w:tcPr>
                  <w:tcW w:w="2079" w:type="dxa"/>
                  <w:vAlign w:val="center"/>
                </w:tcPr>
                <w:p w14:paraId="7FD5001F">
                  <w:pPr>
                    <w:jc w:val="center"/>
                    <w:rPr>
                      <w:szCs w:val="21"/>
                    </w:rPr>
                  </w:pPr>
                  <w:r>
                    <w:rPr>
                      <w:szCs w:val="21"/>
                    </w:rPr>
                    <w:t>0.0001</w:t>
                  </w:r>
                </w:p>
              </w:tc>
            </w:tr>
            <w:tr w14:paraId="3E9FCD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restart"/>
                  <w:vAlign w:val="center"/>
                </w:tcPr>
                <w:p w14:paraId="68B356F0">
                  <w:pPr>
                    <w:adjustRightInd w:val="0"/>
                    <w:snapToGrid w:val="0"/>
                    <w:jc w:val="center"/>
                    <w:rPr>
                      <w:szCs w:val="21"/>
                    </w:rPr>
                  </w:pPr>
                  <w:r>
                    <w:rPr>
                      <w:szCs w:val="21"/>
                      <w:highlight w:val="black"/>
                    </w:rPr>
                    <w:t>水洗废水</w:t>
                  </w:r>
                </w:p>
              </w:tc>
              <w:tc>
                <w:tcPr>
                  <w:tcW w:w="1718" w:type="dxa"/>
                  <w:vMerge w:val="restart"/>
                  <w:vAlign w:val="center"/>
                </w:tcPr>
                <w:p w14:paraId="0FFD357D">
                  <w:pPr>
                    <w:adjustRightInd w:val="0"/>
                    <w:snapToGrid w:val="0"/>
                    <w:jc w:val="center"/>
                    <w:rPr>
                      <w:szCs w:val="21"/>
                    </w:rPr>
                  </w:pPr>
                  <w:r>
                    <w:rPr>
                      <w:rFonts w:hint="eastAsia"/>
                      <w:szCs w:val="21"/>
                    </w:rPr>
                    <w:t>675</w:t>
                  </w:r>
                </w:p>
              </w:tc>
              <w:tc>
                <w:tcPr>
                  <w:tcW w:w="1882" w:type="dxa"/>
                  <w:vAlign w:val="center"/>
                </w:tcPr>
                <w:p w14:paraId="2917E9E6">
                  <w:pPr>
                    <w:snapToGrid w:val="0"/>
                    <w:jc w:val="center"/>
                    <w:rPr>
                      <w:szCs w:val="21"/>
                    </w:rPr>
                  </w:pPr>
                  <w:r>
                    <w:rPr>
                      <w:szCs w:val="21"/>
                    </w:rPr>
                    <w:t>pH</w:t>
                  </w:r>
                </w:p>
              </w:tc>
              <w:tc>
                <w:tcPr>
                  <w:tcW w:w="2288" w:type="dxa"/>
                  <w:vAlign w:val="center"/>
                </w:tcPr>
                <w:p w14:paraId="1C30E592">
                  <w:pPr>
                    <w:snapToGrid w:val="0"/>
                    <w:jc w:val="center"/>
                    <w:rPr>
                      <w:szCs w:val="21"/>
                    </w:rPr>
                  </w:pPr>
                  <w:r>
                    <w:rPr>
                      <w:szCs w:val="21"/>
                    </w:rPr>
                    <w:t>5～6</w:t>
                  </w:r>
                </w:p>
              </w:tc>
              <w:tc>
                <w:tcPr>
                  <w:tcW w:w="2079" w:type="dxa"/>
                  <w:vAlign w:val="center"/>
                </w:tcPr>
                <w:p w14:paraId="18996DAB">
                  <w:pPr>
                    <w:jc w:val="center"/>
                    <w:rPr>
                      <w:szCs w:val="21"/>
                    </w:rPr>
                  </w:pPr>
                  <w:r>
                    <w:rPr>
                      <w:szCs w:val="21"/>
                    </w:rPr>
                    <w:t>/</w:t>
                  </w:r>
                </w:p>
              </w:tc>
            </w:tr>
            <w:tr w14:paraId="51B45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232C05B5">
                  <w:pPr>
                    <w:adjustRightInd w:val="0"/>
                    <w:snapToGrid w:val="0"/>
                    <w:jc w:val="center"/>
                    <w:rPr>
                      <w:szCs w:val="21"/>
                    </w:rPr>
                  </w:pPr>
                </w:p>
              </w:tc>
              <w:tc>
                <w:tcPr>
                  <w:tcW w:w="1718" w:type="dxa"/>
                  <w:vMerge w:val="continue"/>
                  <w:vAlign w:val="center"/>
                </w:tcPr>
                <w:p w14:paraId="59B77086">
                  <w:pPr>
                    <w:adjustRightInd w:val="0"/>
                    <w:snapToGrid w:val="0"/>
                    <w:jc w:val="center"/>
                    <w:rPr>
                      <w:szCs w:val="21"/>
                    </w:rPr>
                  </w:pPr>
                </w:p>
              </w:tc>
              <w:tc>
                <w:tcPr>
                  <w:tcW w:w="1882" w:type="dxa"/>
                  <w:vAlign w:val="center"/>
                </w:tcPr>
                <w:p w14:paraId="0D75387A">
                  <w:pPr>
                    <w:snapToGrid w:val="0"/>
                    <w:jc w:val="center"/>
                    <w:rPr>
                      <w:szCs w:val="21"/>
                    </w:rPr>
                  </w:pPr>
                  <w:r>
                    <w:rPr>
                      <w:szCs w:val="21"/>
                    </w:rPr>
                    <w:t>COD</w:t>
                  </w:r>
                </w:p>
              </w:tc>
              <w:tc>
                <w:tcPr>
                  <w:tcW w:w="2288" w:type="dxa"/>
                  <w:vAlign w:val="center"/>
                </w:tcPr>
                <w:p w14:paraId="4D91B72A">
                  <w:pPr>
                    <w:snapToGrid w:val="0"/>
                    <w:jc w:val="center"/>
                    <w:rPr>
                      <w:szCs w:val="21"/>
                    </w:rPr>
                  </w:pPr>
                  <w:r>
                    <w:rPr>
                      <w:szCs w:val="21"/>
                    </w:rPr>
                    <w:t>500</w:t>
                  </w:r>
                </w:p>
              </w:tc>
              <w:tc>
                <w:tcPr>
                  <w:tcW w:w="2079" w:type="dxa"/>
                  <w:vAlign w:val="center"/>
                </w:tcPr>
                <w:p w14:paraId="56C9D7DD">
                  <w:pPr>
                    <w:jc w:val="center"/>
                    <w:rPr>
                      <w:szCs w:val="21"/>
                    </w:rPr>
                  </w:pPr>
                  <w:r>
                    <w:rPr>
                      <w:szCs w:val="21"/>
                    </w:rPr>
                    <w:t>0.338</w:t>
                  </w:r>
                </w:p>
              </w:tc>
            </w:tr>
            <w:tr w14:paraId="76ED85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19AB81B">
                  <w:pPr>
                    <w:adjustRightInd w:val="0"/>
                    <w:snapToGrid w:val="0"/>
                    <w:jc w:val="center"/>
                    <w:rPr>
                      <w:szCs w:val="21"/>
                    </w:rPr>
                  </w:pPr>
                </w:p>
              </w:tc>
              <w:tc>
                <w:tcPr>
                  <w:tcW w:w="1718" w:type="dxa"/>
                  <w:vMerge w:val="continue"/>
                  <w:vAlign w:val="center"/>
                </w:tcPr>
                <w:p w14:paraId="69FBA565">
                  <w:pPr>
                    <w:adjustRightInd w:val="0"/>
                    <w:snapToGrid w:val="0"/>
                    <w:jc w:val="center"/>
                    <w:rPr>
                      <w:szCs w:val="21"/>
                    </w:rPr>
                  </w:pPr>
                </w:p>
              </w:tc>
              <w:tc>
                <w:tcPr>
                  <w:tcW w:w="1882" w:type="dxa"/>
                  <w:vAlign w:val="center"/>
                </w:tcPr>
                <w:p w14:paraId="05776B50">
                  <w:pPr>
                    <w:snapToGrid w:val="0"/>
                    <w:jc w:val="center"/>
                    <w:rPr>
                      <w:szCs w:val="21"/>
                    </w:rPr>
                  </w:pPr>
                  <w:r>
                    <w:rPr>
                      <w:szCs w:val="21"/>
                    </w:rPr>
                    <w:t>SS</w:t>
                  </w:r>
                </w:p>
              </w:tc>
              <w:tc>
                <w:tcPr>
                  <w:tcW w:w="2288" w:type="dxa"/>
                  <w:vAlign w:val="center"/>
                </w:tcPr>
                <w:p w14:paraId="68E03FA7">
                  <w:pPr>
                    <w:snapToGrid w:val="0"/>
                    <w:jc w:val="center"/>
                    <w:rPr>
                      <w:szCs w:val="21"/>
                    </w:rPr>
                  </w:pPr>
                  <w:r>
                    <w:rPr>
                      <w:szCs w:val="21"/>
                    </w:rPr>
                    <w:t>200</w:t>
                  </w:r>
                </w:p>
              </w:tc>
              <w:tc>
                <w:tcPr>
                  <w:tcW w:w="2079" w:type="dxa"/>
                  <w:vAlign w:val="center"/>
                </w:tcPr>
                <w:p w14:paraId="07E64F9F">
                  <w:pPr>
                    <w:jc w:val="center"/>
                    <w:rPr>
                      <w:szCs w:val="21"/>
                    </w:rPr>
                  </w:pPr>
                  <w:r>
                    <w:rPr>
                      <w:szCs w:val="21"/>
                    </w:rPr>
                    <w:t>0.135</w:t>
                  </w:r>
                </w:p>
              </w:tc>
            </w:tr>
            <w:tr w14:paraId="5D79BB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2231F7E2">
                  <w:pPr>
                    <w:adjustRightInd w:val="0"/>
                    <w:snapToGrid w:val="0"/>
                    <w:jc w:val="center"/>
                    <w:rPr>
                      <w:szCs w:val="21"/>
                    </w:rPr>
                  </w:pPr>
                </w:p>
              </w:tc>
              <w:tc>
                <w:tcPr>
                  <w:tcW w:w="1718" w:type="dxa"/>
                  <w:vMerge w:val="continue"/>
                  <w:vAlign w:val="center"/>
                </w:tcPr>
                <w:p w14:paraId="7C3E1A0A">
                  <w:pPr>
                    <w:adjustRightInd w:val="0"/>
                    <w:snapToGrid w:val="0"/>
                    <w:jc w:val="center"/>
                    <w:rPr>
                      <w:szCs w:val="21"/>
                    </w:rPr>
                  </w:pPr>
                </w:p>
              </w:tc>
              <w:tc>
                <w:tcPr>
                  <w:tcW w:w="1882" w:type="dxa"/>
                  <w:vAlign w:val="center"/>
                </w:tcPr>
                <w:p w14:paraId="39648DB2">
                  <w:pPr>
                    <w:snapToGrid w:val="0"/>
                    <w:jc w:val="center"/>
                    <w:rPr>
                      <w:szCs w:val="21"/>
                    </w:rPr>
                  </w:pPr>
                  <w:r>
                    <w:rPr>
                      <w:szCs w:val="21"/>
                    </w:rPr>
                    <w:t>TN</w:t>
                  </w:r>
                </w:p>
              </w:tc>
              <w:tc>
                <w:tcPr>
                  <w:tcW w:w="2288" w:type="dxa"/>
                  <w:vAlign w:val="center"/>
                </w:tcPr>
                <w:p w14:paraId="47174BAA">
                  <w:pPr>
                    <w:snapToGrid w:val="0"/>
                    <w:jc w:val="center"/>
                    <w:rPr>
                      <w:szCs w:val="21"/>
                    </w:rPr>
                  </w:pPr>
                  <w:r>
                    <w:rPr>
                      <w:szCs w:val="21"/>
                    </w:rPr>
                    <w:t>60</w:t>
                  </w:r>
                </w:p>
              </w:tc>
              <w:tc>
                <w:tcPr>
                  <w:tcW w:w="2079" w:type="dxa"/>
                  <w:vAlign w:val="center"/>
                </w:tcPr>
                <w:p w14:paraId="12C2F43F">
                  <w:pPr>
                    <w:jc w:val="center"/>
                    <w:rPr>
                      <w:szCs w:val="21"/>
                    </w:rPr>
                  </w:pPr>
                  <w:r>
                    <w:rPr>
                      <w:szCs w:val="21"/>
                    </w:rPr>
                    <w:t>0.041</w:t>
                  </w:r>
                </w:p>
              </w:tc>
            </w:tr>
            <w:tr w14:paraId="29692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115DB65E">
                  <w:pPr>
                    <w:adjustRightInd w:val="0"/>
                    <w:snapToGrid w:val="0"/>
                    <w:jc w:val="center"/>
                    <w:rPr>
                      <w:szCs w:val="21"/>
                    </w:rPr>
                  </w:pPr>
                </w:p>
              </w:tc>
              <w:tc>
                <w:tcPr>
                  <w:tcW w:w="1718" w:type="dxa"/>
                  <w:vMerge w:val="continue"/>
                  <w:vAlign w:val="center"/>
                </w:tcPr>
                <w:p w14:paraId="2A8C4F62">
                  <w:pPr>
                    <w:adjustRightInd w:val="0"/>
                    <w:snapToGrid w:val="0"/>
                    <w:jc w:val="center"/>
                    <w:rPr>
                      <w:szCs w:val="21"/>
                    </w:rPr>
                  </w:pPr>
                </w:p>
              </w:tc>
              <w:tc>
                <w:tcPr>
                  <w:tcW w:w="1882" w:type="dxa"/>
                  <w:vAlign w:val="center"/>
                </w:tcPr>
                <w:p w14:paraId="6DA4DE71">
                  <w:pPr>
                    <w:snapToGrid w:val="0"/>
                    <w:jc w:val="center"/>
                    <w:rPr>
                      <w:szCs w:val="21"/>
                    </w:rPr>
                  </w:pPr>
                  <w:r>
                    <w:rPr>
                      <w:szCs w:val="21"/>
                    </w:rPr>
                    <w:t>TP</w:t>
                  </w:r>
                </w:p>
              </w:tc>
              <w:tc>
                <w:tcPr>
                  <w:tcW w:w="2288" w:type="dxa"/>
                  <w:vAlign w:val="center"/>
                </w:tcPr>
                <w:p w14:paraId="661056EB">
                  <w:pPr>
                    <w:snapToGrid w:val="0"/>
                    <w:jc w:val="center"/>
                    <w:rPr>
                      <w:szCs w:val="21"/>
                    </w:rPr>
                  </w:pPr>
                  <w:r>
                    <w:rPr>
                      <w:szCs w:val="21"/>
                    </w:rPr>
                    <w:t>300</w:t>
                  </w:r>
                </w:p>
              </w:tc>
              <w:tc>
                <w:tcPr>
                  <w:tcW w:w="2079" w:type="dxa"/>
                  <w:vAlign w:val="center"/>
                </w:tcPr>
                <w:p w14:paraId="10DE7640">
                  <w:pPr>
                    <w:jc w:val="center"/>
                    <w:rPr>
                      <w:szCs w:val="21"/>
                    </w:rPr>
                  </w:pPr>
                  <w:r>
                    <w:rPr>
                      <w:szCs w:val="21"/>
                    </w:rPr>
                    <w:t>0.203</w:t>
                  </w:r>
                </w:p>
              </w:tc>
            </w:tr>
            <w:tr w14:paraId="7E46DC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2A490D78">
                  <w:pPr>
                    <w:adjustRightInd w:val="0"/>
                    <w:snapToGrid w:val="0"/>
                    <w:jc w:val="center"/>
                    <w:rPr>
                      <w:szCs w:val="21"/>
                    </w:rPr>
                  </w:pPr>
                </w:p>
              </w:tc>
              <w:tc>
                <w:tcPr>
                  <w:tcW w:w="1718" w:type="dxa"/>
                  <w:vMerge w:val="continue"/>
                  <w:vAlign w:val="center"/>
                </w:tcPr>
                <w:p w14:paraId="2BE0B494">
                  <w:pPr>
                    <w:adjustRightInd w:val="0"/>
                    <w:snapToGrid w:val="0"/>
                    <w:jc w:val="center"/>
                    <w:rPr>
                      <w:szCs w:val="21"/>
                    </w:rPr>
                  </w:pPr>
                </w:p>
              </w:tc>
              <w:tc>
                <w:tcPr>
                  <w:tcW w:w="1882" w:type="dxa"/>
                  <w:vAlign w:val="center"/>
                </w:tcPr>
                <w:p w14:paraId="5D4282DE">
                  <w:pPr>
                    <w:snapToGrid w:val="0"/>
                    <w:jc w:val="center"/>
                    <w:rPr>
                      <w:szCs w:val="21"/>
                    </w:rPr>
                  </w:pPr>
                  <w:r>
                    <w:rPr>
                      <w:rFonts w:hAnsi="宋体"/>
                      <w:szCs w:val="21"/>
                    </w:rPr>
                    <w:t>总锌</w:t>
                  </w:r>
                </w:p>
              </w:tc>
              <w:tc>
                <w:tcPr>
                  <w:tcW w:w="2288" w:type="dxa"/>
                  <w:vAlign w:val="center"/>
                </w:tcPr>
                <w:p w14:paraId="211E22E1">
                  <w:pPr>
                    <w:snapToGrid w:val="0"/>
                    <w:jc w:val="center"/>
                    <w:rPr>
                      <w:szCs w:val="21"/>
                    </w:rPr>
                  </w:pPr>
                  <w:r>
                    <w:rPr>
                      <w:szCs w:val="21"/>
                    </w:rPr>
                    <w:t>150</w:t>
                  </w:r>
                </w:p>
              </w:tc>
              <w:tc>
                <w:tcPr>
                  <w:tcW w:w="2079" w:type="dxa"/>
                  <w:vAlign w:val="center"/>
                </w:tcPr>
                <w:p w14:paraId="0A199CFE">
                  <w:pPr>
                    <w:jc w:val="center"/>
                    <w:rPr>
                      <w:szCs w:val="21"/>
                    </w:rPr>
                  </w:pPr>
                  <w:r>
                    <w:rPr>
                      <w:szCs w:val="21"/>
                    </w:rPr>
                    <w:t>0.101</w:t>
                  </w:r>
                </w:p>
              </w:tc>
            </w:tr>
            <w:tr w14:paraId="76DDA3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0E3E236">
                  <w:pPr>
                    <w:adjustRightInd w:val="0"/>
                    <w:snapToGrid w:val="0"/>
                    <w:jc w:val="center"/>
                    <w:rPr>
                      <w:szCs w:val="21"/>
                    </w:rPr>
                  </w:pPr>
                </w:p>
              </w:tc>
              <w:tc>
                <w:tcPr>
                  <w:tcW w:w="1718" w:type="dxa"/>
                  <w:vMerge w:val="continue"/>
                  <w:vAlign w:val="center"/>
                </w:tcPr>
                <w:p w14:paraId="47A20CB1">
                  <w:pPr>
                    <w:adjustRightInd w:val="0"/>
                    <w:snapToGrid w:val="0"/>
                    <w:jc w:val="center"/>
                    <w:rPr>
                      <w:szCs w:val="21"/>
                    </w:rPr>
                  </w:pPr>
                </w:p>
              </w:tc>
              <w:tc>
                <w:tcPr>
                  <w:tcW w:w="1882" w:type="dxa"/>
                  <w:vAlign w:val="center"/>
                </w:tcPr>
                <w:p w14:paraId="5AE713EF">
                  <w:pPr>
                    <w:snapToGrid w:val="0"/>
                    <w:jc w:val="center"/>
                    <w:rPr>
                      <w:szCs w:val="21"/>
                    </w:rPr>
                  </w:pPr>
                  <w:r>
                    <w:rPr>
                      <w:rFonts w:hAnsi="宋体"/>
                      <w:szCs w:val="21"/>
                    </w:rPr>
                    <w:t>石油类</w:t>
                  </w:r>
                </w:p>
              </w:tc>
              <w:tc>
                <w:tcPr>
                  <w:tcW w:w="2288" w:type="dxa"/>
                  <w:vAlign w:val="center"/>
                </w:tcPr>
                <w:p w14:paraId="2B216ECB">
                  <w:pPr>
                    <w:snapToGrid w:val="0"/>
                    <w:jc w:val="center"/>
                    <w:rPr>
                      <w:szCs w:val="21"/>
                    </w:rPr>
                  </w:pPr>
                  <w:r>
                    <w:rPr>
                      <w:szCs w:val="21"/>
                    </w:rPr>
                    <w:t>5</w:t>
                  </w:r>
                </w:p>
              </w:tc>
              <w:tc>
                <w:tcPr>
                  <w:tcW w:w="2079" w:type="dxa"/>
                  <w:vAlign w:val="center"/>
                </w:tcPr>
                <w:p w14:paraId="1715AD20">
                  <w:pPr>
                    <w:jc w:val="center"/>
                    <w:rPr>
                      <w:szCs w:val="21"/>
                    </w:rPr>
                  </w:pPr>
                  <w:r>
                    <w:rPr>
                      <w:szCs w:val="21"/>
                    </w:rPr>
                    <w:t>0.003</w:t>
                  </w:r>
                </w:p>
              </w:tc>
            </w:tr>
            <w:tr w14:paraId="53A234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restart"/>
                  <w:vAlign w:val="center"/>
                </w:tcPr>
                <w:p w14:paraId="328942B3">
                  <w:pPr>
                    <w:adjustRightInd w:val="0"/>
                    <w:snapToGrid w:val="0"/>
                    <w:jc w:val="center"/>
                    <w:rPr>
                      <w:szCs w:val="21"/>
                    </w:rPr>
                  </w:pPr>
                  <w:r>
                    <w:rPr>
                      <w:szCs w:val="21"/>
                    </w:rPr>
                    <w:t>喷淋塔废水</w:t>
                  </w:r>
                </w:p>
              </w:tc>
              <w:tc>
                <w:tcPr>
                  <w:tcW w:w="1718" w:type="dxa"/>
                  <w:vMerge w:val="restart"/>
                  <w:vAlign w:val="center"/>
                </w:tcPr>
                <w:p w14:paraId="3548225E">
                  <w:pPr>
                    <w:adjustRightInd w:val="0"/>
                    <w:snapToGrid w:val="0"/>
                    <w:jc w:val="center"/>
                    <w:rPr>
                      <w:szCs w:val="21"/>
                    </w:rPr>
                  </w:pPr>
                  <w:r>
                    <w:rPr>
                      <w:rFonts w:hint="eastAsia"/>
                      <w:szCs w:val="21"/>
                    </w:rPr>
                    <w:t>384</w:t>
                  </w:r>
                </w:p>
              </w:tc>
              <w:tc>
                <w:tcPr>
                  <w:tcW w:w="1882" w:type="dxa"/>
                  <w:vAlign w:val="center"/>
                </w:tcPr>
                <w:p w14:paraId="65DC7632">
                  <w:pPr>
                    <w:adjustRightInd w:val="0"/>
                    <w:snapToGrid w:val="0"/>
                    <w:jc w:val="center"/>
                    <w:rPr>
                      <w:szCs w:val="21"/>
                    </w:rPr>
                  </w:pPr>
                  <w:r>
                    <w:rPr>
                      <w:szCs w:val="21"/>
                    </w:rPr>
                    <w:t>pH</w:t>
                  </w:r>
                </w:p>
              </w:tc>
              <w:tc>
                <w:tcPr>
                  <w:tcW w:w="2288" w:type="dxa"/>
                  <w:vAlign w:val="center"/>
                </w:tcPr>
                <w:p w14:paraId="55DBCE18">
                  <w:pPr>
                    <w:adjustRightInd w:val="0"/>
                    <w:snapToGrid w:val="0"/>
                    <w:jc w:val="center"/>
                    <w:rPr>
                      <w:szCs w:val="21"/>
                    </w:rPr>
                  </w:pPr>
                  <w:r>
                    <w:rPr>
                      <w:szCs w:val="21"/>
                    </w:rPr>
                    <w:t>8.5~10</w:t>
                  </w:r>
                </w:p>
              </w:tc>
              <w:tc>
                <w:tcPr>
                  <w:tcW w:w="2079" w:type="dxa"/>
                  <w:vAlign w:val="center"/>
                </w:tcPr>
                <w:p w14:paraId="34FA6365">
                  <w:pPr>
                    <w:jc w:val="center"/>
                    <w:rPr>
                      <w:szCs w:val="21"/>
                    </w:rPr>
                  </w:pPr>
                  <w:r>
                    <w:rPr>
                      <w:szCs w:val="21"/>
                    </w:rPr>
                    <w:t>/</w:t>
                  </w:r>
                </w:p>
              </w:tc>
            </w:tr>
            <w:tr w14:paraId="73F01D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43AAB998">
                  <w:pPr>
                    <w:adjustRightInd w:val="0"/>
                    <w:snapToGrid w:val="0"/>
                    <w:jc w:val="center"/>
                    <w:rPr>
                      <w:szCs w:val="21"/>
                    </w:rPr>
                  </w:pPr>
                </w:p>
              </w:tc>
              <w:tc>
                <w:tcPr>
                  <w:tcW w:w="1718" w:type="dxa"/>
                  <w:vMerge w:val="continue"/>
                  <w:vAlign w:val="center"/>
                </w:tcPr>
                <w:p w14:paraId="19CCF68F">
                  <w:pPr>
                    <w:adjustRightInd w:val="0"/>
                    <w:snapToGrid w:val="0"/>
                    <w:jc w:val="center"/>
                    <w:rPr>
                      <w:szCs w:val="21"/>
                    </w:rPr>
                  </w:pPr>
                </w:p>
              </w:tc>
              <w:tc>
                <w:tcPr>
                  <w:tcW w:w="1882" w:type="dxa"/>
                  <w:vAlign w:val="center"/>
                </w:tcPr>
                <w:p w14:paraId="0E129463">
                  <w:pPr>
                    <w:snapToGrid w:val="0"/>
                    <w:jc w:val="center"/>
                    <w:rPr>
                      <w:szCs w:val="21"/>
                    </w:rPr>
                  </w:pPr>
                  <w:r>
                    <w:rPr>
                      <w:szCs w:val="21"/>
                    </w:rPr>
                    <w:t>COD</w:t>
                  </w:r>
                </w:p>
              </w:tc>
              <w:tc>
                <w:tcPr>
                  <w:tcW w:w="2288" w:type="dxa"/>
                  <w:vAlign w:val="center"/>
                </w:tcPr>
                <w:p w14:paraId="4D85E35A">
                  <w:pPr>
                    <w:pStyle w:val="95"/>
                    <w:pBdr>
                      <w:bottom w:val="none" w:color="auto" w:sz="0" w:space="0"/>
                    </w:pBdr>
                    <w:snapToGrid w:val="0"/>
                    <w:spacing w:before="0" w:after="0"/>
                    <w:rPr>
                      <w:rFonts w:ascii="Times New Roman" w:hAnsi="Times New Roman"/>
                      <w:kern w:val="2"/>
                      <w:szCs w:val="21"/>
                    </w:rPr>
                  </w:pPr>
                  <w:r>
                    <w:rPr>
                      <w:rFonts w:ascii="Times New Roman" w:hAnsi="Times New Roman"/>
                      <w:kern w:val="2"/>
                      <w:szCs w:val="21"/>
                    </w:rPr>
                    <w:t>80</w:t>
                  </w:r>
                </w:p>
              </w:tc>
              <w:tc>
                <w:tcPr>
                  <w:tcW w:w="2079" w:type="dxa"/>
                  <w:vAlign w:val="center"/>
                </w:tcPr>
                <w:p w14:paraId="7FC71D61">
                  <w:pPr>
                    <w:jc w:val="center"/>
                    <w:rPr>
                      <w:szCs w:val="21"/>
                    </w:rPr>
                  </w:pPr>
                  <w:r>
                    <w:rPr>
                      <w:szCs w:val="21"/>
                    </w:rPr>
                    <w:t>0.031</w:t>
                  </w:r>
                </w:p>
              </w:tc>
            </w:tr>
            <w:tr w14:paraId="494AA1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3D7B9DB">
                  <w:pPr>
                    <w:adjustRightInd w:val="0"/>
                    <w:snapToGrid w:val="0"/>
                    <w:jc w:val="center"/>
                    <w:rPr>
                      <w:szCs w:val="21"/>
                    </w:rPr>
                  </w:pPr>
                </w:p>
              </w:tc>
              <w:tc>
                <w:tcPr>
                  <w:tcW w:w="1718" w:type="dxa"/>
                  <w:vMerge w:val="continue"/>
                  <w:vAlign w:val="center"/>
                </w:tcPr>
                <w:p w14:paraId="63EE3339">
                  <w:pPr>
                    <w:adjustRightInd w:val="0"/>
                    <w:snapToGrid w:val="0"/>
                    <w:jc w:val="center"/>
                    <w:rPr>
                      <w:szCs w:val="21"/>
                    </w:rPr>
                  </w:pPr>
                </w:p>
              </w:tc>
              <w:tc>
                <w:tcPr>
                  <w:tcW w:w="1882" w:type="dxa"/>
                  <w:vAlign w:val="center"/>
                </w:tcPr>
                <w:p w14:paraId="03D9446E">
                  <w:pPr>
                    <w:snapToGrid w:val="0"/>
                    <w:jc w:val="center"/>
                    <w:rPr>
                      <w:szCs w:val="21"/>
                    </w:rPr>
                  </w:pPr>
                  <w:r>
                    <w:rPr>
                      <w:szCs w:val="21"/>
                    </w:rPr>
                    <w:t>SS</w:t>
                  </w:r>
                </w:p>
              </w:tc>
              <w:tc>
                <w:tcPr>
                  <w:tcW w:w="2288" w:type="dxa"/>
                  <w:vAlign w:val="center"/>
                </w:tcPr>
                <w:p w14:paraId="6DF3AD81">
                  <w:pPr>
                    <w:pStyle w:val="95"/>
                    <w:pBdr>
                      <w:bottom w:val="none" w:color="auto" w:sz="0" w:space="0"/>
                    </w:pBdr>
                    <w:snapToGrid w:val="0"/>
                    <w:spacing w:before="0" w:after="0"/>
                    <w:rPr>
                      <w:rFonts w:ascii="Times New Roman" w:hAnsi="Times New Roman"/>
                      <w:kern w:val="2"/>
                      <w:szCs w:val="21"/>
                    </w:rPr>
                  </w:pPr>
                  <w:r>
                    <w:rPr>
                      <w:rFonts w:ascii="Times New Roman" w:hAnsi="Times New Roman"/>
                      <w:kern w:val="2"/>
                      <w:szCs w:val="21"/>
                    </w:rPr>
                    <w:t>50</w:t>
                  </w:r>
                </w:p>
              </w:tc>
              <w:tc>
                <w:tcPr>
                  <w:tcW w:w="2079" w:type="dxa"/>
                  <w:vAlign w:val="center"/>
                </w:tcPr>
                <w:p w14:paraId="6555AB89">
                  <w:pPr>
                    <w:jc w:val="center"/>
                    <w:rPr>
                      <w:szCs w:val="21"/>
                    </w:rPr>
                  </w:pPr>
                  <w:r>
                    <w:rPr>
                      <w:szCs w:val="21"/>
                    </w:rPr>
                    <w:t>0.019</w:t>
                  </w:r>
                </w:p>
              </w:tc>
            </w:tr>
            <w:tr w14:paraId="2E5CCA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168F294E">
                  <w:pPr>
                    <w:adjustRightInd w:val="0"/>
                    <w:snapToGrid w:val="0"/>
                    <w:jc w:val="center"/>
                    <w:rPr>
                      <w:szCs w:val="21"/>
                    </w:rPr>
                  </w:pPr>
                </w:p>
              </w:tc>
              <w:tc>
                <w:tcPr>
                  <w:tcW w:w="1718" w:type="dxa"/>
                  <w:vMerge w:val="continue"/>
                  <w:vAlign w:val="center"/>
                </w:tcPr>
                <w:p w14:paraId="4AF842CA">
                  <w:pPr>
                    <w:adjustRightInd w:val="0"/>
                    <w:snapToGrid w:val="0"/>
                    <w:jc w:val="center"/>
                    <w:rPr>
                      <w:szCs w:val="21"/>
                    </w:rPr>
                  </w:pPr>
                </w:p>
              </w:tc>
              <w:tc>
                <w:tcPr>
                  <w:tcW w:w="1882" w:type="dxa"/>
                  <w:vAlign w:val="center"/>
                </w:tcPr>
                <w:p w14:paraId="34825DFF">
                  <w:pPr>
                    <w:snapToGrid w:val="0"/>
                    <w:jc w:val="center"/>
                    <w:rPr>
                      <w:szCs w:val="21"/>
                    </w:rPr>
                  </w:pPr>
                  <w:r>
                    <w:rPr>
                      <w:rFonts w:hAnsi="宋体"/>
                      <w:szCs w:val="21"/>
                    </w:rPr>
                    <w:t>硫化物</w:t>
                  </w:r>
                </w:p>
              </w:tc>
              <w:tc>
                <w:tcPr>
                  <w:tcW w:w="2288" w:type="dxa"/>
                  <w:vAlign w:val="center"/>
                </w:tcPr>
                <w:p w14:paraId="4AD229CC">
                  <w:pPr>
                    <w:pStyle w:val="95"/>
                    <w:pBdr>
                      <w:bottom w:val="none" w:color="auto" w:sz="0" w:space="0"/>
                    </w:pBdr>
                    <w:snapToGrid w:val="0"/>
                    <w:spacing w:before="0" w:after="0"/>
                    <w:rPr>
                      <w:rFonts w:ascii="Times New Roman" w:hAnsi="Times New Roman"/>
                      <w:kern w:val="2"/>
                      <w:szCs w:val="21"/>
                    </w:rPr>
                  </w:pPr>
                  <w:r>
                    <w:rPr>
                      <w:rFonts w:ascii="Times New Roman" w:hAnsi="Times New Roman"/>
                      <w:kern w:val="2"/>
                      <w:szCs w:val="21"/>
                    </w:rPr>
                    <w:t>368</w:t>
                  </w:r>
                </w:p>
              </w:tc>
              <w:tc>
                <w:tcPr>
                  <w:tcW w:w="2079" w:type="dxa"/>
                  <w:vAlign w:val="center"/>
                </w:tcPr>
                <w:p w14:paraId="24E802BA">
                  <w:pPr>
                    <w:jc w:val="center"/>
                    <w:rPr>
                      <w:szCs w:val="21"/>
                    </w:rPr>
                  </w:pPr>
                  <w:r>
                    <w:rPr>
                      <w:szCs w:val="21"/>
                    </w:rPr>
                    <w:t>0.141</w:t>
                  </w:r>
                </w:p>
              </w:tc>
            </w:tr>
            <w:tr w14:paraId="10F162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0C0DE92">
                  <w:pPr>
                    <w:adjustRightInd w:val="0"/>
                    <w:snapToGrid w:val="0"/>
                    <w:jc w:val="center"/>
                    <w:rPr>
                      <w:szCs w:val="21"/>
                    </w:rPr>
                  </w:pPr>
                </w:p>
              </w:tc>
              <w:tc>
                <w:tcPr>
                  <w:tcW w:w="1718" w:type="dxa"/>
                  <w:vMerge w:val="continue"/>
                  <w:vAlign w:val="center"/>
                </w:tcPr>
                <w:p w14:paraId="530E817D">
                  <w:pPr>
                    <w:adjustRightInd w:val="0"/>
                    <w:snapToGrid w:val="0"/>
                    <w:jc w:val="center"/>
                    <w:rPr>
                      <w:szCs w:val="21"/>
                    </w:rPr>
                  </w:pPr>
                </w:p>
              </w:tc>
              <w:tc>
                <w:tcPr>
                  <w:tcW w:w="1882" w:type="dxa"/>
                  <w:vAlign w:val="center"/>
                </w:tcPr>
                <w:p w14:paraId="656EE707">
                  <w:pPr>
                    <w:snapToGrid w:val="0"/>
                    <w:jc w:val="center"/>
                    <w:rPr>
                      <w:szCs w:val="21"/>
                    </w:rPr>
                  </w:pPr>
                  <w:r>
                    <w:rPr>
                      <w:rFonts w:hAnsi="宋体"/>
                      <w:szCs w:val="21"/>
                    </w:rPr>
                    <w:t>氟化物</w:t>
                  </w:r>
                </w:p>
              </w:tc>
              <w:tc>
                <w:tcPr>
                  <w:tcW w:w="2288" w:type="dxa"/>
                  <w:vAlign w:val="center"/>
                </w:tcPr>
                <w:p w14:paraId="1D38CB42">
                  <w:pPr>
                    <w:pStyle w:val="95"/>
                    <w:pBdr>
                      <w:bottom w:val="none" w:color="auto" w:sz="0" w:space="0"/>
                    </w:pBdr>
                    <w:snapToGrid w:val="0"/>
                    <w:spacing w:before="0" w:after="0"/>
                    <w:rPr>
                      <w:rFonts w:ascii="Times New Roman" w:hAnsi="Times New Roman"/>
                      <w:kern w:val="2"/>
                      <w:szCs w:val="21"/>
                    </w:rPr>
                  </w:pPr>
                  <w:r>
                    <w:rPr>
                      <w:rFonts w:ascii="Times New Roman" w:hAnsi="Times New Roman"/>
                      <w:kern w:val="2"/>
                      <w:szCs w:val="21"/>
                    </w:rPr>
                    <w:t>80</w:t>
                  </w:r>
                </w:p>
              </w:tc>
              <w:tc>
                <w:tcPr>
                  <w:tcW w:w="2079" w:type="dxa"/>
                  <w:vAlign w:val="center"/>
                </w:tcPr>
                <w:p w14:paraId="6359170E">
                  <w:pPr>
                    <w:jc w:val="center"/>
                    <w:rPr>
                      <w:szCs w:val="21"/>
                    </w:rPr>
                  </w:pPr>
                  <w:r>
                    <w:rPr>
                      <w:szCs w:val="21"/>
                    </w:rPr>
                    <w:t>0.031</w:t>
                  </w:r>
                </w:p>
              </w:tc>
            </w:tr>
            <w:tr w14:paraId="7B363E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restart"/>
                  <w:vAlign w:val="center"/>
                </w:tcPr>
                <w:p w14:paraId="3494FA75">
                  <w:pPr>
                    <w:adjustRightInd w:val="0"/>
                    <w:snapToGrid w:val="0"/>
                    <w:jc w:val="center"/>
                    <w:rPr>
                      <w:szCs w:val="21"/>
                    </w:rPr>
                  </w:pPr>
                  <w:r>
                    <w:rPr>
                      <w:szCs w:val="21"/>
                    </w:rPr>
                    <w:t>综合废水</w:t>
                  </w:r>
                </w:p>
              </w:tc>
              <w:tc>
                <w:tcPr>
                  <w:tcW w:w="1718" w:type="dxa"/>
                  <w:vMerge w:val="restart"/>
                  <w:vAlign w:val="center"/>
                </w:tcPr>
                <w:p w14:paraId="5B25C884">
                  <w:pPr>
                    <w:adjustRightInd w:val="0"/>
                    <w:snapToGrid w:val="0"/>
                    <w:jc w:val="center"/>
                    <w:rPr>
                      <w:szCs w:val="21"/>
                    </w:rPr>
                  </w:pPr>
                  <w:r>
                    <w:rPr>
                      <w:rFonts w:hint="eastAsia"/>
                      <w:szCs w:val="21"/>
                    </w:rPr>
                    <w:t>2117.1</w:t>
                  </w:r>
                </w:p>
              </w:tc>
              <w:tc>
                <w:tcPr>
                  <w:tcW w:w="1882" w:type="dxa"/>
                  <w:vAlign w:val="center"/>
                </w:tcPr>
                <w:p w14:paraId="6EC07479">
                  <w:pPr>
                    <w:adjustRightInd w:val="0"/>
                    <w:snapToGrid w:val="0"/>
                    <w:jc w:val="center"/>
                    <w:rPr>
                      <w:szCs w:val="21"/>
                    </w:rPr>
                  </w:pPr>
                  <w:r>
                    <w:rPr>
                      <w:szCs w:val="21"/>
                    </w:rPr>
                    <w:t>化学需氧量</w:t>
                  </w:r>
                </w:p>
              </w:tc>
              <w:tc>
                <w:tcPr>
                  <w:tcW w:w="2288" w:type="dxa"/>
                  <w:vAlign w:val="center"/>
                </w:tcPr>
                <w:p w14:paraId="654780FF">
                  <w:pPr>
                    <w:adjustRightInd w:val="0"/>
                    <w:snapToGrid w:val="0"/>
                    <w:jc w:val="center"/>
                    <w:rPr>
                      <w:szCs w:val="21"/>
                    </w:rPr>
                  </w:pPr>
                  <w:r>
                    <w:rPr>
                      <w:szCs w:val="21"/>
                    </w:rPr>
                    <w:t>2233</w:t>
                  </w:r>
                </w:p>
              </w:tc>
              <w:tc>
                <w:tcPr>
                  <w:tcW w:w="2079" w:type="dxa"/>
                  <w:vAlign w:val="center"/>
                </w:tcPr>
                <w:p w14:paraId="76D22FF6">
                  <w:pPr>
                    <w:adjustRightInd w:val="0"/>
                    <w:snapToGrid w:val="0"/>
                    <w:jc w:val="center"/>
                    <w:rPr>
                      <w:szCs w:val="21"/>
                    </w:rPr>
                  </w:pPr>
                  <w:r>
                    <w:rPr>
                      <w:szCs w:val="21"/>
                    </w:rPr>
                    <w:t>0.1465</w:t>
                  </w:r>
                </w:p>
              </w:tc>
            </w:tr>
            <w:tr w14:paraId="1F9923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43C510F0">
                  <w:pPr>
                    <w:adjustRightInd w:val="0"/>
                    <w:snapToGrid w:val="0"/>
                    <w:jc w:val="center"/>
                    <w:rPr>
                      <w:szCs w:val="21"/>
                    </w:rPr>
                  </w:pPr>
                </w:p>
              </w:tc>
              <w:tc>
                <w:tcPr>
                  <w:tcW w:w="1718" w:type="dxa"/>
                  <w:vMerge w:val="continue"/>
                  <w:vAlign w:val="center"/>
                </w:tcPr>
                <w:p w14:paraId="6FE20DD3">
                  <w:pPr>
                    <w:adjustRightInd w:val="0"/>
                    <w:snapToGrid w:val="0"/>
                    <w:jc w:val="center"/>
                    <w:rPr>
                      <w:szCs w:val="21"/>
                    </w:rPr>
                  </w:pPr>
                </w:p>
              </w:tc>
              <w:tc>
                <w:tcPr>
                  <w:tcW w:w="1882" w:type="dxa"/>
                  <w:vAlign w:val="center"/>
                </w:tcPr>
                <w:p w14:paraId="2C4C7CEF">
                  <w:pPr>
                    <w:adjustRightInd w:val="0"/>
                    <w:snapToGrid w:val="0"/>
                    <w:jc w:val="center"/>
                    <w:rPr>
                      <w:szCs w:val="21"/>
                    </w:rPr>
                  </w:pPr>
                  <w:r>
                    <w:rPr>
                      <w:szCs w:val="21"/>
                    </w:rPr>
                    <w:t>悬浮物</w:t>
                  </w:r>
                </w:p>
              </w:tc>
              <w:tc>
                <w:tcPr>
                  <w:tcW w:w="2288" w:type="dxa"/>
                  <w:vAlign w:val="center"/>
                </w:tcPr>
                <w:p w14:paraId="4F3F4161">
                  <w:pPr>
                    <w:adjustRightInd w:val="0"/>
                    <w:snapToGrid w:val="0"/>
                    <w:jc w:val="center"/>
                    <w:rPr>
                      <w:szCs w:val="21"/>
                    </w:rPr>
                  </w:pPr>
                  <w:r>
                    <w:rPr>
                      <w:szCs w:val="21"/>
                    </w:rPr>
                    <w:t>14.15</w:t>
                  </w:r>
                </w:p>
              </w:tc>
              <w:tc>
                <w:tcPr>
                  <w:tcW w:w="2079" w:type="dxa"/>
                  <w:vAlign w:val="center"/>
                </w:tcPr>
                <w:p w14:paraId="4D7649C0">
                  <w:pPr>
                    <w:adjustRightInd w:val="0"/>
                    <w:snapToGrid w:val="0"/>
                    <w:jc w:val="center"/>
                    <w:rPr>
                      <w:szCs w:val="21"/>
                    </w:rPr>
                  </w:pPr>
                  <w:r>
                    <w:rPr>
                      <w:szCs w:val="21"/>
                    </w:rPr>
                    <w:t>0.0009</w:t>
                  </w:r>
                </w:p>
              </w:tc>
            </w:tr>
            <w:tr w14:paraId="0789A0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580F2CCF">
                  <w:pPr>
                    <w:adjustRightInd w:val="0"/>
                    <w:snapToGrid w:val="0"/>
                    <w:jc w:val="center"/>
                    <w:rPr>
                      <w:szCs w:val="21"/>
                    </w:rPr>
                  </w:pPr>
                </w:p>
              </w:tc>
              <w:tc>
                <w:tcPr>
                  <w:tcW w:w="1718" w:type="dxa"/>
                  <w:vMerge w:val="continue"/>
                  <w:vAlign w:val="center"/>
                </w:tcPr>
                <w:p w14:paraId="14D4846D">
                  <w:pPr>
                    <w:adjustRightInd w:val="0"/>
                    <w:snapToGrid w:val="0"/>
                    <w:jc w:val="center"/>
                    <w:rPr>
                      <w:szCs w:val="21"/>
                    </w:rPr>
                  </w:pPr>
                </w:p>
              </w:tc>
              <w:tc>
                <w:tcPr>
                  <w:tcW w:w="1882" w:type="dxa"/>
                  <w:vAlign w:val="center"/>
                </w:tcPr>
                <w:p w14:paraId="40E67C40">
                  <w:pPr>
                    <w:adjustRightInd w:val="0"/>
                    <w:snapToGrid w:val="0"/>
                    <w:jc w:val="center"/>
                    <w:rPr>
                      <w:szCs w:val="21"/>
                    </w:rPr>
                  </w:pPr>
                  <w:r>
                    <w:rPr>
                      <w:szCs w:val="21"/>
                    </w:rPr>
                    <w:t>石油类</w:t>
                  </w:r>
                </w:p>
              </w:tc>
              <w:tc>
                <w:tcPr>
                  <w:tcW w:w="2288" w:type="dxa"/>
                  <w:vAlign w:val="center"/>
                </w:tcPr>
                <w:p w14:paraId="620A17A5">
                  <w:pPr>
                    <w:adjustRightInd w:val="0"/>
                    <w:snapToGrid w:val="0"/>
                    <w:jc w:val="center"/>
                    <w:rPr>
                      <w:szCs w:val="21"/>
                    </w:rPr>
                  </w:pPr>
                  <w:r>
                    <w:rPr>
                      <w:szCs w:val="21"/>
                    </w:rPr>
                    <w:t>0.255</w:t>
                  </w:r>
                </w:p>
              </w:tc>
              <w:tc>
                <w:tcPr>
                  <w:tcW w:w="2079" w:type="dxa"/>
                  <w:vAlign w:val="center"/>
                </w:tcPr>
                <w:p w14:paraId="70983069">
                  <w:pPr>
                    <w:adjustRightInd w:val="0"/>
                    <w:snapToGrid w:val="0"/>
                    <w:jc w:val="center"/>
                    <w:rPr>
                      <w:szCs w:val="21"/>
                    </w:rPr>
                  </w:pPr>
                  <w:r>
                    <w:rPr>
                      <w:szCs w:val="21"/>
                    </w:rPr>
                    <w:t>1.66×10</w:t>
                  </w:r>
                  <w:r>
                    <w:rPr>
                      <w:szCs w:val="21"/>
                      <w:vertAlign w:val="superscript"/>
                    </w:rPr>
                    <w:t>-5</w:t>
                  </w:r>
                </w:p>
              </w:tc>
            </w:tr>
            <w:tr w14:paraId="18E485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02994E7B">
                  <w:pPr>
                    <w:adjustRightInd w:val="0"/>
                    <w:snapToGrid w:val="0"/>
                    <w:jc w:val="center"/>
                    <w:rPr>
                      <w:szCs w:val="21"/>
                    </w:rPr>
                  </w:pPr>
                </w:p>
              </w:tc>
              <w:tc>
                <w:tcPr>
                  <w:tcW w:w="1718" w:type="dxa"/>
                  <w:vMerge w:val="continue"/>
                  <w:vAlign w:val="center"/>
                </w:tcPr>
                <w:p w14:paraId="2E4BD0D1">
                  <w:pPr>
                    <w:adjustRightInd w:val="0"/>
                    <w:snapToGrid w:val="0"/>
                    <w:jc w:val="center"/>
                    <w:rPr>
                      <w:szCs w:val="21"/>
                    </w:rPr>
                  </w:pPr>
                </w:p>
              </w:tc>
              <w:tc>
                <w:tcPr>
                  <w:tcW w:w="1882" w:type="dxa"/>
                  <w:vAlign w:val="center"/>
                </w:tcPr>
                <w:p w14:paraId="478A48A3">
                  <w:pPr>
                    <w:adjustRightInd w:val="0"/>
                    <w:snapToGrid w:val="0"/>
                    <w:jc w:val="center"/>
                    <w:rPr>
                      <w:szCs w:val="21"/>
                    </w:rPr>
                  </w:pPr>
                  <w:r>
                    <w:rPr>
                      <w:szCs w:val="21"/>
                    </w:rPr>
                    <w:t>阴离子表面活性剂</w:t>
                  </w:r>
                </w:p>
              </w:tc>
              <w:tc>
                <w:tcPr>
                  <w:tcW w:w="2288" w:type="dxa"/>
                  <w:vAlign w:val="center"/>
                </w:tcPr>
                <w:p w14:paraId="6767763D">
                  <w:pPr>
                    <w:adjustRightInd w:val="0"/>
                    <w:snapToGrid w:val="0"/>
                    <w:jc w:val="center"/>
                    <w:rPr>
                      <w:szCs w:val="21"/>
                    </w:rPr>
                  </w:pPr>
                  <w:r>
                    <w:rPr>
                      <w:szCs w:val="21"/>
                    </w:rPr>
                    <w:t>0.324</w:t>
                  </w:r>
                </w:p>
              </w:tc>
              <w:tc>
                <w:tcPr>
                  <w:tcW w:w="2079" w:type="dxa"/>
                  <w:vAlign w:val="center"/>
                </w:tcPr>
                <w:p w14:paraId="10C0A5D6">
                  <w:pPr>
                    <w:adjustRightInd w:val="0"/>
                    <w:snapToGrid w:val="0"/>
                    <w:jc w:val="center"/>
                    <w:rPr>
                      <w:szCs w:val="21"/>
                    </w:rPr>
                  </w:pPr>
                  <w:r>
                    <w:rPr>
                      <w:szCs w:val="21"/>
                    </w:rPr>
                    <w:t>2.1×10</w:t>
                  </w:r>
                  <w:r>
                    <w:rPr>
                      <w:szCs w:val="21"/>
                      <w:vertAlign w:val="superscript"/>
                    </w:rPr>
                    <w:t>-5</w:t>
                  </w:r>
                </w:p>
              </w:tc>
            </w:tr>
            <w:tr w14:paraId="3566BA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0C3D7E3C">
                  <w:pPr>
                    <w:adjustRightInd w:val="0"/>
                    <w:snapToGrid w:val="0"/>
                    <w:jc w:val="center"/>
                    <w:rPr>
                      <w:szCs w:val="21"/>
                    </w:rPr>
                  </w:pPr>
                </w:p>
              </w:tc>
              <w:tc>
                <w:tcPr>
                  <w:tcW w:w="1718" w:type="dxa"/>
                  <w:vMerge w:val="continue"/>
                  <w:vAlign w:val="center"/>
                </w:tcPr>
                <w:p w14:paraId="45B66F7F">
                  <w:pPr>
                    <w:adjustRightInd w:val="0"/>
                    <w:snapToGrid w:val="0"/>
                    <w:jc w:val="center"/>
                    <w:rPr>
                      <w:szCs w:val="21"/>
                    </w:rPr>
                  </w:pPr>
                </w:p>
              </w:tc>
              <w:tc>
                <w:tcPr>
                  <w:tcW w:w="1882" w:type="dxa"/>
                  <w:vAlign w:val="center"/>
                </w:tcPr>
                <w:p w14:paraId="0F06A4F2">
                  <w:pPr>
                    <w:jc w:val="center"/>
                    <w:rPr>
                      <w:szCs w:val="21"/>
                    </w:rPr>
                  </w:pPr>
                  <w:r>
                    <w:rPr>
                      <w:szCs w:val="21"/>
                    </w:rPr>
                    <w:t>TN</w:t>
                  </w:r>
                </w:p>
              </w:tc>
              <w:tc>
                <w:tcPr>
                  <w:tcW w:w="2288" w:type="dxa"/>
                  <w:vAlign w:val="center"/>
                </w:tcPr>
                <w:p w14:paraId="05BF374B">
                  <w:pPr>
                    <w:jc w:val="center"/>
                    <w:rPr>
                      <w:szCs w:val="21"/>
                    </w:rPr>
                  </w:pPr>
                  <w:r>
                    <w:rPr>
                      <w:szCs w:val="21"/>
                    </w:rPr>
                    <w:t>19.13</w:t>
                  </w:r>
                </w:p>
              </w:tc>
              <w:tc>
                <w:tcPr>
                  <w:tcW w:w="2079" w:type="dxa"/>
                  <w:vAlign w:val="center"/>
                </w:tcPr>
                <w:p w14:paraId="38706C38">
                  <w:pPr>
                    <w:jc w:val="center"/>
                    <w:rPr>
                      <w:szCs w:val="21"/>
                    </w:rPr>
                  </w:pPr>
                  <w:r>
                    <w:rPr>
                      <w:szCs w:val="21"/>
                    </w:rPr>
                    <w:t>0.041</w:t>
                  </w:r>
                </w:p>
              </w:tc>
            </w:tr>
            <w:tr w14:paraId="78CC96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A9DFAD0">
                  <w:pPr>
                    <w:adjustRightInd w:val="0"/>
                    <w:snapToGrid w:val="0"/>
                    <w:jc w:val="center"/>
                    <w:rPr>
                      <w:szCs w:val="21"/>
                    </w:rPr>
                  </w:pPr>
                </w:p>
              </w:tc>
              <w:tc>
                <w:tcPr>
                  <w:tcW w:w="1718" w:type="dxa"/>
                  <w:vMerge w:val="continue"/>
                  <w:vAlign w:val="center"/>
                </w:tcPr>
                <w:p w14:paraId="5FADD75F">
                  <w:pPr>
                    <w:adjustRightInd w:val="0"/>
                    <w:snapToGrid w:val="0"/>
                    <w:jc w:val="center"/>
                    <w:rPr>
                      <w:szCs w:val="21"/>
                    </w:rPr>
                  </w:pPr>
                </w:p>
              </w:tc>
              <w:tc>
                <w:tcPr>
                  <w:tcW w:w="1882" w:type="dxa"/>
                  <w:vAlign w:val="center"/>
                </w:tcPr>
                <w:p w14:paraId="6571C89A">
                  <w:pPr>
                    <w:jc w:val="center"/>
                    <w:rPr>
                      <w:szCs w:val="21"/>
                    </w:rPr>
                  </w:pPr>
                  <w:r>
                    <w:rPr>
                      <w:szCs w:val="21"/>
                    </w:rPr>
                    <w:t>TP</w:t>
                  </w:r>
                </w:p>
              </w:tc>
              <w:tc>
                <w:tcPr>
                  <w:tcW w:w="2288" w:type="dxa"/>
                  <w:vAlign w:val="center"/>
                </w:tcPr>
                <w:p w14:paraId="4ECCCF1D">
                  <w:pPr>
                    <w:jc w:val="center"/>
                    <w:rPr>
                      <w:szCs w:val="21"/>
                    </w:rPr>
                  </w:pPr>
                  <w:r>
                    <w:rPr>
                      <w:szCs w:val="21"/>
                    </w:rPr>
                    <w:t>95.65</w:t>
                  </w:r>
                </w:p>
              </w:tc>
              <w:tc>
                <w:tcPr>
                  <w:tcW w:w="2079" w:type="dxa"/>
                  <w:vAlign w:val="center"/>
                </w:tcPr>
                <w:p w14:paraId="1DD17F94">
                  <w:pPr>
                    <w:jc w:val="center"/>
                    <w:rPr>
                      <w:szCs w:val="21"/>
                    </w:rPr>
                  </w:pPr>
                  <w:r>
                    <w:rPr>
                      <w:szCs w:val="21"/>
                    </w:rPr>
                    <w:t>0.203</w:t>
                  </w:r>
                </w:p>
              </w:tc>
            </w:tr>
            <w:tr w14:paraId="1EDC94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039D3D77">
                  <w:pPr>
                    <w:adjustRightInd w:val="0"/>
                    <w:snapToGrid w:val="0"/>
                    <w:jc w:val="center"/>
                    <w:rPr>
                      <w:szCs w:val="21"/>
                    </w:rPr>
                  </w:pPr>
                </w:p>
              </w:tc>
              <w:tc>
                <w:tcPr>
                  <w:tcW w:w="1718" w:type="dxa"/>
                  <w:vMerge w:val="continue"/>
                  <w:vAlign w:val="center"/>
                </w:tcPr>
                <w:p w14:paraId="05F646FD">
                  <w:pPr>
                    <w:adjustRightInd w:val="0"/>
                    <w:snapToGrid w:val="0"/>
                    <w:jc w:val="center"/>
                    <w:rPr>
                      <w:szCs w:val="21"/>
                    </w:rPr>
                  </w:pPr>
                </w:p>
              </w:tc>
              <w:tc>
                <w:tcPr>
                  <w:tcW w:w="1882" w:type="dxa"/>
                  <w:vAlign w:val="center"/>
                </w:tcPr>
                <w:p w14:paraId="7FE5B67C">
                  <w:pPr>
                    <w:jc w:val="center"/>
                    <w:rPr>
                      <w:rFonts w:ascii="宋体" w:hAnsi="宋体" w:cs="宋体"/>
                      <w:szCs w:val="21"/>
                    </w:rPr>
                  </w:pPr>
                  <w:r>
                    <w:rPr>
                      <w:rFonts w:hint="eastAsia"/>
                      <w:szCs w:val="21"/>
                    </w:rPr>
                    <w:t>总锌</w:t>
                  </w:r>
                </w:p>
              </w:tc>
              <w:tc>
                <w:tcPr>
                  <w:tcW w:w="2288" w:type="dxa"/>
                  <w:vAlign w:val="center"/>
                </w:tcPr>
                <w:p w14:paraId="337E5300">
                  <w:pPr>
                    <w:jc w:val="center"/>
                    <w:rPr>
                      <w:szCs w:val="21"/>
                    </w:rPr>
                  </w:pPr>
                  <w:r>
                    <w:rPr>
                      <w:szCs w:val="21"/>
                    </w:rPr>
                    <w:t>47.82</w:t>
                  </w:r>
                </w:p>
              </w:tc>
              <w:tc>
                <w:tcPr>
                  <w:tcW w:w="2079" w:type="dxa"/>
                  <w:vAlign w:val="center"/>
                </w:tcPr>
                <w:p w14:paraId="6ADB0949">
                  <w:pPr>
                    <w:jc w:val="center"/>
                    <w:rPr>
                      <w:szCs w:val="21"/>
                    </w:rPr>
                  </w:pPr>
                  <w:r>
                    <w:rPr>
                      <w:szCs w:val="21"/>
                    </w:rPr>
                    <w:t>0.101</w:t>
                  </w:r>
                </w:p>
              </w:tc>
            </w:tr>
            <w:tr w14:paraId="050548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341D5D84">
                  <w:pPr>
                    <w:adjustRightInd w:val="0"/>
                    <w:snapToGrid w:val="0"/>
                    <w:jc w:val="center"/>
                    <w:rPr>
                      <w:szCs w:val="21"/>
                    </w:rPr>
                  </w:pPr>
                </w:p>
              </w:tc>
              <w:tc>
                <w:tcPr>
                  <w:tcW w:w="1718" w:type="dxa"/>
                  <w:vMerge w:val="continue"/>
                  <w:vAlign w:val="center"/>
                </w:tcPr>
                <w:p w14:paraId="6AD03F7A">
                  <w:pPr>
                    <w:adjustRightInd w:val="0"/>
                    <w:snapToGrid w:val="0"/>
                    <w:jc w:val="center"/>
                    <w:rPr>
                      <w:szCs w:val="21"/>
                    </w:rPr>
                  </w:pPr>
                </w:p>
              </w:tc>
              <w:tc>
                <w:tcPr>
                  <w:tcW w:w="1882" w:type="dxa"/>
                  <w:vAlign w:val="center"/>
                </w:tcPr>
                <w:p w14:paraId="01A1D6EB">
                  <w:pPr>
                    <w:jc w:val="center"/>
                    <w:rPr>
                      <w:rFonts w:ascii="宋体" w:hAnsi="宋体" w:cs="宋体"/>
                      <w:szCs w:val="21"/>
                    </w:rPr>
                  </w:pPr>
                  <w:r>
                    <w:rPr>
                      <w:rFonts w:hint="eastAsia"/>
                      <w:szCs w:val="21"/>
                    </w:rPr>
                    <w:t>硫化物</w:t>
                  </w:r>
                </w:p>
              </w:tc>
              <w:tc>
                <w:tcPr>
                  <w:tcW w:w="2288" w:type="dxa"/>
                  <w:vAlign w:val="center"/>
                </w:tcPr>
                <w:p w14:paraId="44C62EA4">
                  <w:pPr>
                    <w:jc w:val="center"/>
                    <w:rPr>
                      <w:szCs w:val="21"/>
                    </w:rPr>
                  </w:pPr>
                  <w:r>
                    <w:rPr>
                      <w:szCs w:val="21"/>
                    </w:rPr>
                    <w:t>66.75</w:t>
                  </w:r>
                </w:p>
              </w:tc>
              <w:tc>
                <w:tcPr>
                  <w:tcW w:w="2079" w:type="dxa"/>
                  <w:vAlign w:val="center"/>
                </w:tcPr>
                <w:p w14:paraId="60D378A5">
                  <w:pPr>
                    <w:jc w:val="center"/>
                    <w:rPr>
                      <w:sz w:val="24"/>
                    </w:rPr>
                  </w:pPr>
                  <w:r>
                    <w:t>0.141</w:t>
                  </w:r>
                </w:p>
              </w:tc>
            </w:tr>
            <w:tr w14:paraId="099EAE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3" w:type="dxa"/>
                  <w:vMerge w:val="continue"/>
                  <w:vAlign w:val="center"/>
                </w:tcPr>
                <w:p w14:paraId="68B27A2E">
                  <w:pPr>
                    <w:adjustRightInd w:val="0"/>
                    <w:snapToGrid w:val="0"/>
                    <w:jc w:val="center"/>
                    <w:rPr>
                      <w:szCs w:val="21"/>
                    </w:rPr>
                  </w:pPr>
                </w:p>
              </w:tc>
              <w:tc>
                <w:tcPr>
                  <w:tcW w:w="1718" w:type="dxa"/>
                  <w:vMerge w:val="continue"/>
                  <w:vAlign w:val="center"/>
                </w:tcPr>
                <w:p w14:paraId="428930B7">
                  <w:pPr>
                    <w:adjustRightInd w:val="0"/>
                    <w:snapToGrid w:val="0"/>
                    <w:jc w:val="center"/>
                    <w:rPr>
                      <w:szCs w:val="21"/>
                    </w:rPr>
                  </w:pPr>
                </w:p>
              </w:tc>
              <w:tc>
                <w:tcPr>
                  <w:tcW w:w="1882" w:type="dxa"/>
                  <w:vAlign w:val="center"/>
                </w:tcPr>
                <w:p w14:paraId="790800BD">
                  <w:pPr>
                    <w:jc w:val="center"/>
                    <w:rPr>
                      <w:rFonts w:ascii="宋体" w:hAnsi="宋体" w:cs="宋体"/>
                      <w:szCs w:val="21"/>
                    </w:rPr>
                  </w:pPr>
                  <w:r>
                    <w:rPr>
                      <w:rFonts w:hint="eastAsia"/>
                      <w:szCs w:val="21"/>
                    </w:rPr>
                    <w:t>氟化物</w:t>
                  </w:r>
                </w:p>
              </w:tc>
              <w:tc>
                <w:tcPr>
                  <w:tcW w:w="2288" w:type="dxa"/>
                  <w:vAlign w:val="center"/>
                </w:tcPr>
                <w:p w14:paraId="649EF8EE">
                  <w:pPr>
                    <w:jc w:val="center"/>
                    <w:rPr>
                      <w:szCs w:val="21"/>
                    </w:rPr>
                  </w:pPr>
                  <w:r>
                    <w:rPr>
                      <w:szCs w:val="21"/>
                    </w:rPr>
                    <w:t>14.51</w:t>
                  </w:r>
                </w:p>
              </w:tc>
              <w:tc>
                <w:tcPr>
                  <w:tcW w:w="2079" w:type="dxa"/>
                  <w:vAlign w:val="center"/>
                </w:tcPr>
                <w:p w14:paraId="0B9851A1">
                  <w:pPr>
                    <w:jc w:val="center"/>
                    <w:rPr>
                      <w:sz w:val="24"/>
                    </w:rPr>
                  </w:pPr>
                  <w:r>
                    <w:t>0.031</w:t>
                  </w:r>
                </w:p>
              </w:tc>
            </w:tr>
          </w:tbl>
          <w:p w14:paraId="66D3D778">
            <w:pPr>
              <w:pStyle w:val="8"/>
              <w:adjustRightInd w:val="0"/>
              <w:snapToGrid w:val="0"/>
              <w:spacing w:beforeLines="50" w:line="360" w:lineRule="auto"/>
              <w:ind w:firstLine="422" w:firstLineChars="200"/>
              <w:rPr>
                <w:b/>
                <w:bCs/>
                <w:szCs w:val="21"/>
              </w:rPr>
            </w:pPr>
            <w:r>
              <w:rPr>
                <w:b/>
                <w:bCs/>
                <w:szCs w:val="21"/>
              </w:rPr>
              <w:t>②废水处理措施</w:t>
            </w:r>
          </w:p>
          <w:p w14:paraId="7343242D"/>
          <w:p w14:paraId="0140002C"/>
          <w:p w14:paraId="6E9FF8D6"/>
          <w:p w14:paraId="48CB00F1"/>
          <w:p w14:paraId="5B1D3A13"/>
          <w:p w14:paraId="091DE7C6"/>
          <w:p w14:paraId="04DB0415"/>
          <w:p w14:paraId="64B06FE4"/>
          <w:p w14:paraId="4C2FECBD"/>
          <w:p w14:paraId="7CF5AC2D"/>
          <w:p w14:paraId="567AEB10"/>
          <w:p w14:paraId="0662B4F1">
            <w:pPr>
              <w:pStyle w:val="8"/>
            </w:pPr>
          </w:p>
          <w:p w14:paraId="5B25992E">
            <w:pPr>
              <w:pStyle w:val="9"/>
            </w:pPr>
          </w:p>
          <w:p w14:paraId="3536AB90">
            <w:pPr>
              <w:pStyle w:val="9"/>
            </w:pPr>
          </w:p>
          <w:p w14:paraId="096C75A9">
            <w:pPr>
              <w:pStyle w:val="9"/>
            </w:pPr>
          </w:p>
          <w:p w14:paraId="0BFA4116">
            <w:pPr>
              <w:pStyle w:val="9"/>
            </w:pPr>
          </w:p>
          <w:p w14:paraId="4BEA9545">
            <w:pPr>
              <w:pStyle w:val="9"/>
            </w:pPr>
          </w:p>
          <w:p w14:paraId="31B33241">
            <w:pPr>
              <w:pStyle w:val="9"/>
            </w:pPr>
          </w:p>
          <w:p w14:paraId="1531BD5A">
            <w:pPr>
              <w:pStyle w:val="9"/>
            </w:pPr>
          </w:p>
          <w:p w14:paraId="6B06C15B">
            <w:pPr>
              <w:pStyle w:val="9"/>
            </w:pPr>
          </w:p>
          <w:p w14:paraId="0B16C43C">
            <w:pPr>
              <w:pStyle w:val="9"/>
            </w:pPr>
          </w:p>
          <w:p w14:paraId="720AE6A4">
            <w:pPr>
              <w:pStyle w:val="9"/>
            </w:pPr>
          </w:p>
          <w:p w14:paraId="7ED25F86">
            <w:pPr>
              <w:pStyle w:val="9"/>
            </w:pPr>
          </w:p>
          <w:p w14:paraId="713B66AC">
            <w:pPr>
              <w:pStyle w:val="9"/>
            </w:pPr>
          </w:p>
          <w:p w14:paraId="465CCA8C">
            <w:pPr>
              <w:pStyle w:val="9"/>
            </w:pPr>
          </w:p>
          <w:p w14:paraId="0FE5D09C">
            <w:pPr>
              <w:pStyle w:val="9"/>
            </w:pPr>
          </w:p>
          <w:p w14:paraId="616C3431">
            <w:pPr>
              <w:pStyle w:val="9"/>
            </w:pPr>
          </w:p>
          <w:p w14:paraId="02F28FD3"/>
          <w:p w14:paraId="36A16486">
            <w:pPr>
              <w:pStyle w:val="8"/>
            </w:pPr>
          </w:p>
          <w:p w14:paraId="4818E5FD"/>
          <w:p w14:paraId="145ED829">
            <w:pPr>
              <w:pStyle w:val="8"/>
            </w:pPr>
          </w:p>
          <w:p w14:paraId="762FFAAB"/>
          <w:p w14:paraId="2C3E8FC1">
            <w:pPr>
              <w:pStyle w:val="8"/>
            </w:pPr>
          </w:p>
          <w:p w14:paraId="20D1FB1F"/>
          <w:p w14:paraId="01C2649C">
            <w:pPr>
              <w:pStyle w:val="8"/>
            </w:pPr>
          </w:p>
          <w:p w14:paraId="3A37834E"/>
          <w:p w14:paraId="1541CCEB"/>
          <w:p w14:paraId="5E0FADBB"/>
        </w:tc>
      </w:tr>
    </w:tbl>
    <w:p w14:paraId="43BB08F2">
      <w:pPr>
        <w:sectPr>
          <w:pgSz w:w="11907" w:h="16840"/>
          <w:pgMar w:top="1701" w:right="1531" w:bottom="2127" w:left="1531" w:header="851" w:footer="851" w:gutter="0"/>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2654"/>
      </w:tblGrid>
      <w:tr w14:paraId="3EEA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2" w:hRule="atLeast"/>
        </w:trPr>
        <w:tc>
          <w:tcPr>
            <w:tcW w:w="574" w:type="dxa"/>
          </w:tcPr>
          <w:p w14:paraId="1FEDCD09">
            <w:pPr>
              <w:pStyle w:val="82"/>
              <w:rPr>
                <w:color w:val="auto"/>
                <w:vertAlign w:val="baseline"/>
              </w:rPr>
            </w:pPr>
          </w:p>
        </w:tc>
        <w:tc>
          <w:tcPr>
            <w:tcW w:w="12654" w:type="dxa"/>
          </w:tcPr>
          <w:p w14:paraId="64BB85FA">
            <w:pPr>
              <w:adjustRightInd w:val="0"/>
              <w:snapToGrid w:val="0"/>
              <w:spacing w:line="360" w:lineRule="auto"/>
              <w:jc w:val="center"/>
              <w:rPr>
                <w:rFonts w:hint="eastAsia" w:eastAsia="宋体"/>
                <w:b/>
                <w:bCs/>
                <w:szCs w:val="21"/>
                <w:lang w:eastAsia="zh-CN"/>
              </w:rPr>
            </w:pPr>
            <w:r>
              <w:rPr>
                <w:rFonts w:hint="eastAsia" w:eastAsia="宋体"/>
                <w:b/>
                <w:bCs/>
                <w:szCs w:val="21"/>
                <w:lang w:eastAsia="zh-CN"/>
              </w:rPr>
              <w:drawing>
                <wp:inline distT="0" distB="0" distL="114300" distR="114300">
                  <wp:extent cx="7486650" cy="5153025"/>
                  <wp:effectExtent l="0" t="0" r="0" b="9525"/>
                  <wp:docPr id="2" name="图片 2" descr="175375314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3753145973"/>
                          <pic:cNvPicPr>
                            <a:picLocks noChangeAspect="1"/>
                          </pic:cNvPicPr>
                        </pic:nvPicPr>
                        <pic:blipFill>
                          <a:blip r:embed="rId14"/>
                          <a:stretch>
                            <a:fillRect/>
                          </a:stretch>
                        </pic:blipFill>
                        <pic:spPr>
                          <a:xfrm>
                            <a:off x="0" y="0"/>
                            <a:ext cx="7486650" cy="5153025"/>
                          </a:xfrm>
                          <a:prstGeom prst="rect">
                            <a:avLst/>
                          </a:prstGeom>
                        </pic:spPr>
                      </pic:pic>
                    </a:graphicData>
                  </a:graphic>
                </wp:inline>
              </w:drawing>
            </w:r>
          </w:p>
          <w:p w14:paraId="75E7D77C">
            <w:pPr>
              <w:adjustRightInd w:val="0"/>
              <w:snapToGrid w:val="0"/>
              <w:spacing w:line="360" w:lineRule="auto"/>
              <w:jc w:val="center"/>
              <w:rPr>
                <w:color w:val="auto"/>
                <w:vertAlign w:val="baseline"/>
              </w:rPr>
            </w:pPr>
            <w:r>
              <w:rPr>
                <w:b/>
                <w:bCs/>
                <w:szCs w:val="21"/>
              </w:rPr>
              <w:t>图4-2  污水处理设施工艺流程图</w:t>
            </w:r>
          </w:p>
        </w:tc>
      </w:tr>
    </w:tbl>
    <w:p w14:paraId="2F56D1CE">
      <w:pPr>
        <w:pStyle w:val="82"/>
        <w:ind w:left="0" w:leftChars="0" w:firstLine="0" w:firstLineChars="0"/>
        <w:rPr>
          <w:color w:val="auto"/>
        </w:rPr>
        <w:sectPr>
          <w:pgSz w:w="16840" w:h="11907" w:orient="landscape"/>
          <w:pgMar w:top="1531" w:right="1701" w:bottom="1531" w:left="2127" w:header="851" w:footer="851" w:gutter="0"/>
          <w:cols w:space="720" w:num="1"/>
          <w:docGrid w:linePitch="312" w:charSpace="0"/>
        </w:sectPr>
      </w:pPr>
    </w:p>
    <w:tbl>
      <w:tblPr>
        <w:tblStyle w:val="25"/>
        <w:tblW w:w="546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246"/>
      </w:tblGrid>
      <w:tr w14:paraId="1450B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89" w:type="pct"/>
            <w:tcMar>
              <w:left w:w="28" w:type="dxa"/>
              <w:right w:w="28" w:type="dxa"/>
            </w:tcMar>
            <w:vAlign w:val="center"/>
          </w:tcPr>
          <w:p w14:paraId="4BBB8A50">
            <w:pPr>
              <w:pStyle w:val="21"/>
              <w:adjustRightInd w:val="0"/>
              <w:snapToGrid w:val="0"/>
              <w:spacing w:before="0" w:beforeAutospacing="0" w:after="0" w:afterAutospacing="0" w:line="360" w:lineRule="auto"/>
              <w:jc w:val="center"/>
              <w:rPr>
                <w:rFonts w:ascii="Times New Roman" w:hAnsi="Times New Roman"/>
                <w:kern w:val="2"/>
                <w:sz w:val="21"/>
                <w:szCs w:val="21"/>
              </w:rPr>
            </w:pPr>
            <w:r>
              <w:rPr>
                <w:rFonts w:ascii="Times New Roman" w:hAnsi="Times New Roman"/>
                <w:bCs/>
                <w:kern w:val="2"/>
                <w:sz w:val="21"/>
                <w:szCs w:val="21"/>
              </w:rPr>
              <w:t>运营期环境影响和保护措施</w:t>
            </w:r>
          </w:p>
        </w:tc>
        <w:tc>
          <w:tcPr>
            <w:tcW w:w="4710" w:type="pct"/>
            <w:vAlign w:val="center"/>
          </w:tcPr>
          <w:p w14:paraId="155A3522">
            <w:pPr>
              <w:pStyle w:val="8"/>
              <w:adjustRightInd w:val="0"/>
              <w:snapToGrid w:val="0"/>
              <w:spacing w:line="360" w:lineRule="auto"/>
              <w:rPr>
                <w:szCs w:val="21"/>
              </w:rPr>
            </w:pPr>
            <w:r>
              <w:rPr>
                <w:b/>
                <w:bCs/>
                <w:szCs w:val="21"/>
              </w:rPr>
              <w:t>工艺流程简介：</w:t>
            </w:r>
          </w:p>
          <w:p w14:paraId="0A387ABC">
            <w:pPr>
              <w:adjustRightInd w:val="0"/>
              <w:snapToGrid w:val="0"/>
              <w:spacing w:line="360" w:lineRule="auto"/>
              <w:ind w:left="-84" w:firstLine="422" w:firstLineChars="200"/>
              <w:rPr>
                <w:b/>
                <w:szCs w:val="21"/>
              </w:rPr>
            </w:pPr>
            <w:r>
              <w:rPr>
                <w:rFonts w:hint="eastAsia"/>
                <w:b/>
                <w:szCs w:val="21"/>
              </w:rPr>
              <w:t>4.1电泳废水预处理</w:t>
            </w:r>
          </w:p>
          <w:p w14:paraId="423C54E7">
            <w:pPr>
              <w:adjustRightInd w:val="0"/>
              <w:snapToGrid w:val="0"/>
              <w:spacing w:line="360" w:lineRule="auto"/>
              <w:ind w:left="-84" w:firstLine="420" w:firstLineChars="200"/>
              <w:rPr>
                <w:szCs w:val="21"/>
              </w:rPr>
            </w:pPr>
            <w:r>
              <w:rPr>
                <w:rFonts w:hint="eastAsia"/>
                <w:szCs w:val="21"/>
              </w:rPr>
              <w:t>电泳漆废水预处理电泳漆废水因主要污染物比较高，同时含有很多漆渣，同时有有机溶剂，故废水进入主系统之前需要对其进行预处理。</w:t>
            </w:r>
          </w:p>
          <w:p w14:paraId="76467C27">
            <w:pPr>
              <w:adjustRightInd w:val="0"/>
              <w:snapToGrid w:val="0"/>
              <w:spacing w:line="360" w:lineRule="auto"/>
              <w:ind w:left="-84" w:firstLine="420" w:firstLineChars="200"/>
              <w:rPr>
                <w:szCs w:val="21"/>
              </w:rPr>
            </w:pPr>
            <w:r>
              <w:rPr>
                <w:rFonts w:hint="eastAsia"/>
                <w:szCs w:val="21"/>
              </w:rPr>
              <w:t>电泳漆废水输送至电泳漆废水调节池后，经过气浮设备将水中的漆渣和悬浮物去除后，进入超级氧化单元，通过投加强氧化剂去除水中的有机物，降低</w:t>
            </w:r>
            <w:r>
              <w:rPr>
                <w:szCs w:val="21"/>
              </w:rPr>
              <w:t>COD</w:t>
            </w:r>
            <w:r>
              <w:rPr>
                <w:rFonts w:hint="eastAsia"/>
                <w:szCs w:val="21"/>
              </w:rPr>
              <w:t>指标。强氧化后，投加混凝和絮凝剂，产生絮凝反应后，进入斜管沉淀池进行固液分离，将水中的悬浮物去除。</w:t>
            </w:r>
          </w:p>
          <w:p w14:paraId="4736D8AE">
            <w:pPr>
              <w:adjustRightInd w:val="0"/>
              <w:snapToGrid w:val="0"/>
              <w:spacing w:line="360" w:lineRule="auto"/>
              <w:ind w:left="-84" w:firstLine="420" w:firstLineChars="200"/>
              <w:rPr>
                <w:szCs w:val="21"/>
              </w:rPr>
            </w:pPr>
            <w:r>
              <w:rPr>
                <w:rFonts w:hint="eastAsia"/>
                <w:szCs w:val="21"/>
              </w:rPr>
              <w:t>因电泳漆废水单元定期要清槽，同时电泳漆回收时，超滤系统会排出高浓度废水，此两股废水因水量小，浓度高，排放集中，为不对整个系统产生冲击，故分别设置两个收集箱，高浓度废水定量与清洗废水稀释进行处理。</w:t>
            </w:r>
          </w:p>
          <w:p w14:paraId="23DE48A6">
            <w:pPr>
              <w:adjustRightInd w:val="0"/>
              <w:snapToGrid w:val="0"/>
              <w:spacing w:line="360" w:lineRule="auto"/>
              <w:ind w:left="-84" w:firstLine="422" w:firstLineChars="200"/>
              <w:rPr>
                <w:b/>
                <w:szCs w:val="21"/>
              </w:rPr>
            </w:pPr>
            <w:r>
              <w:rPr>
                <w:rFonts w:hint="eastAsia"/>
                <w:b/>
                <w:szCs w:val="21"/>
              </w:rPr>
              <w:t>4.2</w:t>
            </w:r>
            <w:r>
              <w:rPr>
                <w:rFonts w:hint="eastAsia"/>
                <w:b/>
                <w:szCs w:val="21"/>
                <w:highlight w:val="black"/>
                <w:lang w:val="en-US" w:eastAsia="zh-CN"/>
              </w:rPr>
              <w:t xml:space="preserve">    </w:t>
            </w:r>
            <w:r>
              <w:rPr>
                <w:rFonts w:hint="eastAsia"/>
                <w:b/>
                <w:szCs w:val="21"/>
                <w:highlight w:val="black"/>
              </w:rPr>
              <w:t>清洗废水和脱脂清洗废水</w:t>
            </w:r>
            <w:r>
              <w:rPr>
                <w:rFonts w:hint="eastAsia"/>
                <w:b/>
                <w:szCs w:val="21"/>
              </w:rPr>
              <w:t>预处理</w:t>
            </w:r>
          </w:p>
          <w:p w14:paraId="0B336CFE">
            <w:pPr>
              <w:adjustRightInd w:val="0"/>
              <w:snapToGrid w:val="0"/>
              <w:spacing w:line="360" w:lineRule="auto"/>
              <w:ind w:firstLine="420" w:firstLineChars="200"/>
              <w:rPr>
                <w:rFonts w:hint="default"/>
                <w:szCs w:val="21"/>
                <w:highlight w:val="black"/>
                <w:lang w:val="en-US" w:eastAsia="zh-CN"/>
              </w:rPr>
            </w:pPr>
            <w:r>
              <w:rPr>
                <w:rFonts w:hint="eastAsia"/>
                <w:szCs w:val="21"/>
                <w:highlight w:val="black"/>
                <w:lang w:val="en-US" w:eastAsia="zh-CN"/>
              </w:rPr>
              <w:t xml:space="preserve">                                                                              </w:t>
            </w:r>
          </w:p>
          <w:p w14:paraId="5984B3C3">
            <w:pPr>
              <w:adjustRightInd w:val="0"/>
              <w:snapToGrid w:val="0"/>
              <w:spacing w:line="360" w:lineRule="auto"/>
              <w:ind w:firstLine="420" w:firstLineChars="200"/>
              <w:rPr>
                <w:rFonts w:hint="default" w:eastAsia="宋体"/>
                <w:szCs w:val="21"/>
                <w:lang w:val="en-US" w:eastAsia="zh-CN"/>
              </w:rPr>
            </w:pPr>
            <w:r>
              <w:rPr>
                <w:rFonts w:hint="eastAsia"/>
                <w:szCs w:val="21"/>
              </w:rPr>
              <w:t>废水经提高p</w:t>
            </w:r>
            <w:r>
              <w:rPr>
                <w:szCs w:val="21"/>
              </w:rPr>
              <w:t>H</w:t>
            </w:r>
            <w:r>
              <w:rPr>
                <w:rFonts w:hint="eastAsia"/>
                <w:szCs w:val="21"/>
              </w:rPr>
              <w:t>、投加</w:t>
            </w:r>
            <w:r>
              <w:rPr>
                <w:szCs w:val="21"/>
              </w:rPr>
              <w:t>PAC、</w:t>
            </w:r>
            <w:r>
              <w:rPr>
                <w:rFonts w:hint="eastAsia"/>
                <w:szCs w:val="21"/>
              </w:rPr>
              <w:t>阴离子</w:t>
            </w:r>
            <w:r>
              <w:rPr>
                <w:szCs w:val="21"/>
              </w:rPr>
              <w:t>PAM</w:t>
            </w:r>
            <w:r>
              <w:rPr>
                <w:rFonts w:hint="eastAsia"/>
                <w:szCs w:val="21"/>
              </w:rPr>
              <w:t>反应后，形成“絮凝混合液”流入高效沉淀槽。在沉淀槽中，废水中的悬浮物（可沉降固体颗粒）在重力的作用下，沉入泥斗，实现固、液分离，污染物得到有效去除，废水澄清。</w:t>
            </w:r>
            <w:r>
              <w:rPr>
                <w:rFonts w:hint="eastAsia"/>
                <w:szCs w:val="21"/>
                <w:highlight w:val="black"/>
                <w:lang w:val="en-US" w:eastAsia="zh-CN"/>
              </w:rPr>
              <w:t xml:space="preserve">                             </w:t>
            </w:r>
          </w:p>
          <w:p w14:paraId="626460C8">
            <w:pPr>
              <w:adjustRightInd w:val="0"/>
              <w:snapToGrid w:val="0"/>
              <w:spacing w:line="360" w:lineRule="auto"/>
              <w:ind w:left="-84" w:firstLine="422" w:firstLineChars="200"/>
              <w:rPr>
                <w:b/>
                <w:szCs w:val="21"/>
              </w:rPr>
            </w:pPr>
            <w:r>
              <w:rPr>
                <w:rFonts w:hint="eastAsia"/>
                <w:b/>
                <w:szCs w:val="21"/>
              </w:rPr>
              <w:t>4.3混合废水水解酸化和好氧处理</w:t>
            </w:r>
          </w:p>
          <w:p w14:paraId="7CE5B203">
            <w:pPr>
              <w:adjustRightInd w:val="0"/>
              <w:snapToGrid w:val="0"/>
              <w:spacing w:line="360" w:lineRule="auto"/>
              <w:ind w:left="-84" w:firstLine="420" w:firstLineChars="200"/>
              <w:rPr>
                <w:szCs w:val="21"/>
              </w:rPr>
            </w:pPr>
            <w:r>
              <w:rPr>
                <w:rFonts w:hint="eastAsia"/>
                <w:szCs w:val="21"/>
              </w:rPr>
              <w:t>经过以上处理后，水中的悬浮重金属指标都有大幅度降低，然水中有机物</w:t>
            </w:r>
            <w:r>
              <w:rPr>
                <w:szCs w:val="21"/>
              </w:rPr>
              <w:t xml:space="preserve">COD </w:t>
            </w:r>
            <w:r>
              <w:rPr>
                <w:rFonts w:hint="eastAsia"/>
                <w:szCs w:val="21"/>
              </w:rPr>
              <w:t>指标仍会很高，故系统设置生物处理法。</w:t>
            </w:r>
          </w:p>
          <w:p w14:paraId="3626D133">
            <w:pPr>
              <w:adjustRightInd w:val="0"/>
              <w:snapToGrid w:val="0"/>
              <w:spacing w:line="360" w:lineRule="auto"/>
              <w:ind w:left="-84" w:firstLine="422" w:firstLineChars="200"/>
              <w:rPr>
                <w:szCs w:val="21"/>
              </w:rPr>
            </w:pPr>
            <w:r>
              <w:rPr>
                <w:rFonts w:hint="eastAsia"/>
                <w:b/>
                <w:szCs w:val="21"/>
              </w:rPr>
              <w:t>4.3.1厌氧池即为水解酸化池</w:t>
            </w:r>
          </w:p>
          <w:p w14:paraId="742F0F38">
            <w:pPr>
              <w:adjustRightInd w:val="0"/>
              <w:snapToGrid w:val="0"/>
              <w:spacing w:line="360" w:lineRule="auto"/>
              <w:ind w:left="-84" w:firstLine="420" w:firstLineChars="200"/>
              <w:rPr>
                <w:szCs w:val="21"/>
              </w:rPr>
            </w:pPr>
            <w:r>
              <w:rPr>
                <w:rFonts w:hint="eastAsia"/>
                <w:szCs w:val="21"/>
              </w:rPr>
              <w:t>水解酸化主要是将废水中非溶解性有机物水解为溶解性有机物，将微生物难以降解的大分子物质通过水解酸化转化为易于生化降解的小分子物质。通过在厌氧池填料，使得微生物更加容易繁殖，水解彻底。</w:t>
            </w:r>
          </w:p>
          <w:p w14:paraId="470E9F37">
            <w:pPr>
              <w:adjustRightInd w:val="0"/>
              <w:snapToGrid w:val="0"/>
              <w:spacing w:line="360" w:lineRule="auto"/>
              <w:ind w:left="-84" w:firstLine="420" w:firstLineChars="200"/>
              <w:rPr>
                <w:szCs w:val="21"/>
              </w:rPr>
            </w:pPr>
            <w:r>
              <w:rPr>
                <w:rFonts w:hint="eastAsia"/>
                <w:szCs w:val="21"/>
              </w:rPr>
              <w:t>厌氧水解酸化降解过程可以被分为四个阶段：水解阶段、发酵</w:t>
            </w:r>
            <w:r>
              <w:rPr>
                <w:szCs w:val="21"/>
              </w:rPr>
              <w:t>(</w:t>
            </w:r>
            <w:r>
              <w:rPr>
                <w:rFonts w:hint="eastAsia"/>
                <w:szCs w:val="21"/>
              </w:rPr>
              <w:t>或酸化</w:t>
            </w:r>
            <w:r>
              <w:rPr>
                <w:szCs w:val="21"/>
              </w:rPr>
              <w:t>)</w:t>
            </w:r>
            <w:r>
              <w:rPr>
                <w:rFonts w:hint="eastAsia"/>
                <w:szCs w:val="21"/>
              </w:rPr>
              <w:t>阶段、产乙酸阶段和产甲烷阶段。</w:t>
            </w:r>
          </w:p>
          <w:p w14:paraId="5DDF16F0">
            <w:pPr>
              <w:adjustRightInd w:val="0"/>
              <w:snapToGrid w:val="0"/>
              <w:spacing w:line="360" w:lineRule="auto"/>
              <w:ind w:left="-84" w:firstLine="422" w:firstLineChars="200"/>
              <w:rPr>
                <w:b/>
                <w:szCs w:val="21"/>
              </w:rPr>
            </w:pPr>
            <w:r>
              <w:rPr>
                <w:rFonts w:hint="eastAsia"/>
                <w:b/>
                <w:szCs w:val="21"/>
              </w:rPr>
              <w:t>4.3.2 MBR池</w:t>
            </w:r>
          </w:p>
          <w:p w14:paraId="72F12A40">
            <w:pPr>
              <w:adjustRightInd w:val="0"/>
              <w:snapToGrid w:val="0"/>
              <w:spacing w:line="360" w:lineRule="auto"/>
              <w:ind w:left="-84" w:firstLine="420" w:firstLineChars="200"/>
              <w:rPr>
                <w:szCs w:val="21"/>
              </w:rPr>
            </w:pPr>
            <w:r>
              <w:rPr>
                <w:szCs w:val="21"/>
              </w:rPr>
              <w:t>MBR</w:t>
            </w:r>
            <w:r>
              <w:rPr>
                <w:rFonts w:hint="eastAsia"/>
                <w:szCs w:val="21"/>
              </w:rPr>
              <w:t>又称膜生物反应器</w:t>
            </w:r>
            <w:r>
              <w:rPr>
                <w:szCs w:val="21"/>
              </w:rPr>
              <w:t>(Membrane Bio-Reactor)</w:t>
            </w:r>
            <w:r>
              <w:rPr>
                <w:rFonts w:hint="eastAsia"/>
                <w:szCs w:val="21"/>
              </w:rPr>
              <w:t>，是一种由膜分离单元与生物处理单元相结合的新型水处理技术。通过活性污泥来去除水中可生物降解的有机污染物，然后采用膜将净化后的水和活性污泥进行固液分离。</w:t>
            </w:r>
          </w:p>
          <w:p w14:paraId="493CCD4F">
            <w:pPr>
              <w:adjustRightInd w:val="0"/>
              <w:snapToGrid w:val="0"/>
              <w:spacing w:line="360" w:lineRule="auto"/>
              <w:ind w:left="-84" w:firstLine="420" w:firstLineChars="200"/>
              <w:rPr>
                <w:szCs w:val="21"/>
              </w:rPr>
            </w:pPr>
            <w:r>
              <w:rPr>
                <w:rFonts w:hint="eastAsia"/>
                <w:szCs w:val="21"/>
              </w:rPr>
              <w:t>具有以下优点：占地面积小，节省空间；出水水质稳定、透明度高；运行管理方便、维护简单；泥龄长；动力消耗低；抗冲击性强。</w:t>
            </w:r>
          </w:p>
          <w:p w14:paraId="7EBDD567">
            <w:pPr>
              <w:adjustRightInd w:val="0"/>
              <w:snapToGrid w:val="0"/>
              <w:spacing w:line="360" w:lineRule="auto"/>
              <w:ind w:left="-84" w:firstLine="422" w:firstLineChars="200"/>
              <w:rPr>
                <w:szCs w:val="21"/>
              </w:rPr>
            </w:pPr>
            <w:r>
              <w:rPr>
                <w:rFonts w:hint="eastAsia"/>
                <w:b/>
                <w:szCs w:val="21"/>
              </w:rPr>
              <w:t>4.4中水回用系统</w:t>
            </w:r>
          </w:p>
          <w:p w14:paraId="0C47A6C3">
            <w:pPr>
              <w:adjustRightInd w:val="0"/>
              <w:snapToGrid w:val="0"/>
              <w:spacing w:line="360" w:lineRule="auto"/>
              <w:ind w:left="-84" w:firstLine="422" w:firstLineChars="200"/>
              <w:rPr>
                <w:b/>
                <w:szCs w:val="21"/>
              </w:rPr>
            </w:pPr>
            <w:r>
              <w:rPr>
                <w:b/>
                <w:szCs w:val="21"/>
              </w:rPr>
              <w:t>4.4.1</w:t>
            </w:r>
            <w:r>
              <w:rPr>
                <w:rFonts w:hint="eastAsia"/>
                <w:b/>
                <w:szCs w:val="21"/>
              </w:rPr>
              <w:t>石英砂过滤器：</w:t>
            </w:r>
          </w:p>
          <w:p w14:paraId="15CC5B5E">
            <w:pPr>
              <w:adjustRightInd w:val="0"/>
              <w:snapToGrid w:val="0"/>
              <w:spacing w:line="360" w:lineRule="auto"/>
              <w:ind w:left="-84" w:firstLine="420" w:firstLineChars="200"/>
              <w:rPr>
                <w:szCs w:val="21"/>
              </w:rPr>
            </w:pPr>
            <w:r>
              <w:rPr>
                <w:rFonts w:hint="eastAsia"/>
                <w:szCs w:val="21"/>
              </w:rPr>
              <w:t>原水残留少量细小的悬浮颗粒，需对悬浮物进行处理，除去水中悬浮物的常用方法就是石英砂过滤。将浑水通过粒状滤层，就可将水中的悬浮物截留下来，流出的即是清水，采用粒状滤料过滤方法简单，且当滤层失效后易于用反洗的方法恢复其过滤性能。石英砂过滤能对原水中悬浮物、颗粒物及胶体等物质进行去除，同时对原水中的浊度、色度起到降低作用，它可滤掉原水带来的颗粒、藻类等可见物。石英砂过滤是一种先进的微絮凝过滤方式，能完全滤除不溶于水中的杂质，保证</w:t>
            </w:r>
            <w:r>
              <w:rPr>
                <w:szCs w:val="21"/>
              </w:rPr>
              <w:t xml:space="preserve">SDI </w:t>
            </w:r>
            <w:r>
              <w:rPr>
                <w:rFonts w:hint="eastAsia"/>
                <w:szCs w:val="21"/>
              </w:rPr>
              <w:t>值不大于</w:t>
            </w:r>
            <w:r>
              <w:rPr>
                <w:szCs w:val="21"/>
              </w:rPr>
              <w:t>4</w:t>
            </w:r>
            <w:r>
              <w:rPr>
                <w:rFonts w:hint="eastAsia"/>
                <w:szCs w:val="21"/>
              </w:rPr>
              <w:t>，是后级</w:t>
            </w:r>
            <w:r>
              <w:rPr>
                <w:szCs w:val="21"/>
              </w:rPr>
              <w:t xml:space="preserve">RO </w:t>
            </w:r>
            <w:r>
              <w:rPr>
                <w:rFonts w:hint="eastAsia"/>
                <w:szCs w:val="21"/>
              </w:rPr>
              <w:t>的强有力保护屏。选用玻璃钢材质的压力式过滤器，耐压</w:t>
            </w:r>
            <w:r>
              <w:rPr>
                <w:szCs w:val="21"/>
              </w:rPr>
              <w:t>6kg/cm</w:t>
            </w:r>
            <w:r>
              <w:rPr>
                <w:szCs w:val="21"/>
                <w:vertAlign w:val="superscript"/>
              </w:rPr>
              <w:t>2</w:t>
            </w:r>
            <w:r>
              <w:rPr>
                <w:rFonts w:hint="eastAsia"/>
                <w:szCs w:val="21"/>
              </w:rPr>
              <w:t>，采用自动多路阀控制。石英砂过滤器设计流速</w:t>
            </w:r>
            <w:r>
              <w:rPr>
                <w:szCs w:val="21"/>
              </w:rPr>
              <w:t>10-12m/h，</w:t>
            </w:r>
            <w:r>
              <w:rPr>
                <w:rFonts w:hint="eastAsia"/>
                <w:szCs w:val="21"/>
              </w:rPr>
              <w:t>能很好的去除水中的悬浮物或非溶解性粒子（氧化物、浊度、颗粒物等），具有低成本，操作维护、管理方便等特点，特别是在降低原水中的浊度、污染指数等方面具有很好的效果。</w:t>
            </w:r>
          </w:p>
          <w:p w14:paraId="3706E53A">
            <w:pPr>
              <w:adjustRightInd w:val="0"/>
              <w:snapToGrid w:val="0"/>
              <w:spacing w:line="360" w:lineRule="auto"/>
              <w:ind w:left="-84" w:firstLine="422" w:firstLineChars="200"/>
              <w:rPr>
                <w:b/>
                <w:szCs w:val="21"/>
              </w:rPr>
            </w:pPr>
            <w:r>
              <w:rPr>
                <w:b/>
                <w:szCs w:val="21"/>
              </w:rPr>
              <w:t>4.4.2</w:t>
            </w:r>
            <w:r>
              <w:rPr>
                <w:rFonts w:hint="eastAsia"/>
                <w:b/>
                <w:szCs w:val="21"/>
              </w:rPr>
              <w:t>活性炭过滤器</w:t>
            </w:r>
          </w:p>
          <w:p w14:paraId="1BB3793C">
            <w:pPr>
              <w:adjustRightInd w:val="0"/>
              <w:snapToGrid w:val="0"/>
              <w:spacing w:line="360" w:lineRule="auto"/>
              <w:ind w:left="-84" w:firstLine="420" w:firstLineChars="200"/>
              <w:rPr>
                <w:szCs w:val="21"/>
              </w:rPr>
            </w:pPr>
            <w:r>
              <w:rPr>
                <w:rFonts w:hint="eastAsia"/>
                <w:szCs w:val="21"/>
              </w:rPr>
              <w:t>活性炭过滤器是利用优质活性炭巨大的比表面积而产生的吸附能力，来吸附水中易被吸附的物质。活性炭过滤器对游离氯、有机物及水中的色度、气味均有非常高的去除率，同时对一些易于沉积的重金属离子也有较高的去除率，因此在反渗透设备前先经过活性碳过滤，能对反渗透设备起到非常好的保护作用。过高的游离率对</w:t>
            </w:r>
            <w:r>
              <w:rPr>
                <w:szCs w:val="21"/>
              </w:rPr>
              <w:t>RO</w:t>
            </w:r>
            <w:r>
              <w:rPr>
                <w:rFonts w:hint="eastAsia"/>
                <w:szCs w:val="21"/>
              </w:rPr>
              <w:t>膜是有损害的，因此必须设活性碳过滤器，以降低进水中游离氯的浓度。活性碳过滤器设计流速</w:t>
            </w:r>
            <w:r>
              <w:rPr>
                <w:szCs w:val="21"/>
              </w:rPr>
              <w:t>10-12m/h，</w:t>
            </w:r>
            <w:r>
              <w:rPr>
                <w:rFonts w:hint="eastAsia"/>
                <w:szCs w:val="21"/>
              </w:rPr>
              <w:t>内装椰壳碳，选用玻璃钢材质压力式过滤器，耐压</w:t>
            </w:r>
            <w:r>
              <w:rPr>
                <w:szCs w:val="21"/>
              </w:rPr>
              <w:t>6kg/cm</w:t>
            </w:r>
            <w:r>
              <w:rPr>
                <w:szCs w:val="21"/>
                <w:vertAlign w:val="superscript"/>
              </w:rPr>
              <w:t>2</w:t>
            </w:r>
            <w:r>
              <w:rPr>
                <w:rFonts w:hint="eastAsia"/>
                <w:szCs w:val="21"/>
              </w:rPr>
              <w:t>，采用自动多路阀控制。活性碳工艺在水处理领域中占有相当重要的地位，是水深度处理中不可缺少的工艺，它所具有的某些特殊功效是其它水处理工艺所无法替代的。</w:t>
            </w:r>
          </w:p>
          <w:p w14:paraId="0CEB071D">
            <w:pPr>
              <w:adjustRightInd w:val="0"/>
              <w:snapToGrid w:val="0"/>
              <w:spacing w:line="360" w:lineRule="auto"/>
              <w:ind w:left="-84" w:firstLine="422" w:firstLineChars="200"/>
              <w:rPr>
                <w:b/>
                <w:szCs w:val="21"/>
              </w:rPr>
            </w:pPr>
            <w:r>
              <w:rPr>
                <w:b/>
                <w:szCs w:val="21"/>
              </w:rPr>
              <w:t>4.4.3</w:t>
            </w:r>
            <w:r>
              <w:rPr>
                <w:rFonts w:hint="eastAsia"/>
                <w:b/>
                <w:szCs w:val="21"/>
              </w:rPr>
              <w:t>超滤</w:t>
            </w:r>
          </w:p>
          <w:p w14:paraId="7097D8BD">
            <w:pPr>
              <w:adjustRightInd w:val="0"/>
              <w:snapToGrid w:val="0"/>
              <w:spacing w:line="360" w:lineRule="auto"/>
              <w:ind w:left="-84" w:firstLine="420" w:firstLineChars="200"/>
              <w:rPr>
                <w:szCs w:val="21"/>
              </w:rPr>
            </w:pPr>
            <w:r>
              <w:rPr>
                <w:rFonts w:hint="eastAsia"/>
                <w:szCs w:val="21"/>
              </w:rPr>
              <w:t>超滤是一种流体切向流动和压力驱动的过滤过程，并按分子量大小来分离水中颗粒。超滤膜的孔径大约在</w:t>
            </w:r>
            <w:r>
              <w:rPr>
                <w:szCs w:val="21"/>
              </w:rPr>
              <w:t>0.002</w:t>
            </w:r>
            <w:r>
              <w:rPr>
                <w:rFonts w:hint="eastAsia"/>
                <w:szCs w:val="21"/>
              </w:rPr>
              <w:t>—</w:t>
            </w:r>
            <w:r>
              <w:rPr>
                <w:szCs w:val="21"/>
              </w:rPr>
              <w:t>0.1</w:t>
            </w:r>
            <w:r>
              <w:rPr>
                <w:rFonts w:hint="eastAsia"/>
                <w:szCs w:val="21"/>
              </w:rPr>
              <w:t>微米范围内（</w:t>
            </w:r>
            <w:r>
              <w:rPr>
                <w:szCs w:val="21"/>
              </w:rPr>
              <w:t>MWCO</w:t>
            </w:r>
            <w:r>
              <w:rPr>
                <w:rFonts w:hint="eastAsia"/>
                <w:szCs w:val="21"/>
              </w:rPr>
              <w:t>约为</w:t>
            </w:r>
            <w:r>
              <w:rPr>
                <w:szCs w:val="21"/>
              </w:rPr>
              <w:t>1000-500000</w:t>
            </w:r>
            <w:r>
              <w:rPr>
                <w:rFonts w:hint="eastAsia"/>
                <w:szCs w:val="21"/>
              </w:rPr>
              <w:t>）。溶解物质和比膜孔径小的物质能作为透过液透过滤膜，不能透过滤膜的物质将被截留下来浓缩于排放液中。因此产水（透过液）将含有水、离子和小分子物质，而胶体物质、颗粒、细菌、病毒和原生动物将被膜去除。</w:t>
            </w:r>
          </w:p>
          <w:p w14:paraId="32AC2337">
            <w:pPr>
              <w:adjustRightInd w:val="0"/>
              <w:snapToGrid w:val="0"/>
              <w:spacing w:line="360" w:lineRule="auto"/>
              <w:ind w:left="-84" w:firstLine="422" w:firstLineChars="200"/>
              <w:rPr>
                <w:b/>
                <w:szCs w:val="21"/>
              </w:rPr>
            </w:pPr>
            <w:r>
              <w:rPr>
                <w:b/>
                <w:szCs w:val="21"/>
              </w:rPr>
              <w:t>4.4.4</w:t>
            </w:r>
            <w:r>
              <w:rPr>
                <w:rFonts w:hint="eastAsia"/>
                <w:b/>
                <w:szCs w:val="21"/>
              </w:rPr>
              <w:t>反渗透系统</w:t>
            </w:r>
          </w:p>
          <w:p w14:paraId="53051F5D">
            <w:pPr>
              <w:adjustRightInd w:val="0"/>
              <w:snapToGrid w:val="0"/>
              <w:spacing w:line="360" w:lineRule="auto"/>
              <w:ind w:left="-84" w:firstLine="420" w:firstLineChars="200"/>
              <w:rPr>
                <w:szCs w:val="21"/>
              </w:rPr>
            </w:pPr>
            <w:r>
              <w:rPr>
                <w:rFonts w:hint="eastAsia"/>
                <w:szCs w:val="21"/>
              </w:rPr>
              <w:t>反渗透是利用膜的选择性：只能透过溶剂（通常是水）而截留离子物质的性质，以膜两侧的静压差为推动力，克服溶剂的渗透压，使溶剂通过反渗透膜而实现对液体混合物进行分离的膜过程。采用膜分离手段可去除水中的颗粒、胶体、有机杂质、微生物等有害物质及</w:t>
            </w:r>
            <w:r>
              <w:rPr>
                <w:szCs w:val="21"/>
              </w:rPr>
              <w:t>99%</w:t>
            </w:r>
            <w:r>
              <w:rPr>
                <w:rFonts w:hint="eastAsia"/>
                <w:szCs w:val="21"/>
              </w:rPr>
              <w:t>的溶解盐，达到水脱盐纯化目的。采用一级反渗透对中水进行处理，出水水质可以达到电导率≤</w:t>
            </w:r>
            <w:r>
              <w:rPr>
                <w:szCs w:val="21"/>
              </w:rPr>
              <w:t>300us/cm</w:t>
            </w:r>
            <w:r>
              <w:rPr>
                <w:rFonts w:hint="eastAsia"/>
                <w:szCs w:val="21"/>
              </w:rPr>
              <w:t>回用标准，出水基本达到自来水标准，回用到生产预清洗工段或作为其他相同要求的用水段。</w:t>
            </w:r>
          </w:p>
          <w:p w14:paraId="4E3DFA75">
            <w:pPr>
              <w:adjustRightInd w:val="0"/>
              <w:snapToGrid w:val="0"/>
              <w:spacing w:line="360" w:lineRule="auto"/>
              <w:ind w:left="-84" w:firstLine="422" w:firstLineChars="200"/>
              <w:rPr>
                <w:b/>
                <w:szCs w:val="21"/>
              </w:rPr>
            </w:pPr>
            <w:r>
              <w:rPr>
                <w:b/>
                <w:szCs w:val="21"/>
              </w:rPr>
              <w:t xml:space="preserve">4.5MVR </w:t>
            </w:r>
            <w:r>
              <w:rPr>
                <w:rFonts w:hint="eastAsia"/>
                <w:b/>
                <w:szCs w:val="21"/>
              </w:rPr>
              <w:t>蒸发浓缩结晶装置</w:t>
            </w:r>
          </w:p>
          <w:p w14:paraId="3629E3F2">
            <w:pPr>
              <w:adjustRightInd w:val="0"/>
              <w:snapToGrid w:val="0"/>
              <w:spacing w:line="360" w:lineRule="auto"/>
              <w:ind w:left="-84" w:firstLine="420" w:firstLineChars="200"/>
              <w:rPr>
                <w:szCs w:val="21"/>
              </w:rPr>
            </w:pPr>
            <w:r>
              <w:rPr>
                <w:rFonts w:hint="eastAsia"/>
                <w:szCs w:val="21"/>
              </w:rPr>
              <w:t>废水经过反渗透浓缩回收后，一般回用</w:t>
            </w:r>
            <w:r>
              <w:rPr>
                <w:szCs w:val="21"/>
              </w:rPr>
              <w:t>30~35%</w:t>
            </w:r>
            <w:r>
              <w:rPr>
                <w:rFonts w:hint="eastAsia"/>
                <w:szCs w:val="21"/>
              </w:rPr>
              <w:t>（根据工艺确定）的浓缩水，此时浓缩水进入浓水收集箱，再进入</w:t>
            </w:r>
            <w:r>
              <w:rPr>
                <w:szCs w:val="21"/>
              </w:rPr>
              <w:t xml:space="preserve">MVR </w:t>
            </w:r>
            <w:r>
              <w:rPr>
                <w:rFonts w:hint="eastAsia"/>
                <w:szCs w:val="21"/>
              </w:rPr>
              <w:t>蒸发系统。</w:t>
            </w:r>
          </w:p>
          <w:p w14:paraId="4AA3DCC0">
            <w:pPr>
              <w:adjustRightInd w:val="0"/>
              <w:snapToGrid w:val="0"/>
              <w:spacing w:line="360" w:lineRule="auto"/>
              <w:ind w:left="-84" w:firstLine="420" w:firstLineChars="200"/>
              <w:rPr>
                <w:szCs w:val="21"/>
              </w:rPr>
            </w:pPr>
            <w:r>
              <w:rPr>
                <w:szCs w:val="21"/>
              </w:rPr>
              <w:t xml:space="preserve">MVR </w:t>
            </w:r>
            <w:r>
              <w:rPr>
                <w:rFonts w:hint="eastAsia"/>
                <w:szCs w:val="21"/>
              </w:rPr>
              <w:t>蒸发系统是一种新型高效节能蒸发设备，采用真空低温、低压汽蒸技术和电能，将蒸发系统所产生的二次蒸汽，通过</w:t>
            </w:r>
            <w:r>
              <w:rPr>
                <w:szCs w:val="21"/>
              </w:rPr>
              <w:t xml:space="preserve">MVR </w:t>
            </w:r>
            <w:r>
              <w:rPr>
                <w:rFonts w:hint="eastAsia"/>
                <w:szCs w:val="21"/>
              </w:rPr>
              <w:t>蒸汽压缩机压缩产生的蒸汽，对蒸发器进行加热蒸发分离，是目前国际最先进的蒸发技术，是传统蒸发设备的升级换代产品。</w:t>
            </w:r>
            <w:r>
              <w:rPr>
                <w:szCs w:val="21"/>
              </w:rPr>
              <w:t xml:space="preserve">MVR </w:t>
            </w:r>
            <w:r>
              <w:rPr>
                <w:rFonts w:hint="eastAsia"/>
                <w:szCs w:val="21"/>
              </w:rPr>
              <w:t>蒸发器是英文</w:t>
            </w:r>
            <w:r>
              <w:rPr>
                <w:szCs w:val="21"/>
              </w:rPr>
              <w:t xml:space="preserve">mechanicalvapor recompression </w:t>
            </w:r>
            <w:r>
              <w:rPr>
                <w:rFonts w:hint="eastAsia"/>
                <w:szCs w:val="21"/>
              </w:rPr>
              <w:t>的简称，</w:t>
            </w:r>
            <w:r>
              <w:rPr>
                <w:szCs w:val="21"/>
              </w:rPr>
              <w:t xml:space="preserve">MVR </w:t>
            </w:r>
            <w:r>
              <w:rPr>
                <w:rFonts w:hint="eastAsia"/>
                <w:szCs w:val="21"/>
              </w:rPr>
              <w:t>是重新利用它自身产生的二次蒸汽的能量，从而减少对外界能源的需求的一项技术。在常规的多效蒸发过程中，蒸发器某一效的二次蒸汽不能直接作为本效热源，只能作为次效或次几效的热源，如作为本效热源必须额外给其能量，使其温度</w:t>
            </w:r>
            <w:r>
              <w:rPr>
                <w:szCs w:val="21"/>
              </w:rPr>
              <w:t>(</w:t>
            </w:r>
            <w:r>
              <w:rPr>
                <w:rFonts w:hint="eastAsia"/>
                <w:szCs w:val="21"/>
              </w:rPr>
              <w:t>压力</w:t>
            </w:r>
            <w:r>
              <w:rPr>
                <w:szCs w:val="21"/>
              </w:rPr>
              <w:t>)</w:t>
            </w:r>
            <w:r>
              <w:rPr>
                <w:rFonts w:hint="eastAsia"/>
                <w:szCs w:val="21"/>
              </w:rPr>
              <w:t>提高。蒸汽喷射泵只能压缩部分二次蒸汽，而</w:t>
            </w:r>
            <w:r>
              <w:rPr>
                <w:szCs w:val="21"/>
              </w:rPr>
              <w:t xml:space="preserve">mvr </w:t>
            </w:r>
            <w:r>
              <w:rPr>
                <w:rFonts w:hint="eastAsia"/>
                <w:szCs w:val="21"/>
              </w:rPr>
              <w:t>蒸发器则可压缩蒸发器中所有的二次蒸汽。二次蒸汽经过压缩机的压缩，压力和温度得以升高，热焓随之增加，被送到蒸发器的加热室当作加热蒸汽即生蒸汽使用，使料液维持蒸发状态，而加热蒸汽本身将热量传递给物料本身冷凝成水。这样，原来要废弃的蒸汽就得到了充分的利用，回收了潜热，又提高了热效率。其工作过程是低温位的蒸汽经压缩机压缩，温度、压力提高，热焓增加，然后进入加热器加热蒸发，以充分利用蒸汽的潜热。除开车启动外，从理论上说整个蒸发过程中是由</w:t>
            </w:r>
            <w:r>
              <w:rPr>
                <w:szCs w:val="21"/>
              </w:rPr>
              <w:t xml:space="preserve">MVR </w:t>
            </w:r>
            <w:r>
              <w:rPr>
                <w:rFonts w:hint="eastAsia"/>
                <w:szCs w:val="21"/>
              </w:rPr>
              <w:t>压缩机的电能转换为热能的，无需外来的生蒸汽源。物料溶液在一个蒸发器内，通过物料循环泵在加热管内循环，初始蒸汽用新鲜蒸汽在管外给热，将溶液加热沸腾产生二次汽，产生的二次汽由涡轮增压风机吸入，经增压后，二次汽温度提高，作为加热热源进入加热室循环蒸发。正常启动后，</w:t>
            </w:r>
            <w:r>
              <w:rPr>
                <w:szCs w:val="21"/>
              </w:rPr>
              <w:t xml:space="preserve">MVR </w:t>
            </w:r>
            <w:r>
              <w:rPr>
                <w:rFonts w:hint="eastAsia"/>
                <w:szCs w:val="21"/>
              </w:rPr>
              <w:t>压缩机将二次蒸汽吸入，经增压后变为加热蒸汽，就这样源源不断进行循环蒸发，蒸汽对物料加热后最终变成冷凝水排出。</w:t>
            </w:r>
          </w:p>
          <w:p w14:paraId="66E7DD7B">
            <w:pPr>
              <w:pStyle w:val="8"/>
              <w:adjustRightInd w:val="0"/>
              <w:snapToGrid w:val="0"/>
              <w:spacing w:line="360" w:lineRule="auto"/>
              <w:ind w:firstLine="422" w:firstLineChars="200"/>
              <w:rPr>
                <w:b/>
                <w:bCs/>
                <w:szCs w:val="21"/>
              </w:rPr>
            </w:pPr>
            <w:r>
              <w:rPr>
                <w:b/>
                <w:bCs/>
                <w:szCs w:val="21"/>
              </w:rPr>
              <w:t>③回用可行性</w:t>
            </w:r>
          </w:p>
          <w:p w14:paraId="5C2B4BAA">
            <w:pPr>
              <w:pStyle w:val="8"/>
              <w:adjustRightInd w:val="0"/>
              <w:snapToGrid w:val="0"/>
              <w:spacing w:line="360" w:lineRule="auto"/>
              <w:ind w:firstLine="420" w:firstLineChars="200"/>
              <w:rPr>
                <w:b/>
                <w:bCs/>
                <w:szCs w:val="21"/>
              </w:rPr>
            </w:pPr>
            <w:r>
              <w:rPr>
                <w:rFonts w:hint="eastAsia"/>
                <w:szCs w:val="21"/>
                <w:lang w:val="en-US" w:eastAsia="zh-CN"/>
              </w:rPr>
              <w:t>江苏祥祺环境监测公司对污水处理站出水进行了检测，检测报告编号为：（2020）祥祺监测（委）字第（06201），</w:t>
            </w:r>
            <w:r>
              <w:rPr>
                <w:szCs w:val="21"/>
              </w:rPr>
              <w:t>项目</w:t>
            </w:r>
            <w:r>
              <w:rPr>
                <w:rFonts w:hint="eastAsia"/>
                <w:szCs w:val="21"/>
                <w:lang w:val="en-US" w:eastAsia="zh-CN"/>
              </w:rPr>
              <w:t>检测结果</w:t>
            </w:r>
            <w:r>
              <w:rPr>
                <w:szCs w:val="21"/>
              </w:rPr>
              <w:t>见下表。</w:t>
            </w:r>
          </w:p>
          <w:p w14:paraId="4518EE80">
            <w:pPr>
              <w:pStyle w:val="8"/>
              <w:adjustRightInd w:val="0"/>
              <w:snapToGrid w:val="0"/>
              <w:jc w:val="center"/>
              <w:rPr>
                <w:b/>
                <w:bCs/>
                <w:szCs w:val="21"/>
              </w:rPr>
            </w:pPr>
            <w:r>
              <w:rPr>
                <w:b/>
                <w:bCs/>
                <w:szCs w:val="21"/>
              </w:rPr>
              <w:t>表4-20  污水处理</w:t>
            </w:r>
            <w:r>
              <w:rPr>
                <w:rFonts w:hint="eastAsia"/>
                <w:b/>
                <w:bCs/>
                <w:szCs w:val="21"/>
                <w:lang w:val="en-US" w:eastAsia="zh-CN"/>
              </w:rPr>
              <w:t>站出水检测结果</w:t>
            </w:r>
            <w:r>
              <w:rPr>
                <w:b/>
                <w:bCs/>
                <w:szCs w:val="21"/>
              </w:rPr>
              <w:t xml:space="preserve">  单位：mg/L</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720"/>
              <w:gridCol w:w="690"/>
              <w:gridCol w:w="855"/>
              <w:gridCol w:w="930"/>
              <w:gridCol w:w="945"/>
              <w:gridCol w:w="1020"/>
              <w:gridCol w:w="930"/>
              <w:gridCol w:w="1080"/>
              <w:gridCol w:w="1041"/>
            </w:tblGrid>
            <w:tr w14:paraId="3764CF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9" w:type="dxa"/>
                  <w:vMerge w:val="restart"/>
                  <w:tcBorders>
                    <w:tl2br w:val="nil"/>
                    <w:tr2bl w:val="nil"/>
                  </w:tcBorders>
                  <w:vAlign w:val="center"/>
                </w:tcPr>
                <w:p w14:paraId="40D1D5D4">
                  <w:pPr>
                    <w:pStyle w:val="67"/>
                    <w:rPr>
                      <w:rFonts w:hint="default" w:eastAsia="宋体"/>
                      <w:b/>
                      <w:lang w:val="en-US" w:eastAsia="zh-CN"/>
                    </w:rPr>
                  </w:pPr>
                  <w:r>
                    <w:rPr>
                      <w:rFonts w:hint="eastAsia"/>
                      <w:b/>
                      <w:lang w:val="en-US" w:eastAsia="zh-CN"/>
                    </w:rPr>
                    <w:t>检测日期</w:t>
                  </w:r>
                </w:p>
              </w:tc>
              <w:tc>
                <w:tcPr>
                  <w:tcW w:w="720" w:type="dxa"/>
                  <w:vMerge w:val="restart"/>
                  <w:tcBorders>
                    <w:tl2br w:val="nil"/>
                    <w:tr2bl w:val="nil"/>
                  </w:tcBorders>
                  <w:vAlign w:val="center"/>
                </w:tcPr>
                <w:p w14:paraId="301EC90F">
                  <w:pPr>
                    <w:pStyle w:val="67"/>
                    <w:rPr>
                      <w:rFonts w:hint="default" w:eastAsia="宋体"/>
                      <w:b/>
                      <w:lang w:val="en-US" w:eastAsia="zh-CN"/>
                    </w:rPr>
                  </w:pPr>
                  <w:r>
                    <w:rPr>
                      <w:rFonts w:hint="eastAsia"/>
                      <w:b/>
                      <w:lang w:val="en-US" w:eastAsia="zh-CN"/>
                    </w:rPr>
                    <w:t>样品名称</w:t>
                  </w:r>
                </w:p>
              </w:tc>
              <w:tc>
                <w:tcPr>
                  <w:tcW w:w="7491" w:type="dxa"/>
                  <w:gridSpan w:val="8"/>
                  <w:tcBorders>
                    <w:tl2br w:val="nil"/>
                    <w:tr2bl w:val="nil"/>
                  </w:tcBorders>
                  <w:vAlign w:val="center"/>
                </w:tcPr>
                <w:p w14:paraId="39A6B58B">
                  <w:pPr>
                    <w:pStyle w:val="67"/>
                    <w:rPr>
                      <w:rFonts w:hint="default" w:eastAsia="宋体"/>
                      <w:b/>
                      <w:lang w:val="en-US" w:eastAsia="zh-CN"/>
                    </w:rPr>
                  </w:pPr>
                  <w:r>
                    <w:rPr>
                      <w:rFonts w:hint="eastAsia"/>
                      <w:b/>
                      <w:lang w:val="en-US" w:eastAsia="zh-CN"/>
                    </w:rPr>
                    <w:t>检测项目</w:t>
                  </w:r>
                </w:p>
              </w:tc>
            </w:tr>
            <w:tr w14:paraId="4B31F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9" w:type="dxa"/>
                  <w:vMerge w:val="continue"/>
                  <w:tcBorders>
                    <w:tl2br w:val="nil"/>
                    <w:tr2bl w:val="nil"/>
                  </w:tcBorders>
                  <w:vAlign w:val="center"/>
                </w:tcPr>
                <w:p w14:paraId="3373B947">
                  <w:pPr>
                    <w:pStyle w:val="67"/>
                    <w:rPr>
                      <w:rFonts w:hint="eastAsia"/>
                      <w:b/>
                      <w:lang w:val="en-US" w:eastAsia="zh-CN"/>
                    </w:rPr>
                  </w:pPr>
                </w:p>
              </w:tc>
              <w:tc>
                <w:tcPr>
                  <w:tcW w:w="720" w:type="dxa"/>
                  <w:vMerge w:val="continue"/>
                  <w:tcBorders>
                    <w:tl2br w:val="nil"/>
                    <w:tr2bl w:val="nil"/>
                  </w:tcBorders>
                  <w:vAlign w:val="center"/>
                </w:tcPr>
                <w:p w14:paraId="56BED8FC">
                  <w:pPr>
                    <w:pStyle w:val="67"/>
                    <w:rPr>
                      <w:rFonts w:hint="eastAsia"/>
                      <w:b/>
                      <w:lang w:val="en-US" w:eastAsia="zh-CN"/>
                    </w:rPr>
                  </w:pPr>
                </w:p>
              </w:tc>
              <w:tc>
                <w:tcPr>
                  <w:tcW w:w="690" w:type="dxa"/>
                  <w:tcBorders>
                    <w:tl2br w:val="nil"/>
                    <w:tr2bl w:val="nil"/>
                  </w:tcBorders>
                  <w:vAlign w:val="center"/>
                </w:tcPr>
                <w:p w14:paraId="7836B9F2">
                  <w:pPr>
                    <w:snapToGrid w:val="0"/>
                    <w:jc w:val="center"/>
                    <w:rPr>
                      <w:b/>
                    </w:rPr>
                  </w:pPr>
                  <w:r>
                    <w:rPr>
                      <w:rFonts w:hint="eastAsia"/>
                      <w:b/>
                      <w:szCs w:val="21"/>
                      <w:lang w:val="en-US" w:eastAsia="zh-CN"/>
                    </w:rPr>
                    <w:t>pH</w:t>
                  </w:r>
                </w:p>
              </w:tc>
              <w:tc>
                <w:tcPr>
                  <w:tcW w:w="855" w:type="dxa"/>
                  <w:tcBorders>
                    <w:tl2br w:val="nil"/>
                    <w:tr2bl w:val="nil"/>
                  </w:tcBorders>
                  <w:vAlign w:val="center"/>
                </w:tcPr>
                <w:p w14:paraId="662AE2FE">
                  <w:pPr>
                    <w:snapToGrid w:val="0"/>
                    <w:jc w:val="center"/>
                    <w:rPr>
                      <w:b/>
                    </w:rPr>
                  </w:pPr>
                  <w:r>
                    <w:rPr>
                      <w:rFonts w:hint="eastAsia"/>
                      <w:b/>
                      <w:szCs w:val="21"/>
                      <w:lang w:val="en-US" w:eastAsia="zh-CN"/>
                    </w:rPr>
                    <w:t>COD</w:t>
                  </w:r>
                </w:p>
              </w:tc>
              <w:tc>
                <w:tcPr>
                  <w:tcW w:w="930" w:type="dxa"/>
                  <w:tcBorders>
                    <w:tl2br w:val="nil"/>
                    <w:tr2bl w:val="nil"/>
                  </w:tcBorders>
                  <w:vAlign w:val="center"/>
                </w:tcPr>
                <w:p w14:paraId="08676947">
                  <w:pPr>
                    <w:snapToGrid w:val="0"/>
                    <w:jc w:val="center"/>
                    <w:rPr>
                      <w:b/>
                    </w:rPr>
                  </w:pPr>
                  <w:r>
                    <w:rPr>
                      <w:rFonts w:hint="eastAsia"/>
                      <w:b/>
                      <w:szCs w:val="21"/>
                      <w:lang w:val="en-US" w:eastAsia="zh-CN"/>
                    </w:rPr>
                    <w:t>悬浮物</w:t>
                  </w:r>
                </w:p>
              </w:tc>
              <w:tc>
                <w:tcPr>
                  <w:tcW w:w="945" w:type="dxa"/>
                  <w:tcBorders>
                    <w:tl2br w:val="nil"/>
                    <w:tr2bl w:val="nil"/>
                  </w:tcBorders>
                  <w:vAlign w:val="center"/>
                </w:tcPr>
                <w:p w14:paraId="0B6D279E">
                  <w:pPr>
                    <w:snapToGrid w:val="0"/>
                    <w:jc w:val="center"/>
                    <w:rPr>
                      <w:b/>
                    </w:rPr>
                  </w:pPr>
                  <w:r>
                    <w:rPr>
                      <w:rFonts w:hint="eastAsia"/>
                      <w:b/>
                      <w:szCs w:val="21"/>
                      <w:lang w:val="en-US" w:eastAsia="zh-CN"/>
                    </w:rPr>
                    <w:t>氨氮</w:t>
                  </w:r>
                </w:p>
              </w:tc>
              <w:tc>
                <w:tcPr>
                  <w:tcW w:w="1020" w:type="dxa"/>
                  <w:tcBorders>
                    <w:tl2br w:val="nil"/>
                    <w:tr2bl w:val="nil"/>
                  </w:tcBorders>
                  <w:vAlign w:val="center"/>
                </w:tcPr>
                <w:p w14:paraId="2F96F6F7">
                  <w:pPr>
                    <w:snapToGrid w:val="0"/>
                    <w:jc w:val="center"/>
                    <w:rPr>
                      <w:b/>
                    </w:rPr>
                  </w:pPr>
                  <w:r>
                    <w:rPr>
                      <w:rFonts w:hint="eastAsia"/>
                      <w:b/>
                      <w:szCs w:val="21"/>
                      <w:lang w:val="en-US" w:eastAsia="zh-CN"/>
                    </w:rPr>
                    <w:t>总磷</w:t>
                  </w:r>
                </w:p>
              </w:tc>
              <w:tc>
                <w:tcPr>
                  <w:tcW w:w="930" w:type="dxa"/>
                  <w:tcBorders>
                    <w:tl2br w:val="nil"/>
                    <w:tr2bl w:val="nil"/>
                  </w:tcBorders>
                  <w:vAlign w:val="center"/>
                </w:tcPr>
                <w:p w14:paraId="6F896798">
                  <w:pPr>
                    <w:snapToGrid w:val="0"/>
                    <w:jc w:val="center"/>
                    <w:rPr>
                      <w:rFonts w:hint="default"/>
                      <w:b/>
                      <w:lang w:val="en-US"/>
                    </w:rPr>
                  </w:pPr>
                  <w:r>
                    <w:rPr>
                      <w:rFonts w:hint="eastAsia"/>
                      <w:b/>
                      <w:szCs w:val="21"/>
                      <w:lang w:val="en-US" w:eastAsia="zh-CN"/>
                    </w:rPr>
                    <w:t>氯化物</w:t>
                  </w:r>
                </w:p>
              </w:tc>
              <w:tc>
                <w:tcPr>
                  <w:tcW w:w="1080" w:type="dxa"/>
                  <w:tcBorders>
                    <w:tl2br w:val="nil"/>
                    <w:tr2bl w:val="nil"/>
                  </w:tcBorders>
                  <w:vAlign w:val="center"/>
                </w:tcPr>
                <w:p w14:paraId="0CC40482">
                  <w:pPr>
                    <w:snapToGrid w:val="0"/>
                    <w:jc w:val="center"/>
                    <w:rPr>
                      <w:b/>
                    </w:rPr>
                  </w:pPr>
                  <w:r>
                    <w:rPr>
                      <w:rFonts w:hint="eastAsia"/>
                      <w:b/>
                      <w:szCs w:val="21"/>
                      <w:lang w:val="en-US" w:eastAsia="zh-CN"/>
                    </w:rPr>
                    <w:t>溶解性总固体</w:t>
                  </w:r>
                </w:p>
              </w:tc>
              <w:tc>
                <w:tcPr>
                  <w:tcW w:w="1041" w:type="dxa"/>
                  <w:tcBorders>
                    <w:tl2br w:val="nil"/>
                    <w:tr2bl w:val="nil"/>
                  </w:tcBorders>
                  <w:vAlign w:val="center"/>
                </w:tcPr>
                <w:p w14:paraId="36243ED0">
                  <w:pPr>
                    <w:pStyle w:val="67"/>
                    <w:rPr>
                      <w:b/>
                    </w:rPr>
                  </w:pPr>
                  <w:r>
                    <w:rPr>
                      <w:rFonts w:hint="eastAsia"/>
                      <w:b/>
                      <w:szCs w:val="21"/>
                      <w:lang w:val="en-US" w:eastAsia="zh-CN"/>
                    </w:rPr>
                    <w:t>石油类</w:t>
                  </w:r>
                </w:p>
              </w:tc>
            </w:tr>
            <w:tr w14:paraId="5CBC2F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9" w:type="dxa"/>
                  <w:tcBorders>
                    <w:tl2br w:val="nil"/>
                    <w:tr2bl w:val="nil"/>
                  </w:tcBorders>
                  <w:vAlign w:val="center"/>
                </w:tcPr>
                <w:p w14:paraId="5F7D4CF4">
                  <w:pPr>
                    <w:pStyle w:val="67"/>
                    <w:rPr>
                      <w:rFonts w:hint="default"/>
                      <w:b w:val="0"/>
                      <w:bCs/>
                      <w:lang w:val="en-US" w:eastAsia="zh-CN"/>
                    </w:rPr>
                  </w:pPr>
                  <w:r>
                    <w:rPr>
                      <w:rFonts w:hint="eastAsia"/>
                      <w:b w:val="0"/>
                      <w:bCs/>
                      <w:lang w:val="en-US" w:eastAsia="zh-CN"/>
                    </w:rPr>
                    <w:t>2020年6月2日</w:t>
                  </w:r>
                </w:p>
              </w:tc>
              <w:tc>
                <w:tcPr>
                  <w:tcW w:w="720" w:type="dxa"/>
                  <w:tcBorders>
                    <w:tl2br w:val="nil"/>
                    <w:tr2bl w:val="nil"/>
                  </w:tcBorders>
                  <w:vAlign w:val="center"/>
                </w:tcPr>
                <w:p w14:paraId="324077F4">
                  <w:pPr>
                    <w:pStyle w:val="67"/>
                    <w:rPr>
                      <w:rFonts w:hint="default"/>
                      <w:b w:val="0"/>
                      <w:bCs/>
                      <w:lang w:val="en-US" w:eastAsia="zh-CN"/>
                    </w:rPr>
                  </w:pPr>
                  <w:r>
                    <w:rPr>
                      <w:rFonts w:hint="eastAsia"/>
                      <w:b w:val="0"/>
                      <w:bCs/>
                      <w:lang w:val="en-US" w:eastAsia="zh-CN"/>
                    </w:rPr>
                    <w:t>回用水出口</w:t>
                  </w:r>
                </w:p>
              </w:tc>
              <w:tc>
                <w:tcPr>
                  <w:tcW w:w="690" w:type="dxa"/>
                  <w:tcBorders>
                    <w:tl2br w:val="nil"/>
                    <w:tr2bl w:val="nil"/>
                  </w:tcBorders>
                  <w:vAlign w:val="center"/>
                </w:tcPr>
                <w:p w14:paraId="0DDCC662">
                  <w:pPr>
                    <w:snapToGrid w:val="0"/>
                    <w:jc w:val="center"/>
                    <w:rPr>
                      <w:rFonts w:hint="default"/>
                      <w:b w:val="0"/>
                      <w:bCs/>
                      <w:szCs w:val="21"/>
                      <w:lang w:val="en-US" w:eastAsia="zh-CN"/>
                    </w:rPr>
                  </w:pPr>
                  <w:r>
                    <w:rPr>
                      <w:rFonts w:hint="eastAsia"/>
                      <w:b w:val="0"/>
                      <w:bCs/>
                      <w:szCs w:val="21"/>
                      <w:lang w:val="en-US" w:eastAsia="zh-CN"/>
                    </w:rPr>
                    <w:t>8.13</w:t>
                  </w:r>
                </w:p>
              </w:tc>
              <w:tc>
                <w:tcPr>
                  <w:tcW w:w="855" w:type="dxa"/>
                  <w:tcBorders>
                    <w:tl2br w:val="nil"/>
                    <w:tr2bl w:val="nil"/>
                  </w:tcBorders>
                  <w:vAlign w:val="center"/>
                </w:tcPr>
                <w:p w14:paraId="461AC0D5">
                  <w:pPr>
                    <w:snapToGrid w:val="0"/>
                    <w:jc w:val="center"/>
                    <w:rPr>
                      <w:rFonts w:hint="default"/>
                      <w:b w:val="0"/>
                      <w:bCs/>
                      <w:szCs w:val="21"/>
                      <w:lang w:val="en-US" w:eastAsia="zh-CN"/>
                    </w:rPr>
                  </w:pPr>
                  <w:r>
                    <w:rPr>
                      <w:rFonts w:hint="eastAsia"/>
                      <w:b w:val="0"/>
                      <w:bCs/>
                      <w:szCs w:val="21"/>
                      <w:lang w:val="en-US" w:eastAsia="zh-CN"/>
                    </w:rPr>
                    <w:t>42</w:t>
                  </w:r>
                </w:p>
              </w:tc>
              <w:tc>
                <w:tcPr>
                  <w:tcW w:w="930" w:type="dxa"/>
                  <w:tcBorders>
                    <w:tl2br w:val="nil"/>
                    <w:tr2bl w:val="nil"/>
                  </w:tcBorders>
                  <w:vAlign w:val="center"/>
                </w:tcPr>
                <w:p w14:paraId="056F8D8E">
                  <w:pPr>
                    <w:snapToGrid w:val="0"/>
                    <w:jc w:val="center"/>
                    <w:rPr>
                      <w:rFonts w:hint="default"/>
                      <w:b w:val="0"/>
                      <w:bCs/>
                      <w:szCs w:val="21"/>
                      <w:lang w:val="en-US" w:eastAsia="zh-CN"/>
                    </w:rPr>
                  </w:pPr>
                  <w:r>
                    <w:rPr>
                      <w:rFonts w:hint="eastAsia"/>
                      <w:b w:val="0"/>
                      <w:bCs/>
                      <w:szCs w:val="21"/>
                      <w:lang w:val="en-US" w:eastAsia="zh-CN"/>
                    </w:rPr>
                    <w:t>23</w:t>
                  </w:r>
                </w:p>
              </w:tc>
              <w:tc>
                <w:tcPr>
                  <w:tcW w:w="945" w:type="dxa"/>
                  <w:tcBorders>
                    <w:tl2br w:val="nil"/>
                    <w:tr2bl w:val="nil"/>
                  </w:tcBorders>
                  <w:vAlign w:val="center"/>
                </w:tcPr>
                <w:p w14:paraId="65C4ACB2">
                  <w:pPr>
                    <w:snapToGrid w:val="0"/>
                    <w:jc w:val="center"/>
                    <w:rPr>
                      <w:rFonts w:hint="default"/>
                      <w:b w:val="0"/>
                      <w:bCs/>
                      <w:szCs w:val="21"/>
                      <w:lang w:val="en-US" w:eastAsia="zh-CN"/>
                    </w:rPr>
                  </w:pPr>
                  <w:r>
                    <w:rPr>
                      <w:rFonts w:hint="eastAsia"/>
                      <w:b w:val="0"/>
                      <w:bCs/>
                      <w:szCs w:val="21"/>
                      <w:lang w:val="en-US" w:eastAsia="zh-CN"/>
                    </w:rPr>
                    <w:t>2.97</w:t>
                  </w:r>
                </w:p>
              </w:tc>
              <w:tc>
                <w:tcPr>
                  <w:tcW w:w="1020" w:type="dxa"/>
                  <w:tcBorders>
                    <w:tl2br w:val="nil"/>
                    <w:tr2bl w:val="nil"/>
                  </w:tcBorders>
                  <w:vAlign w:val="center"/>
                </w:tcPr>
                <w:p w14:paraId="35790671">
                  <w:pPr>
                    <w:snapToGrid w:val="0"/>
                    <w:jc w:val="center"/>
                    <w:rPr>
                      <w:rFonts w:hint="default"/>
                      <w:b w:val="0"/>
                      <w:bCs/>
                      <w:szCs w:val="21"/>
                      <w:lang w:val="en-US" w:eastAsia="zh-CN"/>
                    </w:rPr>
                  </w:pPr>
                  <w:r>
                    <w:rPr>
                      <w:rFonts w:hint="eastAsia"/>
                      <w:b w:val="0"/>
                      <w:bCs/>
                      <w:szCs w:val="21"/>
                      <w:lang w:val="en-US" w:eastAsia="zh-CN"/>
                    </w:rPr>
                    <w:t>0.25</w:t>
                  </w:r>
                </w:p>
              </w:tc>
              <w:tc>
                <w:tcPr>
                  <w:tcW w:w="930" w:type="dxa"/>
                  <w:tcBorders>
                    <w:tl2br w:val="nil"/>
                    <w:tr2bl w:val="nil"/>
                  </w:tcBorders>
                  <w:vAlign w:val="center"/>
                </w:tcPr>
                <w:p w14:paraId="49CCA81C">
                  <w:pPr>
                    <w:snapToGrid w:val="0"/>
                    <w:jc w:val="center"/>
                    <w:rPr>
                      <w:rFonts w:hint="default"/>
                      <w:b w:val="0"/>
                      <w:bCs/>
                      <w:szCs w:val="21"/>
                      <w:lang w:val="en-US" w:eastAsia="zh-CN"/>
                    </w:rPr>
                  </w:pPr>
                  <w:r>
                    <w:rPr>
                      <w:rFonts w:hint="eastAsia"/>
                      <w:b w:val="0"/>
                      <w:bCs/>
                      <w:szCs w:val="21"/>
                      <w:lang w:val="en-US" w:eastAsia="zh-CN"/>
                    </w:rPr>
                    <w:t>11.8</w:t>
                  </w:r>
                </w:p>
              </w:tc>
              <w:tc>
                <w:tcPr>
                  <w:tcW w:w="1080" w:type="dxa"/>
                  <w:tcBorders>
                    <w:tl2br w:val="nil"/>
                    <w:tr2bl w:val="nil"/>
                  </w:tcBorders>
                  <w:vAlign w:val="center"/>
                </w:tcPr>
                <w:p w14:paraId="04032922">
                  <w:pPr>
                    <w:snapToGrid w:val="0"/>
                    <w:jc w:val="center"/>
                    <w:rPr>
                      <w:rFonts w:hint="default"/>
                      <w:b w:val="0"/>
                      <w:bCs/>
                      <w:szCs w:val="21"/>
                      <w:lang w:val="en-US" w:eastAsia="zh-CN"/>
                    </w:rPr>
                  </w:pPr>
                  <w:r>
                    <w:rPr>
                      <w:rFonts w:hint="eastAsia"/>
                      <w:b w:val="0"/>
                      <w:bCs/>
                      <w:szCs w:val="21"/>
                      <w:lang w:val="en-US" w:eastAsia="zh-CN"/>
                    </w:rPr>
                    <w:t>48</w:t>
                  </w:r>
                </w:p>
              </w:tc>
              <w:tc>
                <w:tcPr>
                  <w:tcW w:w="1041" w:type="dxa"/>
                  <w:tcBorders>
                    <w:tl2br w:val="nil"/>
                    <w:tr2bl w:val="nil"/>
                  </w:tcBorders>
                  <w:vAlign w:val="center"/>
                </w:tcPr>
                <w:p w14:paraId="3A43FE60">
                  <w:pPr>
                    <w:pStyle w:val="67"/>
                    <w:rPr>
                      <w:rFonts w:hint="default"/>
                      <w:b w:val="0"/>
                      <w:bCs/>
                      <w:szCs w:val="21"/>
                      <w:lang w:val="en-US" w:eastAsia="zh-CN"/>
                    </w:rPr>
                  </w:pPr>
                  <w:r>
                    <w:rPr>
                      <w:rFonts w:hint="eastAsia"/>
                      <w:b w:val="0"/>
                      <w:bCs/>
                      <w:szCs w:val="21"/>
                      <w:lang w:val="en-US" w:eastAsia="zh-CN"/>
                    </w:rPr>
                    <w:t>0.77</w:t>
                  </w:r>
                </w:p>
              </w:tc>
            </w:tr>
            <w:tr w14:paraId="541E0D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39" w:type="dxa"/>
                  <w:gridSpan w:val="2"/>
                  <w:tcBorders>
                    <w:tl2br w:val="nil"/>
                    <w:tr2bl w:val="nil"/>
                  </w:tcBorders>
                  <w:vAlign w:val="center"/>
                </w:tcPr>
                <w:p w14:paraId="6E317F49">
                  <w:pPr>
                    <w:pStyle w:val="67"/>
                    <w:rPr>
                      <w:rFonts w:hint="eastAsia"/>
                      <w:b w:val="0"/>
                      <w:bCs/>
                      <w:lang w:val="en-US" w:eastAsia="zh-CN"/>
                    </w:rPr>
                  </w:pPr>
                  <w:r>
                    <w:rPr>
                      <w:rFonts w:hint="eastAsia"/>
                      <w:b w:val="0"/>
                      <w:bCs/>
                      <w:lang w:val="en-US" w:eastAsia="zh-CN"/>
                    </w:rPr>
                    <w:t>标准</w:t>
                  </w:r>
                </w:p>
              </w:tc>
              <w:tc>
                <w:tcPr>
                  <w:tcW w:w="690" w:type="dxa"/>
                  <w:tcBorders>
                    <w:tl2br w:val="nil"/>
                    <w:tr2bl w:val="nil"/>
                  </w:tcBorders>
                  <w:vAlign w:val="center"/>
                </w:tcPr>
                <w:p w14:paraId="24B25C3F">
                  <w:pPr>
                    <w:snapToGrid w:val="0"/>
                    <w:jc w:val="center"/>
                    <w:rPr>
                      <w:rFonts w:hint="default"/>
                      <w:b w:val="0"/>
                      <w:bCs/>
                      <w:szCs w:val="21"/>
                      <w:lang w:val="en-US" w:eastAsia="zh-CN"/>
                    </w:rPr>
                  </w:pPr>
                  <w:r>
                    <w:rPr>
                      <w:rFonts w:hint="eastAsia"/>
                      <w:b w:val="0"/>
                      <w:bCs/>
                      <w:szCs w:val="21"/>
                      <w:lang w:val="en-US" w:eastAsia="zh-CN"/>
                    </w:rPr>
                    <w:t>6.0-9.0</w:t>
                  </w:r>
                </w:p>
              </w:tc>
              <w:tc>
                <w:tcPr>
                  <w:tcW w:w="855" w:type="dxa"/>
                  <w:tcBorders>
                    <w:tl2br w:val="nil"/>
                    <w:tr2bl w:val="nil"/>
                  </w:tcBorders>
                  <w:vAlign w:val="center"/>
                </w:tcPr>
                <w:p w14:paraId="16F0D443">
                  <w:pPr>
                    <w:snapToGrid w:val="0"/>
                    <w:jc w:val="center"/>
                    <w:rPr>
                      <w:rFonts w:hint="default"/>
                      <w:b w:val="0"/>
                      <w:bCs/>
                      <w:szCs w:val="21"/>
                      <w:lang w:val="en-US" w:eastAsia="zh-CN"/>
                    </w:rPr>
                  </w:pPr>
                  <w:r>
                    <w:rPr>
                      <w:rFonts w:hint="eastAsia"/>
                      <w:b w:val="0"/>
                      <w:bCs/>
                      <w:szCs w:val="21"/>
                      <w:lang w:val="en-US" w:eastAsia="zh-CN"/>
                    </w:rPr>
                    <w:t>50</w:t>
                  </w:r>
                </w:p>
              </w:tc>
              <w:tc>
                <w:tcPr>
                  <w:tcW w:w="930" w:type="dxa"/>
                  <w:tcBorders>
                    <w:tl2br w:val="nil"/>
                    <w:tr2bl w:val="nil"/>
                  </w:tcBorders>
                  <w:vAlign w:val="center"/>
                </w:tcPr>
                <w:p w14:paraId="11966594">
                  <w:pPr>
                    <w:snapToGrid w:val="0"/>
                    <w:jc w:val="center"/>
                    <w:rPr>
                      <w:rFonts w:hint="default"/>
                      <w:b w:val="0"/>
                      <w:bCs/>
                      <w:szCs w:val="21"/>
                      <w:lang w:val="en-US" w:eastAsia="zh-CN"/>
                    </w:rPr>
                  </w:pPr>
                  <w:r>
                    <w:rPr>
                      <w:rFonts w:hint="eastAsia"/>
                      <w:b w:val="0"/>
                      <w:bCs/>
                      <w:szCs w:val="21"/>
                      <w:lang w:val="en-US" w:eastAsia="zh-CN"/>
                    </w:rPr>
                    <w:t>/</w:t>
                  </w:r>
                </w:p>
              </w:tc>
              <w:tc>
                <w:tcPr>
                  <w:tcW w:w="945" w:type="dxa"/>
                  <w:tcBorders>
                    <w:tl2br w:val="nil"/>
                    <w:tr2bl w:val="nil"/>
                  </w:tcBorders>
                  <w:vAlign w:val="center"/>
                </w:tcPr>
                <w:p w14:paraId="696FD879">
                  <w:pPr>
                    <w:snapToGrid w:val="0"/>
                    <w:jc w:val="center"/>
                    <w:rPr>
                      <w:rFonts w:hint="default"/>
                      <w:b w:val="0"/>
                      <w:bCs/>
                      <w:szCs w:val="21"/>
                      <w:lang w:val="en-US" w:eastAsia="zh-CN"/>
                    </w:rPr>
                  </w:pPr>
                  <w:r>
                    <w:rPr>
                      <w:rFonts w:hint="eastAsia"/>
                      <w:b w:val="0"/>
                      <w:bCs/>
                      <w:szCs w:val="21"/>
                      <w:lang w:val="en-US" w:eastAsia="zh-CN"/>
                    </w:rPr>
                    <w:t>5</w:t>
                  </w:r>
                </w:p>
              </w:tc>
              <w:tc>
                <w:tcPr>
                  <w:tcW w:w="1020" w:type="dxa"/>
                  <w:tcBorders>
                    <w:tl2br w:val="nil"/>
                    <w:tr2bl w:val="nil"/>
                  </w:tcBorders>
                  <w:vAlign w:val="center"/>
                </w:tcPr>
                <w:p w14:paraId="1FF95628">
                  <w:pPr>
                    <w:snapToGrid w:val="0"/>
                    <w:jc w:val="center"/>
                    <w:rPr>
                      <w:rFonts w:hint="default"/>
                      <w:b w:val="0"/>
                      <w:bCs/>
                      <w:szCs w:val="21"/>
                      <w:lang w:val="en-US" w:eastAsia="zh-CN"/>
                    </w:rPr>
                  </w:pPr>
                  <w:r>
                    <w:rPr>
                      <w:rFonts w:hint="eastAsia"/>
                      <w:b w:val="0"/>
                      <w:bCs/>
                      <w:szCs w:val="21"/>
                      <w:lang w:val="en-US" w:eastAsia="zh-CN"/>
                    </w:rPr>
                    <w:t>0.5</w:t>
                  </w:r>
                </w:p>
              </w:tc>
              <w:tc>
                <w:tcPr>
                  <w:tcW w:w="930" w:type="dxa"/>
                  <w:tcBorders>
                    <w:tl2br w:val="nil"/>
                    <w:tr2bl w:val="nil"/>
                  </w:tcBorders>
                  <w:vAlign w:val="center"/>
                </w:tcPr>
                <w:p w14:paraId="7DB1F16C">
                  <w:pPr>
                    <w:snapToGrid w:val="0"/>
                    <w:jc w:val="center"/>
                    <w:rPr>
                      <w:rFonts w:hint="default"/>
                      <w:b w:val="0"/>
                      <w:bCs/>
                      <w:szCs w:val="21"/>
                      <w:lang w:val="en-US" w:eastAsia="zh-CN"/>
                    </w:rPr>
                  </w:pPr>
                  <w:r>
                    <w:rPr>
                      <w:rFonts w:hint="eastAsia"/>
                      <w:b w:val="0"/>
                      <w:bCs/>
                      <w:szCs w:val="21"/>
                      <w:lang w:val="en-US" w:eastAsia="zh-CN"/>
                    </w:rPr>
                    <w:t>250</w:t>
                  </w:r>
                </w:p>
              </w:tc>
              <w:tc>
                <w:tcPr>
                  <w:tcW w:w="1080" w:type="dxa"/>
                  <w:tcBorders>
                    <w:tl2br w:val="nil"/>
                    <w:tr2bl w:val="nil"/>
                  </w:tcBorders>
                  <w:vAlign w:val="center"/>
                </w:tcPr>
                <w:p w14:paraId="1EB69FB1">
                  <w:pPr>
                    <w:snapToGrid w:val="0"/>
                    <w:jc w:val="center"/>
                    <w:rPr>
                      <w:rFonts w:hint="default"/>
                      <w:b w:val="0"/>
                      <w:bCs/>
                      <w:szCs w:val="21"/>
                      <w:lang w:val="en-US" w:eastAsia="zh-CN"/>
                    </w:rPr>
                  </w:pPr>
                  <w:r>
                    <w:rPr>
                      <w:rFonts w:hint="eastAsia"/>
                      <w:b w:val="0"/>
                      <w:bCs/>
                      <w:szCs w:val="21"/>
                      <w:lang w:val="en-US" w:eastAsia="zh-CN"/>
                    </w:rPr>
                    <w:t>1000</w:t>
                  </w:r>
                </w:p>
              </w:tc>
              <w:tc>
                <w:tcPr>
                  <w:tcW w:w="1041" w:type="dxa"/>
                  <w:tcBorders>
                    <w:tl2br w:val="nil"/>
                    <w:tr2bl w:val="nil"/>
                  </w:tcBorders>
                  <w:vAlign w:val="center"/>
                </w:tcPr>
                <w:p w14:paraId="70FEFAA5">
                  <w:pPr>
                    <w:pStyle w:val="67"/>
                    <w:rPr>
                      <w:rFonts w:hint="default"/>
                      <w:b w:val="0"/>
                      <w:bCs/>
                      <w:szCs w:val="21"/>
                      <w:lang w:val="en-US" w:eastAsia="zh-CN"/>
                    </w:rPr>
                  </w:pPr>
                  <w:r>
                    <w:rPr>
                      <w:rFonts w:hint="eastAsia"/>
                      <w:b w:val="0"/>
                      <w:bCs/>
                      <w:szCs w:val="21"/>
                      <w:lang w:val="en-US" w:eastAsia="zh-CN"/>
                    </w:rPr>
                    <w:t>1.0</w:t>
                  </w:r>
                </w:p>
              </w:tc>
            </w:tr>
          </w:tbl>
          <w:p w14:paraId="0E21C94B">
            <w:pPr>
              <w:pStyle w:val="8"/>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根据上表可知，</w:t>
            </w:r>
            <w:r>
              <w:rPr>
                <w:rFonts w:hint="eastAsia" w:ascii="Times New Roman" w:hAnsi="Times New Roman" w:eastAsia="宋体" w:cs="Times New Roman"/>
                <w:szCs w:val="21"/>
                <w:lang w:val="en-US" w:eastAsia="zh-CN"/>
              </w:rPr>
              <w:t>厂内</w:t>
            </w:r>
            <w:r>
              <w:rPr>
                <w:rFonts w:ascii="Times New Roman" w:hAnsi="Times New Roman" w:eastAsia="宋体" w:cs="Times New Roman"/>
                <w:szCs w:val="21"/>
              </w:rPr>
              <w:t>清洗废水及喷淋塔废水经</w:t>
            </w:r>
            <w:r>
              <w:rPr>
                <w:rFonts w:hint="eastAsia" w:ascii="Times New Roman" w:hAnsi="Times New Roman" w:eastAsia="宋体" w:cs="Times New Roman"/>
                <w:szCs w:val="21"/>
                <w:lang w:val="en-US" w:eastAsia="zh-CN"/>
              </w:rPr>
              <w:t>自建的</w:t>
            </w:r>
            <w:r>
              <w:rPr>
                <w:rFonts w:ascii="Times New Roman" w:hAnsi="Times New Roman" w:eastAsia="宋体" w:cs="Times New Roman"/>
                <w:szCs w:val="21"/>
              </w:rPr>
              <w:t>污水处理设施处理后出水水质可满足《城市污水再生利用 工业用水水质》（GB/T19923-2024）中回用标准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本项目主要废水为</w:t>
            </w:r>
            <w:r>
              <w:rPr>
                <w:rFonts w:ascii="Times New Roman" w:hAnsi="Times New Roman" w:eastAsia="宋体" w:cs="Times New Roman"/>
                <w:szCs w:val="21"/>
              </w:rPr>
              <w:t>项目模具清洗废水、产品清洗废水及喷淋塔废水</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与原有项目废水水质相似，</w:t>
            </w:r>
            <w:r>
              <w:rPr>
                <w:rFonts w:ascii="Times New Roman" w:hAnsi="Times New Roman" w:eastAsia="宋体" w:cs="Times New Roman"/>
                <w:szCs w:val="21"/>
              </w:rPr>
              <w:t>故</w:t>
            </w:r>
            <w:r>
              <w:rPr>
                <w:rFonts w:hint="eastAsia" w:ascii="Times New Roman" w:hAnsi="Times New Roman" w:eastAsia="宋体" w:cs="Times New Roman"/>
                <w:szCs w:val="21"/>
                <w:lang w:val="en-US" w:eastAsia="zh-CN"/>
              </w:rPr>
              <w:t>本项目废水依托现有</w:t>
            </w:r>
            <w:r>
              <w:rPr>
                <w:rFonts w:ascii="Times New Roman" w:hAnsi="Times New Roman" w:eastAsia="宋体" w:cs="Times New Roman"/>
                <w:szCs w:val="21"/>
              </w:rPr>
              <w:t>废水处理设施工艺可行</w:t>
            </w:r>
            <w:r>
              <w:rPr>
                <w:rFonts w:hint="eastAsia" w:ascii="Times New Roman" w:hAnsi="Times New Roman" w:eastAsia="宋体" w:cs="Times New Roman"/>
                <w:szCs w:val="21"/>
              </w:rPr>
              <w:t>。</w:t>
            </w:r>
          </w:p>
          <w:p w14:paraId="7329AD58">
            <w:pPr>
              <w:pStyle w:val="8"/>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参照《排污许可证申请与核发技术规范 水处理通用工序》（HJ 112</w:t>
            </w:r>
            <w:r>
              <w:rPr>
                <w:rFonts w:ascii="Times New Roman" w:hAnsi="Times New Roman" w:eastAsia="宋体" w:cs="Times New Roman"/>
                <w:szCs w:val="21"/>
              </w:rPr>
              <w:t>0</w:t>
            </w:r>
            <w:r>
              <w:rPr>
                <w:rFonts w:hint="eastAsia" w:ascii="Times New Roman" w:hAnsi="Times New Roman" w:eastAsia="宋体" w:cs="Times New Roman"/>
                <w:szCs w:val="21"/>
              </w:rPr>
              <w:t>-2020），生产类排污单位废水处理可行技术包括：</w:t>
            </w:r>
          </w:p>
          <w:p w14:paraId="6F36C8B6">
            <w:pPr>
              <w:pStyle w:val="8"/>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预处理：调节、隔油、沉淀、气浮、中和、吸附；</w:t>
            </w:r>
          </w:p>
          <w:p w14:paraId="2F84BC0B">
            <w:pPr>
              <w:pStyle w:val="8"/>
              <w:adjustRightInd w:val="0"/>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生化处理：水解酸化、厌氧、好氧、缺氧好氧（A/O）、厌氧缺氧好氧（A</w:t>
            </w:r>
            <w:r>
              <w:rPr>
                <w:rFonts w:hint="eastAsia" w:ascii="Times New Roman" w:hAnsi="Times New Roman" w:eastAsia="宋体" w:cs="Times New Roman"/>
                <w:szCs w:val="21"/>
                <w:vertAlign w:val="superscript"/>
              </w:rPr>
              <w:t>2</w:t>
            </w:r>
            <w:r>
              <w:rPr>
                <w:rFonts w:hint="eastAsia" w:ascii="Times New Roman" w:hAnsi="Times New Roman" w:eastAsia="宋体" w:cs="Times New Roman"/>
                <w:szCs w:val="21"/>
              </w:rPr>
              <w:t>/O）、序批式活性污泥（SBR）、氧化沟、曝气生物滤池（BAF）、移动生物床反应器（MBBR）、膜生物反应器（MBR）、二沉池；</w:t>
            </w:r>
          </w:p>
          <w:p w14:paraId="34B45A6C">
            <w:pPr>
              <w:pStyle w:val="8"/>
              <w:adjustRightInd w:val="0"/>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深度处理及回用：混凝沉淀、沉淀、过滤、反硝化、高级氧化、曝气生物滤池、生物接触氧化、超滤、反渗透、电渗析、离子交换。</w:t>
            </w:r>
          </w:p>
          <w:p w14:paraId="518F108D">
            <w:pPr>
              <w:pStyle w:val="8"/>
              <w:adjustRightInd w:val="0"/>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本项目采用调节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气浮、沉淀、水解酸化、MBR、</w:t>
            </w:r>
            <w:r>
              <w:rPr>
                <w:rFonts w:hint="eastAsia" w:ascii="Times New Roman" w:hAnsi="Times New Roman" w:eastAsia="宋体" w:cs="Times New Roman"/>
                <w:szCs w:val="21"/>
              </w:rPr>
              <w:t>超滤、反渗透处理生产废水为可行技术</w:t>
            </w:r>
            <w:r>
              <w:rPr>
                <w:rFonts w:ascii="Times New Roman" w:hAnsi="Times New Roman" w:eastAsia="宋体" w:cs="Times New Roman"/>
                <w:szCs w:val="21"/>
              </w:rPr>
              <w:t>。</w:t>
            </w:r>
          </w:p>
          <w:p w14:paraId="54793B3B">
            <w:pPr>
              <w:pStyle w:val="8"/>
              <w:adjustRightInd w:val="0"/>
              <w:snapToGrid w:val="0"/>
              <w:spacing w:line="360" w:lineRule="auto"/>
              <w:ind w:firstLine="420" w:firstLineChars="200"/>
              <w:rPr>
                <w:szCs w:val="21"/>
              </w:rPr>
            </w:pPr>
            <w:r>
              <w:rPr>
                <w:rFonts w:hint="eastAsia" w:ascii="Times New Roman" w:hAnsi="Times New Roman" w:eastAsia="宋体" w:cs="Times New Roman"/>
                <w:szCs w:val="21"/>
                <w:lang w:val="en-US" w:eastAsia="zh-CN"/>
              </w:rPr>
              <w:t>综上，</w:t>
            </w:r>
            <w:r>
              <w:rPr>
                <w:rFonts w:ascii="Times New Roman" w:hAnsi="Times New Roman" w:eastAsia="宋体" w:cs="Times New Roman"/>
                <w:szCs w:val="21"/>
              </w:rPr>
              <w:t>项目模具清洗废水、产品清洗废水及喷淋塔废水经厂区内污水处理设施处理后出水水质可满足《城市污水再生利用 工业用水水质》（GB/T199</w:t>
            </w:r>
            <w:r>
              <w:rPr>
                <w:szCs w:val="21"/>
              </w:rPr>
              <w:t>23-2024）中回用标准，因此项目废水经处理后可回用于生产。</w:t>
            </w:r>
          </w:p>
          <w:p w14:paraId="38DDB72D">
            <w:pPr>
              <w:pStyle w:val="8"/>
              <w:adjustRightInd w:val="0"/>
              <w:snapToGrid w:val="0"/>
              <w:spacing w:line="360" w:lineRule="auto"/>
              <w:ind w:firstLine="422" w:firstLineChars="200"/>
              <w:rPr>
                <w:b/>
                <w:bCs/>
                <w:szCs w:val="21"/>
              </w:rPr>
            </w:pPr>
            <w:r>
              <w:rPr>
                <w:b/>
                <w:bCs/>
                <w:szCs w:val="21"/>
              </w:rPr>
              <w:t>④污水处理设施合理性及必要性</w:t>
            </w:r>
          </w:p>
          <w:p w14:paraId="3FDC0614">
            <w:pPr>
              <w:pStyle w:val="8"/>
              <w:adjustRightInd w:val="0"/>
              <w:snapToGrid w:val="0"/>
              <w:spacing w:line="360" w:lineRule="auto"/>
              <w:ind w:firstLine="420" w:firstLineChars="200"/>
              <w:rPr>
                <w:szCs w:val="21"/>
              </w:rPr>
            </w:pPr>
            <w:r>
              <w:rPr>
                <w:szCs w:val="21"/>
              </w:rPr>
              <w:t>厂内已建的污水处理站中调节池能够缓冲进水流量的波动、对不同时间来源的污水进行混合、均衡水质和水量，使流出水质水量均匀，保证后续处理单元的稳定运行。污水处理站设计处理工艺及效率能够满足水质回用要求，生产废水经处理后回用可减少新鲜水用量、提高水资源回用率，污水处理站的最大处理能力为</w:t>
            </w:r>
            <w:r>
              <w:rPr>
                <w:rFonts w:hint="eastAsia"/>
                <w:szCs w:val="21"/>
              </w:rPr>
              <w:t>3m</w:t>
            </w:r>
            <w:r>
              <w:rPr>
                <w:rFonts w:hint="eastAsia"/>
                <w:szCs w:val="21"/>
                <w:vertAlign w:val="superscript"/>
              </w:rPr>
              <w:t>3</w:t>
            </w:r>
            <w:r>
              <w:rPr>
                <w:rFonts w:hint="eastAsia"/>
                <w:szCs w:val="21"/>
              </w:rPr>
              <w:t>/h（每天运行10h，每年运行300d，则年处理量为9000m</w:t>
            </w:r>
            <w:r>
              <w:rPr>
                <w:rFonts w:hint="eastAsia"/>
                <w:szCs w:val="21"/>
                <w:vertAlign w:val="superscript"/>
              </w:rPr>
              <w:t>3</w:t>
            </w:r>
            <w:r>
              <w:rPr>
                <w:rFonts w:hint="eastAsia"/>
                <w:szCs w:val="21"/>
              </w:rPr>
              <w:t>/a），现有项目生产废水处理量为4300m</w:t>
            </w:r>
            <w:r>
              <w:rPr>
                <w:rFonts w:hint="eastAsia"/>
                <w:szCs w:val="21"/>
                <w:vertAlign w:val="superscript"/>
              </w:rPr>
              <w:t>3</w:t>
            </w:r>
            <w:r>
              <w:rPr>
                <w:rFonts w:hint="eastAsia"/>
                <w:szCs w:val="21"/>
              </w:rPr>
              <w:t>/a，本项目新增生产废水处理量为2117.1m</w:t>
            </w:r>
            <w:r>
              <w:rPr>
                <w:rFonts w:hint="eastAsia"/>
                <w:szCs w:val="21"/>
                <w:vertAlign w:val="superscript"/>
              </w:rPr>
              <w:t>3</w:t>
            </w:r>
            <w:r>
              <w:rPr>
                <w:rFonts w:hint="eastAsia"/>
                <w:szCs w:val="21"/>
              </w:rPr>
              <w:t>/a，全厂需处理的生产废水总量为6417.1m</w:t>
            </w:r>
            <w:r>
              <w:rPr>
                <w:rFonts w:hint="eastAsia"/>
                <w:szCs w:val="21"/>
                <w:vertAlign w:val="superscript"/>
              </w:rPr>
              <w:t>3</w:t>
            </w:r>
            <w:r>
              <w:rPr>
                <w:rFonts w:hint="eastAsia"/>
                <w:szCs w:val="21"/>
              </w:rPr>
              <w:t>/a，在污水处理站设计处理能力之内。</w:t>
            </w:r>
          </w:p>
          <w:p w14:paraId="12489049">
            <w:pPr>
              <w:pStyle w:val="8"/>
              <w:adjustRightInd w:val="0"/>
              <w:snapToGrid w:val="0"/>
              <w:spacing w:line="360" w:lineRule="auto"/>
              <w:ind w:firstLine="420" w:firstLineChars="200"/>
              <w:rPr>
                <w:szCs w:val="21"/>
              </w:rPr>
            </w:pPr>
            <w:r>
              <w:rPr>
                <w:szCs w:val="21"/>
              </w:rPr>
              <w:t>因此新增生产废水经已建的自建污水处理站处理具有合理性及必要性。</w:t>
            </w:r>
          </w:p>
          <w:p w14:paraId="7C3027CF">
            <w:pPr>
              <w:pStyle w:val="8"/>
              <w:adjustRightInd w:val="0"/>
              <w:snapToGrid w:val="0"/>
              <w:spacing w:line="360" w:lineRule="auto"/>
              <w:ind w:firstLine="422" w:firstLineChars="200"/>
              <w:rPr>
                <w:b/>
                <w:bCs/>
                <w:szCs w:val="21"/>
              </w:rPr>
            </w:pPr>
            <w:r>
              <w:rPr>
                <w:b/>
                <w:bCs/>
                <w:szCs w:val="21"/>
              </w:rPr>
              <w:t>⑤污水处理设施可靠性</w:t>
            </w:r>
          </w:p>
          <w:p w14:paraId="5AB932FF">
            <w:pPr>
              <w:pStyle w:val="8"/>
              <w:adjustRightInd w:val="0"/>
              <w:snapToGrid w:val="0"/>
              <w:spacing w:line="360" w:lineRule="auto"/>
              <w:ind w:firstLine="420" w:firstLineChars="200"/>
              <w:rPr>
                <w:szCs w:val="21"/>
              </w:rPr>
            </w:pPr>
            <w:r>
              <w:rPr>
                <w:szCs w:val="21"/>
              </w:rPr>
              <w:t>污水处理站建成后企业应加强环境管理，在污水处理站进、出口处安装流量计，实时监测污水流量，及时调整运行参数；操作人员应熟悉污水处理站工艺流程，定期进行检修维护，确保污水处理设施正常运行、处理效率稳定，保证出水水质稳定达标满足回用要求。废水经处理后回用清洗用水及喷淋塔用水，管网工程施工结束后须进行闭水试验，检测管道系统是否存在漏水现象、是否存在组件间的不良连接等问题，确保管道的密封性，避免污水输送过程中泄漏污染土壤及地下水或管网受到外环境污染影响水质。污水处理站在运行过程中建立信息记录和档案管理制度，包括运行情况记录、设备维护记录、水量监控记录等，有效掌握污水处理站的运行情况及进出口水量，避免发生废水偷排、漏排情况。</w:t>
            </w:r>
          </w:p>
          <w:p w14:paraId="07029F66">
            <w:pPr>
              <w:pStyle w:val="8"/>
              <w:adjustRightInd w:val="0"/>
              <w:snapToGrid w:val="0"/>
              <w:spacing w:line="360" w:lineRule="auto"/>
              <w:ind w:firstLine="422" w:firstLineChars="200"/>
              <w:rPr>
                <w:b/>
                <w:bCs/>
                <w:szCs w:val="21"/>
              </w:rPr>
            </w:pPr>
            <w:r>
              <w:rPr>
                <w:b/>
                <w:bCs/>
                <w:szCs w:val="21"/>
              </w:rPr>
              <w:t>（4）接管可行性分析</w:t>
            </w:r>
          </w:p>
          <w:p w14:paraId="3C7CBB37">
            <w:pPr>
              <w:autoSpaceDE w:val="0"/>
              <w:autoSpaceDN w:val="0"/>
              <w:adjustRightInd w:val="0"/>
              <w:snapToGrid w:val="0"/>
              <w:spacing w:line="360" w:lineRule="auto"/>
              <w:ind w:firstLine="420" w:firstLineChars="200"/>
              <w:rPr>
                <w:szCs w:val="21"/>
              </w:rPr>
            </w:pPr>
            <w:r>
              <w:rPr>
                <w:szCs w:val="21"/>
              </w:rPr>
              <w:t>①废水水质可行性分析</w:t>
            </w:r>
          </w:p>
          <w:p w14:paraId="0BBAB3AD">
            <w:pPr>
              <w:autoSpaceDE w:val="0"/>
              <w:autoSpaceDN w:val="0"/>
              <w:adjustRightInd w:val="0"/>
              <w:snapToGrid w:val="0"/>
              <w:spacing w:line="360" w:lineRule="auto"/>
              <w:ind w:firstLine="420" w:firstLineChars="200"/>
              <w:rPr>
                <w:szCs w:val="21"/>
              </w:rPr>
            </w:pPr>
            <w:r>
              <w:rPr>
                <w:szCs w:val="21"/>
              </w:rPr>
              <w:t>项目</w:t>
            </w:r>
            <w:r>
              <w:rPr>
                <w:rFonts w:hint="eastAsia"/>
                <w:szCs w:val="21"/>
              </w:rPr>
              <w:t>生活污水中</w:t>
            </w:r>
            <w:r>
              <w:rPr>
                <w:szCs w:val="21"/>
              </w:rPr>
              <w:t>主要含有COD、SS、NH</w:t>
            </w:r>
            <w:r>
              <w:rPr>
                <w:szCs w:val="21"/>
                <w:vertAlign w:val="subscript"/>
              </w:rPr>
              <w:t>3</w:t>
            </w:r>
            <w:r>
              <w:rPr>
                <w:szCs w:val="21"/>
              </w:rPr>
              <w:t>-N、TP、TN、石油类、动植物油等常规指标，接管浓度为COD</w:t>
            </w:r>
            <w:r>
              <w:rPr>
                <w:rFonts w:hint="eastAsia"/>
                <w:szCs w:val="21"/>
              </w:rPr>
              <w:t>300</w:t>
            </w:r>
            <w:r>
              <w:rPr>
                <w:szCs w:val="21"/>
              </w:rPr>
              <w:t>mg/L、SS 1</w:t>
            </w:r>
            <w:r>
              <w:rPr>
                <w:rFonts w:hint="eastAsia"/>
                <w:szCs w:val="21"/>
              </w:rPr>
              <w:t>50</w:t>
            </w:r>
            <w:r>
              <w:rPr>
                <w:szCs w:val="21"/>
              </w:rPr>
              <w:t>mg/L、NH</w:t>
            </w:r>
            <w:r>
              <w:rPr>
                <w:szCs w:val="21"/>
                <w:vertAlign w:val="subscript"/>
              </w:rPr>
              <w:t>3</w:t>
            </w:r>
            <w:r>
              <w:rPr>
                <w:szCs w:val="21"/>
              </w:rPr>
              <w:t xml:space="preserve">-N </w:t>
            </w:r>
            <w:r>
              <w:rPr>
                <w:rFonts w:hint="eastAsia"/>
                <w:szCs w:val="21"/>
              </w:rPr>
              <w:t>30</w:t>
            </w:r>
            <w:r>
              <w:rPr>
                <w:szCs w:val="21"/>
              </w:rPr>
              <w:t xml:space="preserve">mg/L、TP </w:t>
            </w:r>
            <w:r>
              <w:rPr>
                <w:rFonts w:hint="eastAsia"/>
                <w:szCs w:val="21"/>
              </w:rPr>
              <w:t>1</w:t>
            </w:r>
            <w:r>
              <w:rPr>
                <w:szCs w:val="21"/>
              </w:rPr>
              <w:t xml:space="preserve">mg/L、TN </w:t>
            </w:r>
            <w:r>
              <w:rPr>
                <w:rFonts w:hint="eastAsia"/>
                <w:szCs w:val="21"/>
              </w:rPr>
              <w:t>40</w:t>
            </w:r>
            <w:r>
              <w:rPr>
                <w:szCs w:val="21"/>
              </w:rPr>
              <w:t>mg/L、石油类</w:t>
            </w:r>
            <w:r>
              <w:rPr>
                <w:rFonts w:hint="eastAsia"/>
                <w:szCs w:val="21"/>
              </w:rPr>
              <w:t>10</w:t>
            </w:r>
            <w:r>
              <w:rPr>
                <w:szCs w:val="21"/>
              </w:rPr>
              <w:t>mg/L、动植物油</w:t>
            </w:r>
            <w:r>
              <w:rPr>
                <w:rFonts w:hint="eastAsia"/>
                <w:szCs w:val="21"/>
              </w:rPr>
              <w:t>50</w:t>
            </w:r>
            <w:r>
              <w:rPr>
                <w:szCs w:val="21"/>
              </w:rPr>
              <w:t>mg/L，均可达到接管标准，可生化性好，污水处理厂对项目排放废水去除效果较好，能做到达标排放，目前企业厂区所在地污水管网已经铺设到位。因此，从工程角度上，项目生活污水具备接管可行性。</w:t>
            </w:r>
          </w:p>
          <w:p w14:paraId="50E2C0E1">
            <w:pPr>
              <w:adjustRightInd w:val="0"/>
              <w:snapToGrid w:val="0"/>
              <w:spacing w:line="360" w:lineRule="auto"/>
              <w:ind w:firstLine="420" w:firstLineChars="200"/>
              <w:rPr>
                <w:szCs w:val="21"/>
              </w:rPr>
            </w:pPr>
            <w:r>
              <w:rPr>
                <w:szCs w:val="21"/>
              </w:rPr>
              <w:t>②冷却塔排水和纯水制备弃水</w:t>
            </w:r>
            <w:r>
              <w:rPr>
                <w:rFonts w:hint="eastAsia"/>
                <w:szCs w:val="21"/>
              </w:rPr>
              <w:t>排入雨水管网</w:t>
            </w:r>
            <w:r>
              <w:rPr>
                <w:szCs w:val="21"/>
              </w:rPr>
              <w:t>合理性分析</w:t>
            </w:r>
          </w:p>
          <w:p w14:paraId="40317C36">
            <w:pPr>
              <w:adjustRightInd w:val="0"/>
              <w:snapToGrid w:val="0"/>
              <w:spacing w:line="360" w:lineRule="auto"/>
              <w:ind w:firstLine="420" w:firstLineChars="200"/>
              <w:rPr>
                <w:szCs w:val="21"/>
              </w:rPr>
            </w:pPr>
            <w:r>
              <w:rPr>
                <w:rFonts w:hint="eastAsia"/>
                <w:szCs w:val="21"/>
              </w:rPr>
              <w:t>现有项目将冷却塔强制排水和纯水制备弃水</w:t>
            </w:r>
            <w:r>
              <w:rPr>
                <w:szCs w:val="21"/>
              </w:rPr>
              <w:t>作为清下水排入雨水管网，</w:t>
            </w:r>
            <w:r>
              <w:rPr>
                <w:bCs/>
                <w:szCs w:val="21"/>
              </w:rPr>
              <w:t>本次新增纯水制备弃水（</w:t>
            </w:r>
            <w:r>
              <w:rPr>
                <w:rFonts w:hint="eastAsia"/>
                <w:bCs/>
                <w:szCs w:val="21"/>
              </w:rPr>
              <w:t>218m</w:t>
            </w:r>
            <w:r>
              <w:rPr>
                <w:rFonts w:hint="eastAsia"/>
                <w:bCs/>
                <w:szCs w:val="21"/>
                <w:vertAlign w:val="superscript"/>
              </w:rPr>
              <w:t>3</w:t>
            </w:r>
            <w:r>
              <w:rPr>
                <w:rFonts w:hint="eastAsia"/>
                <w:bCs/>
                <w:szCs w:val="21"/>
              </w:rPr>
              <w:t>/a</w:t>
            </w:r>
            <w:r>
              <w:rPr>
                <w:bCs/>
                <w:szCs w:val="21"/>
              </w:rPr>
              <w:t>）也</w:t>
            </w:r>
            <w:r>
              <w:rPr>
                <w:rFonts w:hint="eastAsia"/>
                <w:szCs w:val="21"/>
              </w:rPr>
              <w:t>作为清下水排入雨水管网，水质执行《地表水环境质量标准》（GB3838-2002）中表1 III类标准。</w:t>
            </w:r>
          </w:p>
          <w:p w14:paraId="41724A98">
            <w:pPr>
              <w:adjustRightInd w:val="0"/>
              <w:snapToGrid w:val="0"/>
              <w:spacing w:line="360" w:lineRule="auto"/>
              <w:ind w:firstLine="420" w:firstLineChars="200"/>
              <w:rPr>
                <w:szCs w:val="21"/>
              </w:rPr>
            </w:pPr>
            <w:r>
              <w:rPr>
                <w:szCs w:val="21"/>
              </w:rPr>
              <w:t>全厂冷却塔排水和纯水制备弃水排放量约</w:t>
            </w:r>
            <w:r>
              <w:rPr>
                <w:rFonts w:hint="eastAsia"/>
                <w:szCs w:val="21"/>
              </w:rPr>
              <w:t>1426</w:t>
            </w:r>
            <w:r>
              <w:rPr>
                <w:szCs w:val="21"/>
              </w:rPr>
              <w:t>t/a，排放量较少，</w:t>
            </w:r>
            <w:r>
              <w:rPr>
                <w:rFonts w:hint="eastAsia"/>
                <w:szCs w:val="21"/>
              </w:rPr>
              <w:t>水质优于《地表水环境质量标准》（GB3838-2002）中表1 III类标准，作为清下水排入雨水管网可行</w:t>
            </w:r>
            <w:r>
              <w:rPr>
                <w:szCs w:val="21"/>
              </w:rPr>
              <w:t>。</w:t>
            </w:r>
          </w:p>
          <w:p w14:paraId="052000B3">
            <w:pPr>
              <w:adjustRightInd w:val="0"/>
              <w:snapToGrid w:val="0"/>
              <w:spacing w:line="360" w:lineRule="auto"/>
              <w:ind w:firstLine="420" w:firstLineChars="200"/>
              <w:rPr>
                <w:szCs w:val="21"/>
              </w:rPr>
            </w:pPr>
            <w:r>
              <w:rPr>
                <w:szCs w:val="21"/>
              </w:rPr>
              <w:t>③污水处理厂处理负荷可行性分析</w:t>
            </w:r>
          </w:p>
          <w:p w14:paraId="6390B02E">
            <w:pPr>
              <w:adjustRightInd w:val="0"/>
              <w:snapToGrid w:val="0"/>
              <w:spacing w:line="360" w:lineRule="auto"/>
              <w:ind w:firstLine="420" w:firstLineChars="200"/>
              <w:rPr>
                <w:szCs w:val="21"/>
              </w:rPr>
            </w:pPr>
            <w:r>
              <w:rPr>
                <w:kern w:val="0"/>
                <w:szCs w:val="21"/>
              </w:rPr>
              <w:t>常州金坛区第二污水处理有限公司</w:t>
            </w:r>
            <w:r>
              <w:rPr>
                <w:szCs w:val="21"/>
              </w:rPr>
              <w:t>一期建设规模2万m</w:t>
            </w:r>
            <w:r>
              <w:rPr>
                <w:szCs w:val="21"/>
                <w:vertAlign w:val="superscript"/>
              </w:rPr>
              <w:t>3</w:t>
            </w:r>
            <w:r>
              <w:rPr>
                <w:szCs w:val="21"/>
              </w:rPr>
              <w:t>/d，于2005年底建成运营；二期2万m</w:t>
            </w:r>
            <w:r>
              <w:rPr>
                <w:szCs w:val="21"/>
                <w:vertAlign w:val="superscript"/>
              </w:rPr>
              <w:t>3</w:t>
            </w:r>
            <w:r>
              <w:rPr>
                <w:szCs w:val="21"/>
              </w:rPr>
              <w:t>/d，已于2009年底正式投入运营；三期扩建2万m</w:t>
            </w:r>
            <w:r>
              <w:rPr>
                <w:szCs w:val="21"/>
                <w:vertAlign w:val="superscript"/>
              </w:rPr>
              <w:t>3</w:t>
            </w:r>
            <w:r>
              <w:rPr>
                <w:szCs w:val="21"/>
              </w:rPr>
              <w:t>/d的处理规模，已于2014年4月8日取得原金坛市环保局的环评批复，并于2016年正式投入运营，12月完成竣工环境保护验收工作，2017年1月取得常州市金坛区环境保护局验收意见（坛环开验[2017]1号）。目前</w:t>
            </w:r>
            <w:r>
              <w:rPr>
                <w:kern w:val="0"/>
                <w:szCs w:val="21"/>
              </w:rPr>
              <w:t>常州金坛区第二污水处理有限公司</w:t>
            </w:r>
            <w:r>
              <w:rPr>
                <w:szCs w:val="21"/>
              </w:rPr>
              <w:t>处理能力已达6万m</w:t>
            </w:r>
            <w:r>
              <w:rPr>
                <w:szCs w:val="21"/>
                <w:vertAlign w:val="superscript"/>
              </w:rPr>
              <w:t>3</w:t>
            </w:r>
            <w:r>
              <w:rPr>
                <w:szCs w:val="21"/>
              </w:rPr>
              <w:t>/d，实际污水处理量为5.5万m</w:t>
            </w:r>
            <w:r>
              <w:rPr>
                <w:szCs w:val="21"/>
                <w:vertAlign w:val="superscript"/>
              </w:rPr>
              <w:t>3</w:t>
            </w:r>
            <w:r>
              <w:rPr>
                <w:szCs w:val="21"/>
              </w:rPr>
              <w:t>/d，尚有0.5万m</w:t>
            </w:r>
            <w:r>
              <w:rPr>
                <w:szCs w:val="21"/>
                <w:vertAlign w:val="superscript"/>
              </w:rPr>
              <w:t>3</w:t>
            </w:r>
            <w:r>
              <w:rPr>
                <w:szCs w:val="21"/>
              </w:rPr>
              <w:t>/d的余量，且规划建设规模为16万m</w:t>
            </w:r>
            <w:r>
              <w:rPr>
                <w:szCs w:val="21"/>
                <w:vertAlign w:val="superscript"/>
              </w:rPr>
              <w:t>3</w:t>
            </w:r>
            <w:r>
              <w:rPr>
                <w:szCs w:val="21"/>
              </w:rPr>
              <w:t>/d。</w:t>
            </w:r>
          </w:p>
          <w:p w14:paraId="34FC2DAB">
            <w:pPr>
              <w:adjustRightInd w:val="0"/>
              <w:snapToGrid w:val="0"/>
              <w:spacing w:line="360" w:lineRule="auto"/>
              <w:ind w:firstLine="420" w:firstLineChars="200"/>
              <w:rPr>
                <w:szCs w:val="21"/>
              </w:rPr>
            </w:pPr>
            <w:r>
              <w:rPr>
                <w:szCs w:val="21"/>
              </w:rPr>
              <w:t>本项目建成后污水排放量为</w:t>
            </w:r>
            <w:r>
              <w:rPr>
                <w:rFonts w:hint="eastAsia"/>
                <w:szCs w:val="21"/>
              </w:rPr>
              <w:t>8</w:t>
            </w:r>
            <w:r>
              <w:rPr>
                <w:szCs w:val="21"/>
              </w:rPr>
              <w:t>m</w:t>
            </w:r>
            <w:r>
              <w:rPr>
                <w:szCs w:val="21"/>
                <w:vertAlign w:val="superscript"/>
              </w:rPr>
              <w:t>3</w:t>
            </w:r>
            <w:r>
              <w:rPr>
                <w:szCs w:val="21"/>
              </w:rPr>
              <w:t>/d，占</w:t>
            </w:r>
            <w:r>
              <w:rPr>
                <w:kern w:val="0"/>
                <w:szCs w:val="21"/>
              </w:rPr>
              <w:t>常州金坛区第二污水处理有限公司</w:t>
            </w:r>
            <w:r>
              <w:rPr>
                <w:szCs w:val="21"/>
              </w:rPr>
              <w:t>处理余量的比例较小，仅0.</w:t>
            </w:r>
            <w:r>
              <w:rPr>
                <w:rFonts w:hint="eastAsia"/>
                <w:szCs w:val="21"/>
              </w:rPr>
              <w:t>255</w:t>
            </w:r>
            <w:r>
              <w:rPr>
                <w:szCs w:val="21"/>
              </w:rPr>
              <w:t>%。因此，从水量分析，</w:t>
            </w:r>
            <w:r>
              <w:rPr>
                <w:kern w:val="0"/>
                <w:szCs w:val="21"/>
              </w:rPr>
              <w:t>常州金坛区第二污水处理有限公司</w:t>
            </w:r>
            <w:r>
              <w:rPr>
                <w:szCs w:val="21"/>
              </w:rPr>
              <w:t>接纳本项目废水是可行的。</w:t>
            </w:r>
          </w:p>
          <w:p w14:paraId="5CF62E08">
            <w:pPr>
              <w:pStyle w:val="11"/>
              <w:spacing w:line="360" w:lineRule="auto"/>
              <w:ind w:left="0" w:leftChars="0" w:right="0" w:rightChars="0" w:firstLine="420"/>
              <w:rPr>
                <w:color w:val="auto"/>
                <w:sz w:val="21"/>
                <w:szCs w:val="21"/>
              </w:rPr>
            </w:pPr>
            <w:r>
              <w:rPr>
                <w:color w:val="auto"/>
                <w:sz w:val="21"/>
                <w:szCs w:val="21"/>
              </w:rPr>
              <w:t>④污水处理厂处理工艺可行性分析</w:t>
            </w:r>
          </w:p>
          <w:p w14:paraId="1ADA784E">
            <w:pPr>
              <w:pStyle w:val="11"/>
              <w:spacing w:line="360" w:lineRule="auto"/>
              <w:ind w:left="0" w:leftChars="0" w:right="0" w:rightChars="0" w:firstLine="420"/>
              <w:rPr>
                <w:color w:val="auto"/>
                <w:sz w:val="21"/>
                <w:szCs w:val="21"/>
              </w:rPr>
            </w:pPr>
            <w:r>
              <w:rPr>
                <w:color w:val="auto"/>
                <w:kern w:val="0"/>
                <w:sz w:val="21"/>
                <w:szCs w:val="21"/>
              </w:rPr>
              <w:t>常州金坛区第二污水处理有限公司</w:t>
            </w:r>
            <w:r>
              <w:rPr>
                <w:color w:val="auto"/>
                <w:sz w:val="21"/>
                <w:szCs w:val="21"/>
              </w:rPr>
              <w:t>采用A</w:t>
            </w:r>
            <w:r>
              <w:rPr>
                <w:color w:val="auto"/>
                <w:sz w:val="21"/>
                <w:szCs w:val="21"/>
                <w:vertAlign w:val="superscript"/>
              </w:rPr>
              <w:t>2</w:t>
            </w:r>
            <w:r>
              <w:rPr>
                <w:color w:val="auto"/>
                <w:sz w:val="21"/>
                <w:szCs w:val="21"/>
              </w:rPr>
              <w:t>/O工艺，把除磷、脱氮和降解有机物三个生化过程结合起来，在厌氧段和缺氧段为除磷和脱氮提供各自不同的反应条件。污水处理厂尾水执行《城镇污水处理厂污染物排放标准》（GB18918-2002）一级A标准及《太湖地区城镇污水处理厂及重点工业行业重要水污染物排放限值》（DB32/1072-2018）标准，排入尧塘河。具体工艺流程见下图。</w:t>
            </w:r>
          </w:p>
          <w:p w14:paraId="5DFB001E">
            <w:pPr>
              <w:spacing w:line="360" w:lineRule="auto"/>
              <w:jc w:val="center"/>
              <w:rPr>
                <w:szCs w:val="21"/>
              </w:rPr>
            </w:pPr>
            <w:r>
              <w:rPr>
                <w:szCs w:val="21"/>
              </w:rPr>
              <w:object>
                <v:shape id="_x0000_i1026" o:spt="75" type="#_x0000_t75" style="height:136.5pt;width:418.5pt;" o:ole="t" filled="f" o:preferrelative="t" stroked="f" coordsize="21600,21600">
                  <v:path/>
                  <v:fill on="f" focussize="0,0"/>
                  <v:stroke on="f" joinstyle="miter"/>
                  <v:imagedata r:id="rId16" o:title=""/>
                  <o:lock v:ext="edit" aspectratio="t"/>
                  <w10:wrap type="none"/>
                  <w10:anchorlock/>
                </v:shape>
                <o:OLEObject Type="Embed" ProgID="Visio.Drawing.11" ShapeID="_x0000_i1026" DrawAspect="Content" ObjectID="_1468075726" r:id="rId15">
                  <o:LockedField>false</o:LockedField>
                </o:OLEObject>
              </w:object>
            </w:r>
          </w:p>
          <w:p w14:paraId="0913AA98">
            <w:pPr>
              <w:spacing w:line="360" w:lineRule="auto"/>
              <w:jc w:val="center"/>
              <w:rPr>
                <w:b/>
                <w:szCs w:val="21"/>
              </w:rPr>
            </w:pPr>
            <w:r>
              <w:rPr>
                <w:b/>
                <w:szCs w:val="21"/>
              </w:rPr>
              <w:t xml:space="preserve">图4-3  </w:t>
            </w:r>
            <w:r>
              <w:rPr>
                <w:b/>
                <w:bCs/>
                <w:kern w:val="0"/>
                <w:szCs w:val="21"/>
              </w:rPr>
              <w:t>常州金坛区第二污水处理有限公司</w:t>
            </w:r>
            <w:r>
              <w:rPr>
                <w:b/>
                <w:szCs w:val="21"/>
              </w:rPr>
              <w:t>处理工艺流程图</w:t>
            </w:r>
          </w:p>
          <w:p w14:paraId="0AE5F03C">
            <w:pPr>
              <w:pStyle w:val="11"/>
              <w:spacing w:line="360" w:lineRule="auto"/>
              <w:ind w:left="0" w:leftChars="0" w:right="0" w:rightChars="0" w:firstLine="420"/>
              <w:rPr>
                <w:color w:val="auto"/>
                <w:sz w:val="21"/>
                <w:szCs w:val="21"/>
              </w:rPr>
            </w:pPr>
            <w:r>
              <w:rPr>
                <w:color w:val="auto"/>
                <w:sz w:val="21"/>
                <w:szCs w:val="21"/>
              </w:rPr>
              <w:t>污水处理工艺简述：废水经过粗格栅隔去除尺寸较大的杂质由进水泵房的污水泵将污水经细格栅打入旋流沉砂池。污水经过沉砂后进入A</w:t>
            </w:r>
            <w:r>
              <w:rPr>
                <w:color w:val="auto"/>
                <w:sz w:val="21"/>
                <w:szCs w:val="21"/>
                <w:vertAlign w:val="superscript"/>
              </w:rPr>
              <w:t>2</w:t>
            </w:r>
            <w:r>
              <w:rPr>
                <w:color w:val="auto"/>
                <w:sz w:val="21"/>
                <w:szCs w:val="21"/>
              </w:rPr>
              <w:t>/O反应池进行生化处理，通过厌氧、缺氧和好氧交替变化的环境完成除磷脱氮，处理后废水经加氯接触消毒后排放。A</w:t>
            </w:r>
            <w:r>
              <w:rPr>
                <w:color w:val="auto"/>
                <w:sz w:val="21"/>
                <w:szCs w:val="21"/>
                <w:vertAlign w:val="superscript"/>
              </w:rPr>
              <w:t>2</w:t>
            </w:r>
            <w:r>
              <w:rPr>
                <w:color w:val="auto"/>
                <w:sz w:val="21"/>
                <w:szCs w:val="21"/>
              </w:rPr>
              <w:t>/O反应池剩余污泥从沉淀区排出，进入污泥均质池（回流污泥泵房），然后进入污泥浓缩脱水车间采用板框压滤机压成泥饼外运。污泥处理产生的废水返回到废水处理工艺流程，尾水处理达标后排入尧塘河。</w:t>
            </w:r>
          </w:p>
          <w:p w14:paraId="74A1DBA9">
            <w:pPr>
              <w:pStyle w:val="11"/>
              <w:spacing w:line="360" w:lineRule="auto"/>
              <w:ind w:left="0" w:leftChars="0" w:right="0" w:rightChars="0" w:firstLine="420"/>
              <w:rPr>
                <w:color w:val="auto"/>
                <w:sz w:val="21"/>
                <w:szCs w:val="21"/>
              </w:rPr>
            </w:pPr>
            <w:r>
              <w:rPr>
                <w:color w:val="auto"/>
                <w:sz w:val="21"/>
                <w:szCs w:val="21"/>
              </w:rPr>
              <w:t>本项目废水主要污染物为COD、SS、NH</w:t>
            </w:r>
            <w:r>
              <w:rPr>
                <w:color w:val="auto"/>
                <w:sz w:val="21"/>
                <w:szCs w:val="21"/>
                <w:vertAlign w:val="subscript"/>
              </w:rPr>
              <w:t>3</w:t>
            </w:r>
            <w:r>
              <w:rPr>
                <w:color w:val="auto"/>
                <w:sz w:val="21"/>
                <w:szCs w:val="21"/>
              </w:rPr>
              <w:t>-N、TP、TN、石油类和动植物油，水质简单，可生化性好，从废水排放达标分析结果可知，废水水质满足</w:t>
            </w:r>
            <w:r>
              <w:rPr>
                <w:color w:val="auto"/>
                <w:kern w:val="0"/>
                <w:sz w:val="21"/>
                <w:szCs w:val="21"/>
              </w:rPr>
              <w:t>常州金坛区第二污水处理有限公司</w:t>
            </w:r>
            <w:r>
              <w:rPr>
                <w:color w:val="auto"/>
                <w:sz w:val="21"/>
                <w:szCs w:val="21"/>
              </w:rPr>
              <w:t>接管水质要求。即从处理工艺上接管可行。此外，本项目外排废水中不含生产性废水，满足《江苏省太湖水污染防治条例》的有关规定。</w:t>
            </w:r>
          </w:p>
          <w:p w14:paraId="16A5931D">
            <w:pPr>
              <w:pStyle w:val="11"/>
              <w:spacing w:line="360" w:lineRule="auto"/>
              <w:ind w:left="0" w:leftChars="0" w:right="0" w:rightChars="0" w:firstLine="420"/>
              <w:jc w:val="left"/>
              <w:rPr>
                <w:color w:val="auto"/>
                <w:sz w:val="21"/>
                <w:szCs w:val="21"/>
              </w:rPr>
            </w:pPr>
            <w:r>
              <w:rPr>
                <w:color w:val="auto"/>
                <w:sz w:val="21"/>
                <w:szCs w:val="21"/>
              </w:rPr>
              <w:t>本项目</w:t>
            </w:r>
            <w:r>
              <w:rPr>
                <w:rFonts w:hint="eastAsia"/>
                <w:color w:val="auto"/>
                <w:sz w:val="21"/>
                <w:szCs w:val="21"/>
              </w:rPr>
              <w:t>生活污水</w:t>
            </w:r>
            <w:r>
              <w:rPr>
                <w:color w:val="auto"/>
                <w:sz w:val="21"/>
                <w:szCs w:val="21"/>
              </w:rPr>
              <w:t>经常州金坛区第二污水处理有限公司处理后排放至尧塘河。根据常州金坛区第二污水处理有限公司尾水排放浓度可知，废水经</w:t>
            </w:r>
            <w:r>
              <w:rPr>
                <w:color w:val="auto"/>
                <w:kern w:val="0"/>
                <w:sz w:val="21"/>
                <w:szCs w:val="21"/>
              </w:rPr>
              <w:t>常州金坛区第二污水处理有限公司</w:t>
            </w:r>
            <w:r>
              <w:rPr>
                <w:color w:val="auto"/>
                <w:sz w:val="21"/>
                <w:szCs w:val="21"/>
              </w:rPr>
              <w:t>处理后对尧塘河的影响较小。</w:t>
            </w:r>
          </w:p>
          <w:p w14:paraId="22C693D9">
            <w:pPr>
              <w:pStyle w:val="5"/>
              <w:adjustRightInd w:val="0"/>
              <w:snapToGrid w:val="0"/>
              <w:spacing w:line="360" w:lineRule="auto"/>
              <w:ind w:firstLine="422"/>
              <w:rPr>
                <w:b/>
                <w:bCs/>
                <w:szCs w:val="21"/>
              </w:rPr>
            </w:pPr>
            <w:r>
              <w:rPr>
                <w:b/>
                <w:bCs/>
                <w:szCs w:val="21"/>
              </w:rPr>
              <w:t>（4）环境监测</w:t>
            </w:r>
          </w:p>
          <w:p w14:paraId="3E1CC8DF">
            <w:pPr>
              <w:pStyle w:val="5"/>
              <w:adjustRightInd w:val="0"/>
              <w:snapToGrid w:val="0"/>
              <w:spacing w:line="360" w:lineRule="auto"/>
              <w:ind w:firstLine="420"/>
              <w:rPr>
                <w:szCs w:val="21"/>
              </w:rPr>
            </w:pPr>
            <w:r>
              <w:rPr>
                <w:szCs w:val="21"/>
              </w:rPr>
              <w:t>根据《排污单位自行监测技术指南 橡胶和塑料制品》（HJ1207-2021）中相关要求，项目建成后全厂废水例行监测计划详见下表。</w:t>
            </w:r>
          </w:p>
          <w:p w14:paraId="208D95A9">
            <w:pPr>
              <w:pStyle w:val="5"/>
              <w:ind w:firstLine="0" w:firstLineChars="0"/>
              <w:jc w:val="center"/>
              <w:rPr>
                <w:b/>
                <w:szCs w:val="21"/>
              </w:rPr>
            </w:pPr>
            <w:r>
              <w:rPr>
                <w:b/>
                <w:kern w:val="0"/>
                <w:szCs w:val="21"/>
              </w:rPr>
              <w:t>表4-21  污染源监测计划</w:t>
            </w:r>
          </w:p>
          <w:tbl>
            <w:tblPr>
              <w:tblStyle w:val="25"/>
              <w:tblW w:w="87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21"/>
              <w:gridCol w:w="1141"/>
              <w:gridCol w:w="1164"/>
              <w:gridCol w:w="1009"/>
              <w:gridCol w:w="3832"/>
              <w:gridCol w:w="1011"/>
            </w:tblGrid>
            <w:tr w14:paraId="66118A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1" w:type="dxa"/>
                  <w:vAlign w:val="center"/>
                </w:tcPr>
                <w:p w14:paraId="050F2D95">
                  <w:pPr>
                    <w:jc w:val="center"/>
                    <w:rPr>
                      <w:b/>
                      <w:szCs w:val="21"/>
                    </w:rPr>
                  </w:pPr>
                  <w:r>
                    <w:rPr>
                      <w:b/>
                      <w:szCs w:val="21"/>
                    </w:rPr>
                    <w:t>类型</w:t>
                  </w:r>
                </w:p>
              </w:tc>
              <w:tc>
                <w:tcPr>
                  <w:tcW w:w="1141" w:type="dxa"/>
                  <w:vAlign w:val="center"/>
                </w:tcPr>
                <w:p w14:paraId="024B06B0">
                  <w:pPr>
                    <w:jc w:val="center"/>
                    <w:rPr>
                      <w:b/>
                      <w:szCs w:val="21"/>
                    </w:rPr>
                  </w:pPr>
                  <w:r>
                    <w:rPr>
                      <w:b/>
                      <w:szCs w:val="21"/>
                    </w:rPr>
                    <w:t>监测项目</w:t>
                  </w:r>
                </w:p>
              </w:tc>
              <w:tc>
                <w:tcPr>
                  <w:tcW w:w="1164" w:type="dxa"/>
                  <w:vAlign w:val="center"/>
                </w:tcPr>
                <w:p w14:paraId="1C020704">
                  <w:pPr>
                    <w:jc w:val="center"/>
                    <w:rPr>
                      <w:b/>
                      <w:szCs w:val="21"/>
                    </w:rPr>
                  </w:pPr>
                  <w:r>
                    <w:rPr>
                      <w:b/>
                      <w:szCs w:val="21"/>
                    </w:rPr>
                    <w:t>监测位置</w:t>
                  </w:r>
                </w:p>
              </w:tc>
              <w:tc>
                <w:tcPr>
                  <w:tcW w:w="1009" w:type="dxa"/>
                  <w:vAlign w:val="center"/>
                </w:tcPr>
                <w:p w14:paraId="32FD0E40">
                  <w:pPr>
                    <w:jc w:val="center"/>
                    <w:rPr>
                      <w:b/>
                      <w:szCs w:val="21"/>
                    </w:rPr>
                  </w:pPr>
                  <w:r>
                    <w:rPr>
                      <w:b/>
                      <w:szCs w:val="21"/>
                    </w:rPr>
                    <w:t>检测点位</w:t>
                  </w:r>
                </w:p>
              </w:tc>
              <w:tc>
                <w:tcPr>
                  <w:tcW w:w="3832" w:type="dxa"/>
                  <w:vAlign w:val="center"/>
                </w:tcPr>
                <w:p w14:paraId="14ECAC90">
                  <w:pPr>
                    <w:jc w:val="center"/>
                    <w:rPr>
                      <w:b/>
                      <w:szCs w:val="21"/>
                    </w:rPr>
                  </w:pPr>
                  <w:r>
                    <w:rPr>
                      <w:b/>
                      <w:szCs w:val="21"/>
                    </w:rPr>
                    <w:t>监测因子</w:t>
                  </w:r>
                </w:p>
              </w:tc>
              <w:tc>
                <w:tcPr>
                  <w:tcW w:w="1011" w:type="dxa"/>
                  <w:vAlign w:val="center"/>
                </w:tcPr>
                <w:p w14:paraId="0E6DD97E">
                  <w:pPr>
                    <w:jc w:val="center"/>
                    <w:rPr>
                      <w:b/>
                      <w:szCs w:val="21"/>
                    </w:rPr>
                  </w:pPr>
                  <w:r>
                    <w:rPr>
                      <w:b/>
                      <w:szCs w:val="21"/>
                    </w:rPr>
                    <w:t>监测频率</w:t>
                  </w:r>
                </w:p>
              </w:tc>
            </w:tr>
            <w:tr w14:paraId="08485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21" w:type="dxa"/>
                  <w:vAlign w:val="center"/>
                </w:tcPr>
                <w:p w14:paraId="3A5216A2">
                  <w:pPr>
                    <w:jc w:val="center"/>
                    <w:rPr>
                      <w:szCs w:val="21"/>
                    </w:rPr>
                  </w:pPr>
                  <w:r>
                    <w:rPr>
                      <w:szCs w:val="21"/>
                    </w:rPr>
                    <w:t>例行监测</w:t>
                  </w:r>
                </w:p>
              </w:tc>
              <w:tc>
                <w:tcPr>
                  <w:tcW w:w="1141" w:type="dxa"/>
                  <w:vAlign w:val="center"/>
                </w:tcPr>
                <w:p w14:paraId="3A91E88B">
                  <w:pPr>
                    <w:jc w:val="center"/>
                    <w:rPr>
                      <w:szCs w:val="21"/>
                    </w:rPr>
                  </w:pPr>
                  <w:r>
                    <w:rPr>
                      <w:rFonts w:hint="eastAsia"/>
                      <w:szCs w:val="21"/>
                    </w:rPr>
                    <w:t>生活污水</w:t>
                  </w:r>
                </w:p>
              </w:tc>
              <w:tc>
                <w:tcPr>
                  <w:tcW w:w="1164" w:type="dxa"/>
                  <w:vAlign w:val="center"/>
                </w:tcPr>
                <w:p w14:paraId="43571210">
                  <w:pPr>
                    <w:jc w:val="center"/>
                    <w:rPr>
                      <w:szCs w:val="21"/>
                    </w:rPr>
                  </w:pPr>
                  <w:r>
                    <w:rPr>
                      <w:szCs w:val="21"/>
                    </w:rPr>
                    <w:t>废水总排放口</w:t>
                  </w:r>
                </w:p>
              </w:tc>
              <w:tc>
                <w:tcPr>
                  <w:tcW w:w="1009" w:type="dxa"/>
                  <w:vAlign w:val="center"/>
                </w:tcPr>
                <w:p w14:paraId="3AF20FD6">
                  <w:pPr>
                    <w:jc w:val="center"/>
                    <w:rPr>
                      <w:szCs w:val="21"/>
                    </w:rPr>
                  </w:pPr>
                  <w:r>
                    <w:rPr>
                      <w:szCs w:val="21"/>
                    </w:rPr>
                    <w:t>1</w:t>
                  </w:r>
                </w:p>
              </w:tc>
              <w:tc>
                <w:tcPr>
                  <w:tcW w:w="3832" w:type="dxa"/>
                  <w:vAlign w:val="center"/>
                </w:tcPr>
                <w:p w14:paraId="32B4BB62">
                  <w:pPr>
                    <w:jc w:val="center"/>
                    <w:rPr>
                      <w:szCs w:val="21"/>
                    </w:rPr>
                  </w:pPr>
                  <w:r>
                    <w:rPr>
                      <w:szCs w:val="21"/>
                    </w:rPr>
                    <w:t>流量、pH值、悬浮物、化学需氧量、氨氮、总氮、总磷、石油类、动植物油</w:t>
                  </w:r>
                </w:p>
              </w:tc>
              <w:tc>
                <w:tcPr>
                  <w:tcW w:w="1011" w:type="dxa"/>
                  <w:vAlign w:val="center"/>
                </w:tcPr>
                <w:p w14:paraId="776A1D48">
                  <w:pPr>
                    <w:jc w:val="center"/>
                    <w:rPr>
                      <w:szCs w:val="21"/>
                    </w:rPr>
                  </w:pPr>
                  <w:r>
                    <w:rPr>
                      <w:szCs w:val="21"/>
                    </w:rPr>
                    <w:t>1次/年</w:t>
                  </w:r>
                </w:p>
              </w:tc>
            </w:tr>
          </w:tbl>
          <w:p w14:paraId="18FBCCEF">
            <w:pPr>
              <w:pStyle w:val="5"/>
              <w:adjustRightInd w:val="0"/>
              <w:snapToGrid w:val="0"/>
              <w:spacing w:beforeLines="50" w:line="360" w:lineRule="auto"/>
              <w:ind w:firstLine="422"/>
              <w:rPr>
                <w:b/>
                <w:bCs/>
                <w:szCs w:val="21"/>
              </w:rPr>
            </w:pPr>
            <w:r>
              <w:rPr>
                <w:b/>
                <w:bCs/>
                <w:szCs w:val="21"/>
              </w:rPr>
              <w:t>（5）结论</w:t>
            </w:r>
          </w:p>
          <w:p w14:paraId="42F36B79">
            <w:pPr>
              <w:pStyle w:val="5"/>
              <w:adjustRightInd w:val="0"/>
              <w:snapToGrid w:val="0"/>
              <w:spacing w:line="360" w:lineRule="auto"/>
              <w:ind w:firstLine="420"/>
              <w:rPr>
                <w:szCs w:val="21"/>
              </w:rPr>
            </w:pPr>
            <w:r>
              <w:rPr>
                <w:szCs w:val="21"/>
              </w:rPr>
              <w:t>综上所述，扩建项目排放</w:t>
            </w:r>
            <w:r>
              <w:rPr>
                <w:rFonts w:hint="eastAsia"/>
                <w:szCs w:val="21"/>
              </w:rPr>
              <w:t>生活污水</w:t>
            </w:r>
            <w:r>
              <w:rPr>
                <w:szCs w:val="21"/>
              </w:rPr>
              <w:t>水质能够达《橡胶制品工业污染物排放标准》（GB27632-2011）及</w:t>
            </w:r>
            <w:r>
              <w:rPr>
                <w:kern w:val="0"/>
                <w:szCs w:val="21"/>
              </w:rPr>
              <w:t>常州金坛区第二污水处理有限公司</w:t>
            </w:r>
            <w:r>
              <w:rPr>
                <w:szCs w:val="21"/>
              </w:rPr>
              <w:t>接管限值；</w:t>
            </w:r>
            <w:r>
              <w:rPr>
                <w:kern w:val="0"/>
                <w:szCs w:val="21"/>
              </w:rPr>
              <w:t>常州金坛区第二污水处理有限公司</w:t>
            </w:r>
            <w:r>
              <w:rPr>
                <w:szCs w:val="21"/>
              </w:rPr>
              <w:t>尾水达到《太湖地区城镇污水处理厂及重点工业行业主要水污染物排放限值》（DB32/1072-2018）中表2标准及《城镇污水处理厂污染物排放标准》（GB18918-2002）中表1一级A标准后排入尧塘河；纳污水体尧塘河能够满足《地表水环境质量标准》（GB3838-2002）中III类标准；生产废水经处理后回用，均不外排。项目所在地已满足接管城市污水处理厂条件，引用</w:t>
            </w:r>
            <w:r>
              <w:rPr>
                <w:kern w:val="0"/>
                <w:szCs w:val="21"/>
              </w:rPr>
              <w:t>常州金坛区第二污水处理有限公司</w:t>
            </w:r>
            <w:r>
              <w:rPr>
                <w:szCs w:val="21"/>
              </w:rPr>
              <w:t>环评结论可知，废水经污水处理厂处理达标排放后对地表水环境影响较小。因此本次评价认为扩建项目对地表水环境影响是可以接受的。</w:t>
            </w:r>
          </w:p>
          <w:p w14:paraId="2B0D408E">
            <w:pPr>
              <w:pStyle w:val="8"/>
              <w:adjustRightInd w:val="0"/>
              <w:snapToGrid w:val="0"/>
              <w:spacing w:line="360" w:lineRule="auto"/>
              <w:rPr>
                <w:szCs w:val="21"/>
              </w:rPr>
            </w:pPr>
          </w:p>
          <w:p w14:paraId="20077FD5">
            <w:pPr>
              <w:pStyle w:val="8"/>
              <w:adjustRightInd w:val="0"/>
              <w:snapToGrid w:val="0"/>
              <w:spacing w:line="360" w:lineRule="auto"/>
              <w:rPr>
                <w:sz w:val="24"/>
              </w:rPr>
            </w:pPr>
          </w:p>
          <w:p w14:paraId="3B12A037"/>
          <w:p w14:paraId="63392B00">
            <w:pPr>
              <w:pStyle w:val="8"/>
              <w:rPr>
                <w:sz w:val="24"/>
              </w:rPr>
            </w:pPr>
          </w:p>
          <w:p w14:paraId="7E6EA669"/>
        </w:tc>
      </w:tr>
    </w:tbl>
    <w:p w14:paraId="26A21543">
      <w:pPr>
        <w:pStyle w:val="82"/>
        <w:ind w:firstLine="480"/>
        <w:rPr>
          <w:color w:val="auto"/>
        </w:rPr>
      </w:pPr>
    </w:p>
    <w:p w14:paraId="56BF8483">
      <w:pPr>
        <w:pStyle w:val="82"/>
        <w:ind w:firstLine="480"/>
        <w:rPr>
          <w:color w:val="auto"/>
        </w:rPr>
        <w:sectPr>
          <w:pgSz w:w="11907" w:h="16840"/>
          <w:pgMar w:top="1701" w:right="1531" w:bottom="2127" w:left="1531" w:header="851" w:footer="851" w:gutter="0"/>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3469"/>
      </w:tblGrid>
      <w:tr w14:paraId="2DDF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Pr>
          <w:p w14:paraId="57EA45F0">
            <w:pPr>
              <w:adjustRightInd w:val="0"/>
              <w:snapToGrid w:val="0"/>
              <w:spacing w:line="360" w:lineRule="auto"/>
              <w:rPr>
                <w:b/>
                <w:bCs/>
                <w:szCs w:val="21"/>
                <w:vertAlign w:val="baseline"/>
              </w:rPr>
            </w:pPr>
          </w:p>
        </w:tc>
        <w:tc>
          <w:tcPr>
            <w:tcW w:w="13469" w:type="dxa"/>
          </w:tcPr>
          <w:p w14:paraId="31A75C01">
            <w:pPr>
              <w:adjustRightInd w:val="0"/>
              <w:snapToGrid w:val="0"/>
              <w:spacing w:line="360" w:lineRule="auto"/>
              <w:rPr>
                <w:b/>
                <w:bCs/>
                <w:szCs w:val="21"/>
              </w:rPr>
            </w:pPr>
            <w:r>
              <w:rPr>
                <w:b/>
                <w:bCs/>
                <w:szCs w:val="21"/>
              </w:rPr>
              <w:t>3、噪声环境影响分析</w:t>
            </w:r>
          </w:p>
          <w:p w14:paraId="32E8F90F">
            <w:pPr>
              <w:pStyle w:val="5"/>
              <w:snapToGrid w:val="0"/>
              <w:spacing w:line="360" w:lineRule="auto"/>
              <w:ind w:firstLine="422"/>
              <w:rPr>
                <w:b/>
                <w:bCs/>
                <w:szCs w:val="21"/>
              </w:rPr>
            </w:pPr>
            <w:r>
              <w:rPr>
                <w:b/>
                <w:bCs/>
                <w:szCs w:val="21"/>
              </w:rPr>
              <w:t>（1）噪声源</w:t>
            </w:r>
          </w:p>
          <w:p w14:paraId="1DB3624E">
            <w:pPr>
              <w:adjustRightInd w:val="0"/>
              <w:snapToGrid w:val="0"/>
              <w:spacing w:line="360" w:lineRule="auto"/>
              <w:ind w:firstLine="420" w:firstLineChars="200"/>
              <w:rPr>
                <w:b/>
                <w:szCs w:val="21"/>
              </w:rPr>
            </w:pPr>
            <w:r>
              <w:rPr>
                <w:szCs w:val="21"/>
              </w:rPr>
              <w:t>本次扩建项目新增高噪声设备主要为捏合机、挤出机、成型机、注射机等，单台设备噪声源强为70-90dB（A），项目室内噪声源强调查清单见表4-22、室外噪声源强调查清单见表4-23。</w:t>
            </w:r>
          </w:p>
          <w:p w14:paraId="4DE146A2">
            <w:pPr>
              <w:adjustRightInd w:val="0"/>
              <w:snapToGrid w:val="0"/>
              <w:jc w:val="center"/>
              <w:rPr>
                <w:b/>
                <w:szCs w:val="21"/>
              </w:rPr>
            </w:pPr>
            <w:r>
              <w:rPr>
                <w:b/>
                <w:szCs w:val="21"/>
              </w:rPr>
              <w:t>表4-22  工业企业噪声源强调查清单（室内声源）</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17"/>
              <w:gridCol w:w="528"/>
              <w:gridCol w:w="1579"/>
              <w:gridCol w:w="1168"/>
              <w:gridCol w:w="676"/>
              <w:gridCol w:w="915"/>
              <w:gridCol w:w="817"/>
              <w:gridCol w:w="809"/>
              <w:gridCol w:w="1017"/>
              <w:gridCol w:w="1261"/>
              <w:gridCol w:w="978"/>
              <w:gridCol w:w="1116"/>
              <w:gridCol w:w="930"/>
              <w:gridCol w:w="930"/>
              <w:gridCol w:w="12"/>
            </w:tblGrid>
            <w:tr w14:paraId="2AA543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restart"/>
                  <w:vAlign w:val="center"/>
                </w:tcPr>
                <w:p w14:paraId="48E82CD9">
                  <w:pPr>
                    <w:pStyle w:val="8"/>
                    <w:adjustRightInd w:val="0"/>
                    <w:snapToGrid w:val="0"/>
                    <w:jc w:val="center"/>
                    <w:rPr>
                      <w:b/>
                      <w:szCs w:val="21"/>
                    </w:rPr>
                  </w:pPr>
                  <w:r>
                    <w:rPr>
                      <w:b/>
                      <w:szCs w:val="21"/>
                    </w:rPr>
                    <w:t>序号</w:t>
                  </w:r>
                </w:p>
              </w:tc>
              <w:tc>
                <w:tcPr>
                  <w:tcW w:w="562" w:type="dxa"/>
                  <w:vMerge w:val="restart"/>
                  <w:vAlign w:val="center"/>
                </w:tcPr>
                <w:p w14:paraId="5FE56164">
                  <w:pPr>
                    <w:pStyle w:val="8"/>
                    <w:adjustRightInd w:val="0"/>
                    <w:snapToGrid w:val="0"/>
                    <w:jc w:val="center"/>
                    <w:rPr>
                      <w:b/>
                      <w:szCs w:val="21"/>
                    </w:rPr>
                  </w:pPr>
                  <w:r>
                    <w:rPr>
                      <w:b/>
                      <w:szCs w:val="21"/>
                    </w:rPr>
                    <w:t>建筑物名称</w:t>
                  </w:r>
                </w:p>
              </w:tc>
              <w:tc>
                <w:tcPr>
                  <w:tcW w:w="1724" w:type="dxa"/>
                  <w:vMerge w:val="restart"/>
                  <w:vAlign w:val="center"/>
                </w:tcPr>
                <w:p w14:paraId="3A2B71DD">
                  <w:pPr>
                    <w:pStyle w:val="8"/>
                    <w:adjustRightInd w:val="0"/>
                    <w:snapToGrid w:val="0"/>
                    <w:jc w:val="center"/>
                    <w:rPr>
                      <w:b/>
                      <w:szCs w:val="21"/>
                    </w:rPr>
                  </w:pPr>
                  <w:r>
                    <w:rPr>
                      <w:b/>
                      <w:szCs w:val="21"/>
                    </w:rPr>
                    <w:t>声源名称</w:t>
                  </w:r>
                </w:p>
              </w:tc>
              <w:tc>
                <w:tcPr>
                  <w:tcW w:w="1239" w:type="dxa"/>
                  <w:vAlign w:val="center"/>
                </w:tcPr>
                <w:p w14:paraId="05859A86">
                  <w:pPr>
                    <w:pStyle w:val="8"/>
                    <w:adjustRightInd w:val="0"/>
                    <w:snapToGrid w:val="0"/>
                    <w:jc w:val="center"/>
                    <w:rPr>
                      <w:b/>
                      <w:szCs w:val="21"/>
                    </w:rPr>
                  </w:pPr>
                  <w:r>
                    <w:rPr>
                      <w:b/>
                      <w:szCs w:val="21"/>
                    </w:rPr>
                    <w:t>声源源强</w:t>
                  </w:r>
                </w:p>
              </w:tc>
              <w:tc>
                <w:tcPr>
                  <w:tcW w:w="730" w:type="dxa"/>
                  <w:vMerge w:val="restart"/>
                  <w:vAlign w:val="center"/>
                </w:tcPr>
                <w:p w14:paraId="5EDC4243">
                  <w:pPr>
                    <w:pStyle w:val="8"/>
                    <w:adjustRightInd w:val="0"/>
                    <w:snapToGrid w:val="0"/>
                    <w:jc w:val="center"/>
                    <w:rPr>
                      <w:b/>
                      <w:szCs w:val="21"/>
                    </w:rPr>
                  </w:pPr>
                  <w:r>
                    <w:rPr>
                      <w:b/>
                      <w:szCs w:val="21"/>
                    </w:rPr>
                    <w:t>声源控制措施</w:t>
                  </w:r>
                </w:p>
              </w:tc>
              <w:tc>
                <w:tcPr>
                  <w:tcW w:w="2778" w:type="dxa"/>
                  <w:gridSpan w:val="3"/>
                  <w:vAlign w:val="center"/>
                </w:tcPr>
                <w:p w14:paraId="067369E2">
                  <w:pPr>
                    <w:pStyle w:val="8"/>
                    <w:adjustRightInd w:val="0"/>
                    <w:snapToGrid w:val="0"/>
                    <w:jc w:val="center"/>
                    <w:rPr>
                      <w:b/>
                      <w:szCs w:val="21"/>
                    </w:rPr>
                  </w:pPr>
                  <w:r>
                    <w:rPr>
                      <w:b/>
                      <w:szCs w:val="21"/>
                    </w:rPr>
                    <w:t>空间相对位置/m</w:t>
                  </w:r>
                </w:p>
              </w:tc>
              <w:tc>
                <w:tcPr>
                  <w:tcW w:w="1112" w:type="dxa"/>
                  <w:vMerge w:val="restart"/>
                  <w:vAlign w:val="center"/>
                </w:tcPr>
                <w:p w14:paraId="38BC2397">
                  <w:pPr>
                    <w:pStyle w:val="8"/>
                    <w:adjustRightInd w:val="0"/>
                    <w:snapToGrid w:val="0"/>
                    <w:jc w:val="center"/>
                    <w:rPr>
                      <w:b/>
                      <w:szCs w:val="21"/>
                    </w:rPr>
                  </w:pPr>
                  <w:r>
                    <w:rPr>
                      <w:b/>
                      <w:szCs w:val="21"/>
                    </w:rPr>
                    <w:t>距室内边界距离/m</w:t>
                  </w:r>
                </w:p>
              </w:tc>
              <w:tc>
                <w:tcPr>
                  <w:tcW w:w="1344" w:type="dxa"/>
                  <w:vMerge w:val="restart"/>
                  <w:vAlign w:val="center"/>
                </w:tcPr>
                <w:p w14:paraId="2FBD8798">
                  <w:pPr>
                    <w:pStyle w:val="8"/>
                    <w:adjustRightInd w:val="0"/>
                    <w:snapToGrid w:val="0"/>
                    <w:jc w:val="center"/>
                    <w:rPr>
                      <w:b/>
                      <w:szCs w:val="21"/>
                    </w:rPr>
                  </w:pPr>
                  <w:r>
                    <w:rPr>
                      <w:b/>
                      <w:szCs w:val="21"/>
                    </w:rPr>
                    <w:t>室内边界声级/dB（A）</w:t>
                  </w:r>
                </w:p>
              </w:tc>
              <w:tc>
                <w:tcPr>
                  <w:tcW w:w="619" w:type="dxa"/>
                  <w:vMerge w:val="restart"/>
                  <w:vAlign w:val="center"/>
                </w:tcPr>
                <w:p w14:paraId="4DF5CC52">
                  <w:pPr>
                    <w:pStyle w:val="8"/>
                    <w:adjustRightInd w:val="0"/>
                    <w:snapToGrid w:val="0"/>
                    <w:jc w:val="center"/>
                    <w:rPr>
                      <w:b/>
                      <w:szCs w:val="21"/>
                    </w:rPr>
                  </w:pPr>
                  <w:r>
                    <w:rPr>
                      <w:b/>
                      <w:szCs w:val="21"/>
                    </w:rPr>
                    <w:t>运行时段</w:t>
                  </w:r>
                </w:p>
              </w:tc>
              <w:tc>
                <w:tcPr>
                  <w:tcW w:w="1180" w:type="dxa"/>
                  <w:vMerge w:val="restart"/>
                  <w:vAlign w:val="center"/>
                </w:tcPr>
                <w:p w14:paraId="1D5DA55F">
                  <w:pPr>
                    <w:pStyle w:val="8"/>
                    <w:adjustRightInd w:val="0"/>
                    <w:snapToGrid w:val="0"/>
                    <w:jc w:val="center"/>
                    <w:rPr>
                      <w:b/>
                      <w:szCs w:val="21"/>
                    </w:rPr>
                  </w:pPr>
                  <w:r>
                    <w:rPr>
                      <w:b/>
                      <w:szCs w:val="21"/>
                    </w:rPr>
                    <w:t>建筑物插入损失/dB（A）</w:t>
                  </w:r>
                </w:p>
              </w:tc>
              <w:tc>
                <w:tcPr>
                  <w:tcW w:w="1996" w:type="dxa"/>
                  <w:gridSpan w:val="3"/>
                  <w:vAlign w:val="center"/>
                </w:tcPr>
                <w:p w14:paraId="2BBDC0FB">
                  <w:pPr>
                    <w:pStyle w:val="8"/>
                    <w:adjustRightInd w:val="0"/>
                    <w:snapToGrid w:val="0"/>
                    <w:jc w:val="center"/>
                    <w:rPr>
                      <w:b/>
                      <w:szCs w:val="21"/>
                    </w:rPr>
                  </w:pPr>
                  <w:r>
                    <w:rPr>
                      <w:b/>
                      <w:szCs w:val="21"/>
                    </w:rPr>
                    <w:t>建筑物外噪声</w:t>
                  </w:r>
                </w:p>
              </w:tc>
            </w:tr>
            <w:tr w14:paraId="6848A4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Merge w:val="continue"/>
                  <w:vAlign w:val="center"/>
                </w:tcPr>
                <w:p w14:paraId="056882EB">
                  <w:pPr>
                    <w:pStyle w:val="8"/>
                    <w:adjustRightInd w:val="0"/>
                    <w:snapToGrid w:val="0"/>
                    <w:jc w:val="center"/>
                    <w:rPr>
                      <w:b/>
                      <w:szCs w:val="21"/>
                    </w:rPr>
                  </w:pPr>
                </w:p>
              </w:tc>
              <w:tc>
                <w:tcPr>
                  <w:tcW w:w="562" w:type="dxa"/>
                  <w:vMerge w:val="continue"/>
                  <w:vAlign w:val="center"/>
                </w:tcPr>
                <w:p w14:paraId="0BE68CD6">
                  <w:pPr>
                    <w:pStyle w:val="8"/>
                    <w:adjustRightInd w:val="0"/>
                    <w:snapToGrid w:val="0"/>
                    <w:jc w:val="center"/>
                    <w:rPr>
                      <w:b/>
                      <w:szCs w:val="21"/>
                    </w:rPr>
                  </w:pPr>
                </w:p>
              </w:tc>
              <w:tc>
                <w:tcPr>
                  <w:tcW w:w="1724" w:type="dxa"/>
                  <w:vMerge w:val="continue"/>
                  <w:vAlign w:val="center"/>
                </w:tcPr>
                <w:p w14:paraId="124E7D82">
                  <w:pPr>
                    <w:pStyle w:val="8"/>
                    <w:adjustRightInd w:val="0"/>
                    <w:snapToGrid w:val="0"/>
                    <w:jc w:val="center"/>
                    <w:rPr>
                      <w:b/>
                      <w:szCs w:val="21"/>
                    </w:rPr>
                  </w:pPr>
                </w:p>
              </w:tc>
              <w:tc>
                <w:tcPr>
                  <w:tcW w:w="1239" w:type="dxa"/>
                  <w:vAlign w:val="center"/>
                </w:tcPr>
                <w:p w14:paraId="5AFC9CB4">
                  <w:pPr>
                    <w:pStyle w:val="8"/>
                    <w:adjustRightInd w:val="0"/>
                    <w:snapToGrid w:val="0"/>
                    <w:jc w:val="center"/>
                    <w:rPr>
                      <w:b/>
                      <w:szCs w:val="21"/>
                    </w:rPr>
                  </w:pPr>
                  <w:r>
                    <w:rPr>
                      <w:b/>
                      <w:szCs w:val="21"/>
                    </w:rPr>
                    <w:t>声功率级/dB（A）</w:t>
                  </w:r>
                </w:p>
              </w:tc>
              <w:tc>
                <w:tcPr>
                  <w:tcW w:w="730" w:type="dxa"/>
                  <w:vMerge w:val="continue"/>
                  <w:vAlign w:val="center"/>
                </w:tcPr>
                <w:p w14:paraId="39FAF9BC">
                  <w:pPr>
                    <w:pStyle w:val="8"/>
                    <w:adjustRightInd w:val="0"/>
                    <w:snapToGrid w:val="0"/>
                    <w:jc w:val="center"/>
                    <w:rPr>
                      <w:b/>
                      <w:szCs w:val="21"/>
                    </w:rPr>
                  </w:pPr>
                </w:p>
              </w:tc>
              <w:tc>
                <w:tcPr>
                  <w:tcW w:w="1000" w:type="dxa"/>
                  <w:vAlign w:val="center"/>
                </w:tcPr>
                <w:p w14:paraId="11BA703A">
                  <w:pPr>
                    <w:pStyle w:val="8"/>
                    <w:adjustRightInd w:val="0"/>
                    <w:snapToGrid w:val="0"/>
                    <w:jc w:val="center"/>
                    <w:rPr>
                      <w:b/>
                      <w:szCs w:val="21"/>
                    </w:rPr>
                  </w:pPr>
                  <w:r>
                    <w:rPr>
                      <w:b/>
                      <w:szCs w:val="21"/>
                    </w:rPr>
                    <w:t>X</w:t>
                  </w:r>
                </w:p>
              </w:tc>
              <w:tc>
                <w:tcPr>
                  <w:tcW w:w="889" w:type="dxa"/>
                  <w:vAlign w:val="center"/>
                </w:tcPr>
                <w:p w14:paraId="3AFD3B24">
                  <w:pPr>
                    <w:pStyle w:val="8"/>
                    <w:adjustRightInd w:val="0"/>
                    <w:snapToGrid w:val="0"/>
                    <w:jc w:val="center"/>
                    <w:rPr>
                      <w:b/>
                      <w:szCs w:val="21"/>
                    </w:rPr>
                  </w:pPr>
                  <w:r>
                    <w:rPr>
                      <w:b/>
                      <w:szCs w:val="21"/>
                    </w:rPr>
                    <w:t>Y</w:t>
                  </w:r>
                </w:p>
              </w:tc>
              <w:tc>
                <w:tcPr>
                  <w:tcW w:w="889" w:type="dxa"/>
                  <w:vAlign w:val="center"/>
                </w:tcPr>
                <w:p w14:paraId="7675E8E9">
                  <w:pPr>
                    <w:pStyle w:val="8"/>
                    <w:adjustRightInd w:val="0"/>
                    <w:snapToGrid w:val="0"/>
                    <w:jc w:val="center"/>
                    <w:rPr>
                      <w:b/>
                      <w:szCs w:val="21"/>
                    </w:rPr>
                  </w:pPr>
                  <w:r>
                    <w:rPr>
                      <w:b/>
                      <w:szCs w:val="21"/>
                    </w:rPr>
                    <w:t>Z</w:t>
                  </w:r>
                </w:p>
              </w:tc>
              <w:tc>
                <w:tcPr>
                  <w:tcW w:w="1112" w:type="dxa"/>
                  <w:vMerge w:val="continue"/>
                  <w:vAlign w:val="center"/>
                </w:tcPr>
                <w:p w14:paraId="02E02915">
                  <w:pPr>
                    <w:pStyle w:val="8"/>
                    <w:adjustRightInd w:val="0"/>
                    <w:snapToGrid w:val="0"/>
                    <w:jc w:val="center"/>
                    <w:rPr>
                      <w:b/>
                      <w:szCs w:val="21"/>
                    </w:rPr>
                  </w:pPr>
                </w:p>
              </w:tc>
              <w:tc>
                <w:tcPr>
                  <w:tcW w:w="1344" w:type="dxa"/>
                  <w:vMerge w:val="continue"/>
                  <w:vAlign w:val="center"/>
                </w:tcPr>
                <w:p w14:paraId="6A735C7D">
                  <w:pPr>
                    <w:pStyle w:val="8"/>
                    <w:adjustRightInd w:val="0"/>
                    <w:snapToGrid w:val="0"/>
                    <w:jc w:val="center"/>
                    <w:rPr>
                      <w:b/>
                      <w:szCs w:val="21"/>
                    </w:rPr>
                  </w:pPr>
                </w:p>
              </w:tc>
              <w:tc>
                <w:tcPr>
                  <w:tcW w:w="619" w:type="dxa"/>
                  <w:vMerge w:val="continue"/>
                  <w:vAlign w:val="center"/>
                </w:tcPr>
                <w:p w14:paraId="54F08E56">
                  <w:pPr>
                    <w:pStyle w:val="8"/>
                    <w:adjustRightInd w:val="0"/>
                    <w:snapToGrid w:val="0"/>
                    <w:jc w:val="center"/>
                    <w:rPr>
                      <w:b/>
                      <w:szCs w:val="21"/>
                    </w:rPr>
                  </w:pPr>
                </w:p>
              </w:tc>
              <w:tc>
                <w:tcPr>
                  <w:tcW w:w="1180" w:type="dxa"/>
                  <w:vMerge w:val="continue"/>
                  <w:vAlign w:val="center"/>
                </w:tcPr>
                <w:p w14:paraId="6D0F269D">
                  <w:pPr>
                    <w:pStyle w:val="8"/>
                    <w:adjustRightInd w:val="0"/>
                    <w:snapToGrid w:val="0"/>
                    <w:jc w:val="center"/>
                    <w:rPr>
                      <w:b/>
                      <w:szCs w:val="21"/>
                    </w:rPr>
                  </w:pPr>
                </w:p>
              </w:tc>
              <w:tc>
                <w:tcPr>
                  <w:tcW w:w="969" w:type="dxa"/>
                  <w:vAlign w:val="center"/>
                </w:tcPr>
                <w:p w14:paraId="0B45BE19">
                  <w:pPr>
                    <w:pStyle w:val="8"/>
                    <w:adjustRightInd w:val="0"/>
                    <w:snapToGrid w:val="0"/>
                    <w:jc w:val="center"/>
                    <w:rPr>
                      <w:b/>
                      <w:szCs w:val="21"/>
                    </w:rPr>
                  </w:pPr>
                  <w:r>
                    <w:rPr>
                      <w:b/>
                      <w:szCs w:val="21"/>
                    </w:rPr>
                    <w:t>声压级/dB（A）</w:t>
                  </w:r>
                </w:p>
              </w:tc>
              <w:tc>
                <w:tcPr>
                  <w:tcW w:w="1027" w:type="dxa"/>
                  <w:gridSpan w:val="2"/>
                  <w:vAlign w:val="center"/>
                </w:tcPr>
                <w:p w14:paraId="297C136D">
                  <w:pPr>
                    <w:pStyle w:val="8"/>
                    <w:adjustRightInd w:val="0"/>
                    <w:snapToGrid w:val="0"/>
                    <w:jc w:val="center"/>
                    <w:rPr>
                      <w:b/>
                      <w:szCs w:val="21"/>
                    </w:rPr>
                  </w:pPr>
                  <w:r>
                    <w:rPr>
                      <w:b/>
                      <w:szCs w:val="21"/>
                    </w:rPr>
                    <w:t>建筑物外距离/m</w:t>
                  </w:r>
                </w:p>
              </w:tc>
            </w:tr>
            <w:tr w14:paraId="4411B0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44CCCCA3">
                  <w:pPr>
                    <w:pStyle w:val="8"/>
                    <w:adjustRightInd w:val="0"/>
                    <w:snapToGrid w:val="0"/>
                    <w:jc w:val="center"/>
                    <w:rPr>
                      <w:szCs w:val="21"/>
                    </w:rPr>
                  </w:pPr>
                  <w:r>
                    <w:rPr>
                      <w:rFonts w:hint="eastAsia"/>
                      <w:szCs w:val="21"/>
                    </w:rPr>
                    <w:t>1</w:t>
                  </w:r>
                </w:p>
              </w:tc>
              <w:tc>
                <w:tcPr>
                  <w:tcW w:w="562" w:type="dxa"/>
                  <w:vMerge w:val="restart"/>
                  <w:vAlign w:val="center"/>
                </w:tcPr>
                <w:p w14:paraId="2F1C390A">
                  <w:pPr>
                    <w:pStyle w:val="8"/>
                    <w:adjustRightInd w:val="0"/>
                    <w:snapToGrid w:val="0"/>
                    <w:jc w:val="center"/>
                    <w:rPr>
                      <w:szCs w:val="21"/>
                    </w:rPr>
                  </w:pPr>
                  <w:r>
                    <w:rPr>
                      <w:rFonts w:hint="eastAsia"/>
                      <w:szCs w:val="21"/>
                    </w:rPr>
                    <w:t>1#车间</w:t>
                  </w:r>
                </w:p>
              </w:tc>
              <w:tc>
                <w:tcPr>
                  <w:tcW w:w="1724" w:type="dxa"/>
                  <w:vAlign w:val="center"/>
                </w:tcPr>
                <w:p w14:paraId="36792C65">
                  <w:pPr>
                    <w:pStyle w:val="8"/>
                    <w:adjustRightInd w:val="0"/>
                    <w:snapToGrid w:val="0"/>
                    <w:jc w:val="center"/>
                    <w:rPr>
                      <w:b/>
                      <w:szCs w:val="21"/>
                    </w:rPr>
                  </w:pPr>
                  <w:r>
                    <w:rPr>
                      <w:szCs w:val="21"/>
                    </w:rPr>
                    <w:t>预成型机（</w:t>
                  </w:r>
                  <w:r>
                    <w:rPr>
                      <w:rFonts w:hint="eastAsia"/>
                      <w:szCs w:val="21"/>
                    </w:rPr>
                    <w:t>2台</w:t>
                  </w:r>
                  <w:r>
                    <w:rPr>
                      <w:szCs w:val="21"/>
                    </w:rPr>
                    <w:t>）</w:t>
                  </w:r>
                </w:p>
              </w:tc>
              <w:tc>
                <w:tcPr>
                  <w:tcW w:w="1239" w:type="dxa"/>
                  <w:vAlign w:val="center"/>
                </w:tcPr>
                <w:p w14:paraId="5BF7DB50">
                  <w:pPr>
                    <w:pStyle w:val="8"/>
                    <w:adjustRightInd w:val="0"/>
                    <w:snapToGrid w:val="0"/>
                    <w:jc w:val="center"/>
                    <w:rPr>
                      <w:szCs w:val="21"/>
                    </w:rPr>
                  </w:pPr>
                  <w:r>
                    <w:rPr>
                      <w:rFonts w:hint="eastAsia"/>
                      <w:szCs w:val="21"/>
                    </w:rPr>
                    <w:t>75</w:t>
                  </w:r>
                </w:p>
              </w:tc>
              <w:tc>
                <w:tcPr>
                  <w:tcW w:w="730" w:type="dxa"/>
                  <w:vMerge w:val="restart"/>
                  <w:vAlign w:val="center"/>
                </w:tcPr>
                <w:p w14:paraId="6A6D62E3">
                  <w:pPr>
                    <w:pStyle w:val="8"/>
                    <w:adjustRightInd w:val="0"/>
                    <w:snapToGrid w:val="0"/>
                    <w:jc w:val="center"/>
                    <w:rPr>
                      <w:b/>
                      <w:szCs w:val="21"/>
                    </w:rPr>
                  </w:pPr>
                  <w:r>
                    <w:rPr>
                      <w:bCs/>
                      <w:szCs w:val="21"/>
                    </w:rPr>
                    <w:t>合理布局+消声减振+厂房隔声+距离衰减</w:t>
                  </w:r>
                </w:p>
              </w:tc>
              <w:tc>
                <w:tcPr>
                  <w:tcW w:w="1000" w:type="dxa"/>
                  <w:vAlign w:val="center"/>
                </w:tcPr>
                <w:p w14:paraId="58602CD1">
                  <w:pPr>
                    <w:adjustRightInd w:val="0"/>
                    <w:snapToGrid w:val="0"/>
                    <w:jc w:val="center"/>
                    <w:rPr>
                      <w:szCs w:val="21"/>
                    </w:rPr>
                  </w:pPr>
                  <w:r>
                    <w:rPr>
                      <w:szCs w:val="21"/>
                    </w:rPr>
                    <w:t>57</w:t>
                  </w:r>
                </w:p>
              </w:tc>
              <w:tc>
                <w:tcPr>
                  <w:tcW w:w="889" w:type="dxa"/>
                  <w:vAlign w:val="center"/>
                </w:tcPr>
                <w:p w14:paraId="3781DF4B">
                  <w:pPr>
                    <w:adjustRightInd w:val="0"/>
                    <w:snapToGrid w:val="0"/>
                    <w:jc w:val="center"/>
                    <w:rPr>
                      <w:szCs w:val="21"/>
                    </w:rPr>
                  </w:pPr>
                  <w:r>
                    <w:rPr>
                      <w:szCs w:val="21"/>
                    </w:rPr>
                    <w:t>18</w:t>
                  </w:r>
                </w:p>
              </w:tc>
              <w:tc>
                <w:tcPr>
                  <w:tcW w:w="889" w:type="dxa"/>
                  <w:vAlign w:val="center"/>
                </w:tcPr>
                <w:p w14:paraId="0C3330D2">
                  <w:pPr>
                    <w:pStyle w:val="8"/>
                    <w:adjustRightInd w:val="0"/>
                    <w:snapToGrid w:val="0"/>
                    <w:jc w:val="center"/>
                    <w:rPr>
                      <w:bCs/>
                      <w:szCs w:val="21"/>
                    </w:rPr>
                  </w:pPr>
                  <w:r>
                    <w:rPr>
                      <w:bCs/>
                      <w:szCs w:val="21"/>
                    </w:rPr>
                    <w:t>0</w:t>
                  </w:r>
                </w:p>
              </w:tc>
              <w:tc>
                <w:tcPr>
                  <w:tcW w:w="1112" w:type="dxa"/>
                  <w:vAlign w:val="center"/>
                </w:tcPr>
                <w:p w14:paraId="58928373">
                  <w:pPr>
                    <w:widowControl/>
                    <w:adjustRightInd w:val="0"/>
                    <w:snapToGrid w:val="0"/>
                    <w:jc w:val="center"/>
                    <w:textAlignment w:val="center"/>
                    <w:rPr>
                      <w:bCs/>
                      <w:szCs w:val="21"/>
                    </w:rPr>
                  </w:pPr>
                  <w:r>
                    <w:rPr>
                      <w:bCs/>
                      <w:szCs w:val="21"/>
                    </w:rPr>
                    <w:t>18</w:t>
                  </w:r>
                </w:p>
              </w:tc>
              <w:tc>
                <w:tcPr>
                  <w:tcW w:w="1344" w:type="dxa"/>
                  <w:vAlign w:val="center"/>
                </w:tcPr>
                <w:p w14:paraId="12AFEAB8">
                  <w:pPr>
                    <w:widowControl/>
                    <w:adjustRightInd w:val="0"/>
                    <w:snapToGrid w:val="0"/>
                    <w:jc w:val="center"/>
                    <w:textAlignment w:val="center"/>
                    <w:rPr>
                      <w:kern w:val="0"/>
                      <w:szCs w:val="21"/>
                    </w:rPr>
                  </w:pPr>
                  <w:r>
                    <w:rPr>
                      <w:kern w:val="0"/>
                      <w:szCs w:val="21"/>
                    </w:rPr>
                    <w:t>52.1</w:t>
                  </w:r>
                </w:p>
              </w:tc>
              <w:tc>
                <w:tcPr>
                  <w:tcW w:w="619" w:type="dxa"/>
                  <w:vMerge w:val="restart"/>
                  <w:vAlign w:val="center"/>
                </w:tcPr>
                <w:p w14:paraId="6EB2E746">
                  <w:pPr>
                    <w:pStyle w:val="8"/>
                    <w:adjustRightInd w:val="0"/>
                    <w:snapToGrid w:val="0"/>
                    <w:jc w:val="center"/>
                    <w:rPr>
                      <w:b/>
                      <w:szCs w:val="21"/>
                    </w:rPr>
                  </w:pPr>
                  <w:r>
                    <w:rPr>
                      <w:bCs/>
                      <w:szCs w:val="21"/>
                    </w:rPr>
                    <w:t>0:00-24:00</w:t>
                  </w:r>
                </w:p>
              </w:tc>
              <w:tc>
                <w:tcPr>
                  <w:tcW w:w="1180" w:type="dxa"/>
                  <w:vAlign w:val="center"/>
                </w:tcPr>
                <w:p w14:paraId="7D889EE2">
                  <w:pPr>
                    <w:pStyle w:val="8"/>
                    <w:adjustRightInd w:val="0"/>
                    <w:snapToGrid w:val="0"/>
                    <w:jc w:val="center"/>
                    <w:rPr>
                      <w:bCs/>
                      <w:szCs w:val="21"/>
                    </w:rPr>
                  </w:pPr>
                  <w:r>
                    <w:rPr>
                      <w:bCs/>
                      <w:szCs w:val="21"/>
                    </w:rPr>
                    <w:t>25</w:t>
                  </w:r>
                </w:p>
              </w:tc>
              <w:tc>
                <w:tcPr>
                  <w:tcW w:w="969" w:type="dxa"/>
                  <w:vMerge w:val="restart"/>
                  <w:vAlign w:val="center"/>
                </w:tcPr>
                <w:p w14:paraId="5D88762E">
                  <w:pPr>
                    <w:widowControl/>
                    <w:adjustRightInd w:val="0"/>
                    <w:snapToGrid w:val="0"/>
                    <w:jc w:val="center"/>
                    <w:textAlignment w:val="baseline"/>
                    <w:rPr>
                      <w:kern w:val="0"/>
                      <w:szCs w:val="21"/>
                    </w:rPr>
                  </w:pPr>
                  <w:r>
                    <w:rPr>
                      <w:kern w:val="0"/>
                      <w:szCs w:val="21"/>
                    </w:rPr>
                    <w:t>53.5</w:t>
                  </w:r>
                </w:p>
              </w:tc>
              <w:tc>
                <w:tcPr>
                  <w:tcW w:w="1027" w:type="dxa"/>
                  <w:gridSpan w:val="2"/>
                  <w:vMerge w:val="restart"/>
                  <w:vAlign w:val="center"/>
                </w:tcPr>
                <w:p w14:paraId="6950F8F3">
                  <w:pPr>
                    <w:widowControl/>
                    <w:adjustRightInd w:val="0"/>
                    <w:snapToGrid w:val="0"/>
                    <w:jc w:val="center"/>
                    <w:textAlignment w:val="center"/>
                    <w:rPr>
                      <w:szCs w:val="21"/>
                    </w:rPr>
                  </w:pPr>
                  <w:r>
                    <w:rPr>
                      <w:szCs w:val="21"/>
                    </w:rPr>
                    <w:t>6</w:t>
                  </w:r>
                </w:p>
              </w:tc>
            </w:tr>
            <w:tr w14:paraId="39996C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49862172">
                  <w:pPr>
                    <w:pStyle w:val="8"/>
                    <w:adjustRightInd w:val="0"/>
                    <w:snapToGrid w:val="0"/>
                    <w:jc w:val="center"/>
                    <w:rPr>
                      <w:szCs w:val="21"/>
                    </w:rPr>
                  </w:pPr>
                  <w:r>
                    <w:rPr>
                      <w:rFonts w:hint="eastAsia"/>
                      <w:szCs w:val="21"/>
                    </w:rPr>
                    <w:t>2</w:t>
                  </w:r>
                </w:p>
              </w:tc>
              <w:tc>
                <w:tcPr>
                  <w:tcW w:w="562" w:type="dxa"/>
                  <w:vMerge w:val="continue"/>
                  <w:vAlign w:val="center"/>
                </w:tcPr>
                <w:p w14:paraId="00D8FD21">
                  <w:pPr>
                    <w:pStyle w:val="8"/>
                    <w:adjustRightInd w:val="0"/>
                    <w:snapToGrid w:val="0"/>
                    <w:jc w:val="center"/>
                    <w:rPr>
                      <w:b/>
                      <w:szCs w:val="21"/>
                    </w:rPr>
                  </w:pPr>
                </w:p>
              </w:tc>
              <w:tc>
                <w:tcPr>
                  <w:tcW w:w="1724" w:type="dxa"/>
                  <w:vAlign w:val="center"/>
                </w:tcPr>
                <w:p w14:paraId="29762857">
                  <w:pPr>
                    <w:pStyle w:val="8"/>
                    <w:adjustRightInd w:val="0"/>
                    <w:snapToGrid w:val="0"/>
                    <w:jc w:val="center"/>
                    <w:rPr>
                      <w:szCs w:val="21"/>
                    </w:rPr>
                  </w:pPr>
                  <w:r>
                    <w:rPr>
                      <w:szCs w:val="21"/>
                    </w:rPr>
                    <w:t>精密切条机（</w:t>
                  </w:r>
                  <w:r>
                    <w:rPr>
                      <w:rFonts w:hint="eastAsia"/>
                      <w:szCs w:val="21"/>
                    </w:rPr>
                    <w:t>3台</w:t>
                  </w:r>
                  <w:r>
                    <w:rPr>
                      <w:szCs w:val="21"/>
                    </w:rPr>
                    <w:t>）</w:t>
                  </w:r>
                </w:p>
              </w:tc>
              <w:tc>
                <w:tcPr>
                  <w:tcW w:w="1239" w:type="dxa"/>
                  <w:vAlign w:val="center"/>
                </w:tcPr>
                <w:p w14:paraId="03920260">
                  <w:pPr>
                    <w:pStyle w:val="8"/>
                    <w:adjustRightInd w:val="0"/>
                    <w:snapToGrid w:val="0"/>
                    <w:jc w:val="center"/>
                    <w:rPr>
                      <w:szCs w:val="21"/>
                    </w:rPr>
                  </w:pPr>
                  <w:r>
                    <w:rPr>
                      <w:rFonts w:hint="eastAsia"/>
                      <w:szCs w:val="21"/>
                    </w:rPr>
                    <w:t>80</w:t>
                  </w:r>
                </w:p>
              </w:tc>
              <w:tc>
                <w:tcPr>
                  <w:tcW w:w="730" w:type="dxa"/>
                  <w:vMerge w:val="continue"/>
                  <w:vAlign w:val="center"/>
                </w:tcPr>
                <w:p w14:paraId="4E1A2846">
                  <w:pPr>
                    <w:pStyle w:val="8"/>
                    <w:adjustRightInd w:val="0"/>
                    <w:snapToGrid w:val="0"/>
                    <w:jc w:val="center"/>
                    <w:rPr>
                      <w:b/>
                      <w:szCs w:val="21"/>
                    </w:rPr>
                  </w:pPr>
                </w:p>
              </w:tc>
              <w:tc>
                <w:tcPr>
                  <w:tcW w:w="1000" w:type="dxa"/>
                  <w:vAlign w:val="center"/>
                </w:tcPr>
                <w:p w14:paraId="54C8BEF2">
                  <w:pPr>
                    <w:adjustRightInd w:val="0"/>
                    <w:snapToGrid w:val="0"/>
                    <w:jc w:val="center"/>
                    <w:rPr>
                      <w:szCs w:val="21"/>
                    </w:rPr>
                  </w:pPr>
                  <w:r>
                    <w:rPr>
                      <w:szCs w:val="21"/>
                    </w:rPr>
                    <w:t>13</w:t>
                  </w:r>
                </w:p>
              </w:tc>
              <w:tc>
                <w:tcPr>
                  <w:tcW w:w="889" w:type="dxa"/>
                  <w:vAlign w:val="center"/>
                </w:tcPr>
                <w:p w14:paraId="328E70E1">
                  <w:pPr>
                    <w:adjustRightInd w:val="0"/>
                    <w:snapToGrid w:val="0"/>
                    <w:jc w:val="center"/>
                    <w:rPr>
                      <w:szCs w:val="21"/>
                    </w:rPr>
                  </w:pPr>
                  <w:r>
                    <w:rPr>
                      <w:szCs w:val="21"/>
                    </w:rPr>
                    <w:t>15</w:t>
                  </w:r>
                </w:p>
              </w:tc>
              <w:tc>
                <w:tcPr>
                  <w:tcW w:w="889" w:type="dxa"/>
                  <w:vAlign w:val="center"/>
                </w:tcPr>
                <w:p w14:paraId="7755A063">
                  <w:pPr>
                    <w:pStyle w:val="8"/>
                    <w:adjustRightInd w:val="0"/>
                    <w:snapToGrid w:val="0"/>
                    <w:jc w:val="center"/>
                    <w:rPr>
                      <w:bCs/>
                      <w:szCs w:val="21"/>
                    </w:rPr>
                  </w:pPr>
                  <w:r>
                    <w:rPr>
                      <w:bCs/>
                      <w:szCs w:val="21"/>
                    </w:rPr>
                    <w:t>8</w:t>
                  </w:r>
                </w:p>
              </w:tc>
              <w:tc>
                <w:tcPr>
                  <w:tcW w:w="1112" w:type="dxa"/>
                  <w:vAlign w:val="center"/>
                </w:tcPr>
                <w:p w14:paraId="7EA8E0F4">
                  <w:pPr>
                    <w:widowControl/>
                    <w:adjustRightInd w:val="0"/>
                    <w:snapToGrid w:val="0"/>
                    <w:jc w:val="center"/>
                    <w:textAlignment w:val="center"/>
                    <w:rPr>
                      <w:bCs/>
                      <w:szCs w:val="21"/>
                    </w:rPr>
                  </w:pPr>
                  <w:r>
                    <w:rPr>
                      <w:bCs/>
                      <w:szCs w:val="21"/>
                    </w:rPr>
                    <w:t>13</w:t>
                  </w:r>
                </w:p>
              </w:tc>
              <w:tc>
                <w:tcPr>
                  <w:tcW w:w="1344" w:type="dxa"/>
                  <w:vAlign w:val="center"/>
                </w:tcPr>
                <w:p w14:paraId="7A2D1F60">
                  <w:pPr>
                    <w:widowControl/>
                    <w:adjustRightInd w:val="0"/>
                    <w:snapToGrid w:val="0"/>
                    <w:jc w:val="center"/>
                    <w:textAlignment w:val="center"/>
                    <w:rPr>
                      <w:kern w:val="0"/>
                      <w:szCs w:val="21"/>
                    </w:rPr>
                  </w:pPr>
                  <w:r>
                    <w:rPr>
                      <w:kern w:val="0"/>
                      <w:szCs w:val="21"/>
                    </w:rPr>
                    <w:t>42.7</w:t>
                  </w:r>
                </w:p>
              </w:tc>
              <w:tc>
                <w:tcPr>
                  <w:tcW w:w="619" w:type="dxa"/>
                  <w:vMerge w:val="continue"/>
                  <w:vAlign w:val="center"/>
                </w:tcPr>
                <w:p w14:paraId="0ED49224">
                  <w:pPr>
                    <w:pStyle w:val="8"/>
                    <w:adjustRightInd w:val="0"/>
                    <w:snapToGrid w:val="0"/>
                    <w:jc w:val="center"/>
                    <w:rPr>
                      <w:b/>
                      <w:szCs w:val="21"/>
                    </w:rPr>
                  </w:pPr>
                </w:p>
              </w:tc>
              <w:tc>
                <w:tcPr>
                  <w:tcW w:w="1180" w:type="dxa"/>
                  <w:vAlign w:val="center"/>
                </w:tcPr>
                <w:p w14:paraId="79F32CFB">
                  <w:pPr>
                    <w:adjustRightInd w:val="0"/>
                    <w:snapToGrid w:val="0"/>
                    <w:jc w:val="center"/>
                    <w:rPr>
                      <w:bCs/>
                      <w:szCs w:val="21"/>
                    </w:rPr>
                  </w:pPr>
                  <w:r>
                    <w:rPr>
                      <w:bCs/>
                      <w:szCs w:val="21"/>
                    </w:rPr>
                    <w:t>25</w:t>
                  </w:r>
                </w:p>
              </w:tc>
              <w:tc>
                <w:tcPr>
                  <w:tcW w:w="969" w:type="dxa"/>
                  <w:vMerge w:val="continue"/>
                  <w:vAlign w:val="center"/>
                </w:tcPr>
                <w:p w14:paraId="59FCFD8A">
                  <w:pPr>
                    <w:pStyle w:val="8"/>
                    <w:adjustRightInd w:val="0"/>
                    <w:snapToGrid w:val="0"/>
                    <w:jc w:val="center"/>
                    <w:rPr>
                      <w:b/>
                      <w:szCs w:val="21"/>
                    </w:rPr>
                  </w:pPr>
                </w:p>
              </w:tc>
              <w:tc>
                <w:tcPr>
                  <w:tcW w:w="1027" w:type="dxa"/>
                  <w:gridSpan w:val="2"/>
                  <w:vMerge w:val="continue"/>
                  <w:vAlign w:val="center"/>
                </w:tcPr>
                <w:p w14:paraId="5EDDE36C">
                  <w:pPr>
                    <w:pStyle w:val="8"/>
                    <w:adjustRightInd w:val="0"/>
                    <w:snapToGrid w:val="0"/>
                    <w:jc w:val="center"/>
                    <w:rPr>
                      <w:b/>
                      <w:szCs w:val="21"/>
                    </w:rPr>
                  </w:pPr>
                </w:p>
              </w:tc>
            </w:tr>
            <w:tr w14:paraId="386306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50" w:type="dxa"/>
                  <w:vAlign w:val="center"/>
                </w:tcPr>
                <w:p w14:paraId="4523DF21">
                  <w:pPr>
                    <w:pStyle w:val="8"/>
                    <w:adjustRightInd w:val="0"/>
                    <w:snapToGrid w:val="0"/>
                    <w:jc w:val="center"/>
                    <w:rPr>
                      <w:szCs w:val="21"/>
                    </w:rPr>
                  </w:pPr>
                  <w:r>
                    <w:rPr>
                      <w:rFonts w:hint="eastAsia"/>
                      <w:szCs w:val="21"/>
                    </w:rPr>
                    <w:t>3</w:t>
                  </w:r>
                </w:p>
              </w:tc>
              <w:tc>
                <w:tcPr>
                  <w:tcW w:w="562" w:type="dxa"/>
                  <w:vMerge w:val="continue"/>
                  <w:vAlign w:val="center"/>
                </w:tcPr>
                <w:p w14:paraId="0F6BBAA8">
                  <w:pPr>
                    <w:pStyle w:val="8"/>
                    <w:adjustRightInd w:val="0"/>
                    <w:snapToGrid w:val="0"/>
                    <w:jc w:val="center"/>
                    <w:rPr>
                      <w:b/>
                      <w:szCs w:val="21"/>
                    </w:rPr>
                  </w:pPr>
                </w:p>
              </w:tc>
              <w:tc>
                <w:tcPr>
                  <w:tcW w:w="1724" w:type="dxa"/>
                  <w:vAlign w:val="center"/>
                </w:tcPr>
                <w:p w14:paraId="324A6103">
                  <w:pPr>
                    <w:snapToGrid w:val="0"/>
                    <w:jc w:val="center"/>
                    <w:rPr>
                      <w:szCs w:val="21"/>
                    </w:rPr>
                  </w:pPr>
                  <w:r>
                    <w:rPr>
                      <w:szCs w:val="21"/>
                    </w:rPr>
                    <w:t>立式注射机（</w:t>
                  </w:r>
                  <w:r>
                    <w:rPr>
                      <w:rFonts w:hint="eastAsia"/>
                      <w:szCs w:val="21"/>
                    </w:rPr>
                    <w:t>5台</w:t>
                  </w:r>
                  <w:r>
                    <w:rPr>
                      <w:szCs w:val="21"/>
                    </w:rPr>
                    <w:t>）</w:t>
                  </w:r>
                </w:p>
              </w:tc>
              <w:tc>
                <w:tcPr>
                  <w:tcW w:w="1239" w:type="dxa"/>
                  <w:vAlign w:val="center"/>
                </w:tcPr>
                <w:p w14:paraId="6CADA9BD">
                  <w:pPr>
                    <w:pStyle w:val="8"/>
                    <w:adjustRightInd w:val="0"/>
                    <w:snapToGrid w:val="0"/>
                    <w:jc w:val="center"/>
                    <w:rPr>
                      <w:szCs w:val="21"/>
                    </w:rPr>
                  </w:pPr>
                  <w:r>
                    <w:rPr>
                      <w:rFonts w:hint="eastAsia"/>
                      <w:szCs w:val="21"/>
                    </w:rPr>
                    <w:t>85</w:t>
                  </w:r>
                </w:p>
              </w:tc>
              <w:tc>
                <w:tcPr>
                  <w:tcW w:w="730" w:type="dxa"/>
                  <w:vMerge w:val="continue"/>
                  <w:vAlign w:val="center"/>
                </w:tcPr>
                <w:p w14:paraId="0B0A2583">
                  <w:pPr>
                    <w:pStyle w:val="8"/>
                    <w:adjustRightInd w:val="0"/>
                    <w:snapToGrid w:val="0"/>
                    <w:jc w:val="center"/>
                    <w:rPr>
                      <w:b/>
                      <w:szCs w:val="21"/>
                    </w:rPr>
                  </w:pPr>
                </w:p>
              </w:tc>
              <w:tc>
                <w:tcPr>
                  <w:tcW w:w="1000" w:type="dxa"/>
                  <w:vAlign w:val="center"/>
                </w:tcPr>
                <w:p w14:paraId="5177BEAF">
                  <w:pPr>
                    <w:adjustRightInd w:val="0"/>
                    <w:snapToGrid w:val="0"/>
                    <w:jc w:val="center"/>
                    <w:rPr>
                      <w:szCs w:val="21"/>
                    </w:rPr>
                  </w:pPr>
                  <w:r>
                    <w:rPr>
                      <w:szCs w:val="21"/>
                    </w:rPr>
                    <w:t>24</w:t>
                  </w:r>
                </w:p>
              </w:tc>
              <w:tc>
                <w:tcPr>
                  <w:tcW w:w="889" w:type="dxa"/>
                  <w:vAlign w:val="center"/>
                </w:tcPr>
                <w:p w14:paraId="6F92F362">
                  <w:pPr>
                    <w:adjustRightInd w:val="0"/>
                    <w:snapToGrid w:val="0"/>
                    <w:jc w:val="center"/>
                    <w:rPr>
                      <w:szCs w:val="21"/>
                    </w:rPr>
                  </w:pPr>
                  <w:r>
                    <w:rPr>
                      <w:szCs w:val="21"/>
                    </w:rPr>
                    <w:t>19</w:t>
                  </w:r>
                </w:p>
              </w:tc>
              <w:tc>
                <w:tcPr>
                  <w:tcW w:w="889" w:type="dxa"/>
                  <w:vAlign w:val="center"/>
                </w:tcPr>
                <w:p w14:paraId="427D592D">
                  <w:pPr>
                    <w:pStyle w:val="8"/>
                    <w:adjustRightInd w:val="0"/>
                    <w:snapToGrid w:val="0"/>
                    <w:jc w:val="center"/>
                    <w:rPr>
                      <w:bCs/>
                      <w:szCs w:val="21"/>
                    </w:rPr>
                  </w:pPr>
                  <w:r>
                    <w:rPr>
                      <w:bCs/>
                      <w:szCs w:val="21"/>
                    </w:rPr>
                    <w:t>8</w:t>
                  </w:r>
                </w:p>
              </w:tc>
              <w:tc>
                <w:tcPr>
                  <w:tcW w:w="1112" w:type="dxa"/>
                  <w:vAlign w:val="center"/>
                </w:tcPr>
                <w:p w14:paraId="1F21455B">
                  <w:pPr>
                    <w:widowControl/>
                    <w:adjustRightInd w:val="0"/>
                    <w:snapToGrid w:val="0"/>
                    <w:jc w:val="center"/>
                    <w:textAlignment w:val="center"/>
                    <w:rPr>
                      <w:bCs/>
                      <w:szCs w:val="21"/>
                    </w:rPr>
                  </w:pPr>
                  <w:r>
                    <w:rPr>
                      <w:bCs/>
                      <w:szCs w:val="21"/>
                    </w:rPr>
                    <w:t>17</w:t>
                  </w:r>
                </w:p>
              </w:tc>
              <w:tc>
                <w:tcPr>
                  <w:tcW w:w="1344" w:type="dxa"/>
                  <w:vAlign w:val="center"/>
                </w:tcPr>
                <w:p w14:paraId="20FAC6E0">
                  <w:pPr>
                    <w:widowControl/>
                    <w:adjustRightInd w:val="0"/>
                    <w:snapToGrid w:val="0"/>
                    <w:jc w:val="center"/>
                    <w:textAlignment w:val="center"/>
                    <w:rPr>
                      <w:kern w:val="0"/>
                      <w:szCs w:val="21"/>
                    </w:rPr>
                  </w:pPr>
                  <w:r>
                    <w:rPr>
                      <w:kern w:val="0"/>
                      <w:szCs w:val="21"/>
                    </w:rPr>
                    <w:t>57.2</w:t>
                  </w:r>
                </w:p>
              </w:tc>
              <w:tc>
                <w:tcPr>
                  <w:tcW w:w="619" w:type="dxa"/>
                  <w:vMerge w:val="continue"/>
                  <w:vAlign w:val="center"/>
                </w:tcPr>
                <w:p w14:paraId="7AA756B3">
                  <w:pPr>
                    <w:pStyle w:val="8"/>
                    <w:adjustRightInd w:val="0"/>
                    <w:snapToGrid w:val="0"/>
                    <w:jc w:val="center"/>
                    <w:rPr>
                      <w:b/>
                      <w:szCs w:val="21"/>
                    </w:rPr>
                  </w:pPr>
                </w:p>
              </w:tc>
              <w:tc>
                <w:tcPr>
                  <w:tcW w:w="1180" w:type="dxa"/>
                  <w:vAlign w:val="center"/>
                </w:tcPr>
                <w:p w14:paraId="1F853C55">
                  <w:pPr>
                    <w:adjustRightInd w:val="0"/>
                    <w:snapToGrid w:val="0"/>
                    <w:jc w:val="center"/>
                    <w:rPr>
                      <w:bCs/>
                      <w:szCs w:val="21"/>
                    </w:rPr>
                  </w:pPr>
                  <w:r>
                    <w:rPr>
                      <w:bCs/>
                      <w:szCs w:val="21"/>
                    </w:rPr>
                    <w:t>25</w:t>
                  </w:r>
                </w:p>
              </w:tc>
              <w:tc>
                <w:tcPr>
                  <w:tcW w:w="969" w:type="dxa"/>
                  <w:vMerge w:val="continue"/>
                  <w:vAlign w:val="center"/>
                </w:tcPr>
                <w:p w14:paraId="2C6BCDAA">
                  <w:pPr>
                    <w:pStyle w:val="8"/>
                    <w:adjustRightInd w:val="0"/>
                    <w:snapToGrid w:val="0"/>
                    <w:jc w:val="center"/>
                    <w:rPr>
                      <w:b/>
                      <w:szCs w:val="21"/>
                    </w:rPr>
                  </w:pPr>
                </w:p>
              </w:tc>
              <w:tc>
                <w:tcPr>
                  <w:tcW w:w="1027" w:type="dxa"/>
                  <w:gridSpan w:val="2"/>
                  <w:vMerge w:val="continue"/>
                  <w:vAlign w:val="center"/>
                </w:tcPr>
                <w:p w14:paraId="1DEF9212">
                  <w:pPr>
                    <w:pStyle w:val="8"/>
                    <w:adjustRightInd w:val="0"/>
                    <w:snapToGrid w:val="0"/>
                    <w:jc w:val="center"/>
                    <w:rPr>
                      <w:b/>
                      <w:szCs w:val="21"/>
                    </w:rPr>
                  </w:pPr>
                </w:p>
              </w:tc>
            </w:tr>
            <w:tr w14:paraId="4ADD2F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742FC70B">
                  <w:pPr>
                    <w:pStyle w:val="8"/>
                    <w:adjustRightInd w:val="0"/>
                    <w:snapToGrid w:val="0"/>
                    <w:jc w:val="center"/>
                    <w:rPr>
                      <w:szCs w:val="21"/>
                    </w:rPr>
                  </w:pPr>
                  <w:r>
                    <w:rPr>
                      <w:rFonts w:hint="eastAsia"/>
                      <w:szCs w:val="21"/>
                    </w:rPr>
                    <w:t>4</w:t>
                  </w:r>
                </w:p>
              </w:tc>
              <w:tc>
                <w:tcPr>
                  <w:tcW w:w="562" w:type="dxa"/>
                  <w:vMerge w:val="continue"/>
                  <w:vAlign w:val="center"/>
                </w:tcPr>
                <w:p w14:paraId="4FA9EEDE">
                  <w:pPr>
                    <w:pStyle w:val="8"/>
                    <w:adjustRightInd w:val="0"/>
                    <w:snapToGrid w:val="0"/>
                    <w:jc w:val="center"/>
                    <w:rPr>
                      <w:b/>
                      <w:szCs w:val="21"/>
                    </w:rPr>
                  </w:pPr>
                </w:p>
              </w:tc>
              <w:tc>
                <w:tcPr>
                  <w:tcW w:w="1724" w:type="dxa"/>
                  <w:vAlign w:val="center"/>
                </w:tcPr>
                <w:p w14:paraId="7B93E9E5">
                  <w:pPr>
                    <w:snapToGrid w:val="0"/>
                    <w:jc w:val="center"/>
                    <w:rPr>
                      <w:szCs w:val="21"/>
                    </w:rPr>
                  </w:pPr>
                  <w:r>
                    <w:rPr>
                      <w:szCs w:val="21"/>
                    </w:rPr>
                    <w:t>卧式注射机（</w:t>
                  </w:r>
                  <w:r>
                    <w:rPr>
                      <w:rFonts w:hint="eastAsia"/>
                      <w:szCs w:val="21"/>
                    </w:rPr>
                    <w:t>14台</w:t>
                  </w:r>
                  <w:r>
                    <w:rPr>
                      <w:szCs w:val="21"/>
                    </w:rPr>
                    <w:t>）</w:t>
                  </w:r>
                </w:p>
              </w:tc>
              <w:tc>
                <w:tcPr>
                  <w:tcW w:w="1239" w:type="dxa"/>
                  <w:vAlign w:val="center"/>
                </w:tcPr>
                <w:p w14:paraId="034DD9EC">
                  <w:pPr>
                    <w:pStyle w:val="8"/>
                    <w:adjustRightInd w:val="0"/>
                    <w:snapToGrid w:val="0"/>
                    <w:jc w:val="center"/>
                    <w:rPr>
                      <w:szCs w:val="21"/>
                    </w:rPr>
                  </w:pPr>
                  <w:r>
                    <w:rPr>
                      <w:rFonts w:hint="eastAsia"/>
                      <w:szCs w:val="21"/>
                    </w:rPr>
                    <w:t>88</w:t>
                  </w:r>
                </w:p>
              </w:tc>
              <w:tc>
                <w:tcPr>
                  <w:tcW w:w="730" w:type="dxa"/>
                  <w:vMerge w:val="continue"/>
                  <w:vAlign w:val="center"/>
                </w:tcPr>
                <w:p w14:paraId="3B630378">
                  <w:pPr>
                    <w:pStyle w:val="8"/>
                    <w:adjustRightInd w:val="0"/>
                    <w:snapToGrid w:val="0"/>
                    <w:jc w:val="center"/>
                    <w:rPr>
                      <w:b/>
                      <w:szCs w:val="21"/>
                    </w:rPr>
                  </w:pPr>
                </w:p>
              </w:tc>
              <w:tc>
                <w:tcPr>
                  <w:tcW w:w="1000" w:type="dxa"/>
                  <w:vAlign w:val="center"/>
                </w:tcPr>
                <w:p w14:paraId="1D5672F0">
                  <w:pPr>
                    <w:adjustRightInd w:val="0"/>
                    <w:snapToGrid w:val="0"/>
                    <w:jc w:val="center"/>
                    <w:rPr>
                      <w:szCs w:val="21"/>
                    </w:rPr>
                  </w:pPr>
                  <w:r>
                    <w:rPr>
                      <w:szCs w:val="21"/>
                    </w:rPr>
                    <w:t>19</w:t>
                  </w:r>
                </w:p>
              </w:tc>
              <w:tc>
                <w:tcPr>
                  <w:tcW w:w="889" w:type="dxa"/>
                  <w:vAlign w:val="center"/>
                </w:tcPr>
                <w:p w14:paraId="5AD07C1C">
                  <w:pPr>
                    <w:adjustRightInd w:val="0"/>
                    <w:snapToGrid w:val="0"/>
                    <w:jc w:val="center"/>
                    <w:rPr>
                      <w:szCs w:val="21"/>
                    </w:rPr>
                  </w:pPr>
                  <w:r>
                    <w:rPr>
                      <w:szCs w:val="21"/>
                    </w:rPr>
                    <w:t>12</w:t>
                  </w:r>
                </w:p>
              </w:tc>
              <w:tc>
                <w:tcPr>
                  <w:tcW w:w="889" w:type="dxa"/>
                  <w:vAlign w:val="center"/>
                </w:tcPr>
                <w:p w14:paraId="524993DB">
                  <w:pPr>
                    <w:pStyle w:val="8"/>
                    <w:adjustRightInd w:val="0"/>
                    <w:snapToGrid w:val="0"/>
                    <w:jc w:val="center"/>
                    <w:rPr>
                      <w:bCs/>
                      <w:szCs w:val="21"/>
                    </w:rPr>
                  </w:pPr>
                  <w:r>
                    <w:rPr>
                      <w:bCs/>
                      <w:szCs w:val="21"/>
                    </w:rPr>
                    <w:t>0</w:t>
                  </w:r>
                </w:p>
              </w:tc>
              <w:tc>
                <w:tcPr>
                  <w:tcW w:w="1112" w:type="dxa"/>
                  <w:vAlign w:val="center"/>
                </w:tcPr>
                <w:p w14:paraId="21B2156A">
                  <w:pPr>
                    <w:widowControl/>
                    <w:adjustRightInd w:val="0"/>
                    <w:snapToGrid w:val="0"/>
                    <w:jc w:val="center"/>
                    <w:textAlignment w:val="center"/>
                    <w:rPr>
                      <w:bCs/>
                      <w:szCs w:val="21"/>
                    </w:rPr>
                  </w:pPr>
                  <w:r>
                    <w:rPr>
                      <w:bCs/>
                      <w:szCs w:val="21"/>
                    </w:rPr>
                    <w:t>12</w:t>
                  </w:r>
                </w:p>
              </w:tc>
              <w:tc>
                <w:tcPr>
                  <w:tcW w:w="1344" w:type="dxa"/>
                  <w:vAlign w:val="center"/>
                </w:tcPr>
                <w:p w14:paraId="153012C9">
                  <w:pPr>
                    <w:widowControl/>
                    <w:adjustRightInd w:val="0"/>
                    <w:snapToGrid w:val="0"/>
                    <w:jc w:val="center"/>
                    <w:textAlignment w:val="center"/>
                    <w:rPr>
                      <w:kern w:val="0"/>
                      <w:szCs w:val="21"/>
                    </w:rPr>
                  </w:pPr>
                  <w:r>
                    <w:rPr>
                      <w:kern w:val="0"/>
                      <w:szCs w:val="21"/>
                    </w:rPr>
                    <w:t>52.8</w:t>
                  </w:r>
                </w:p>
              </w:tc>
              <w:tc>
                <w:tcPr>
                  <w:tcW w:w="619" w:type="dxa"/>
                  <w:vMerge w:val="continue"/>
                  <w:vAlign w:val="center"/>
                </w:tcPr>
                <w:p w14:paraId="39246970">
                  <w:pPr>
                    <w:pStyle w:val="8"/>
                    <w:adjustRightInd w:val="0"/>
                    <w:snapToGrid w:val="0"/>
                    <w:jc w:val="center"/>
                    <w:rPr>
                      <w:b/>
                      <w:szCs w:val="21"/>
                    </w:rPr>
                  </w:pPr>
                </w:p>
              </w:tc>
              <w:tc>
                <w:tcPr>
                  <w:tcW w:w="1180" w:type="dxa"/>
                  <w:vAlign w:val="center"/>
                </w:tcPr>
                <w:p w14:paraId="35034967">
                  <w:pPr>
                    <w:adjustRightInd w:val="0"/>
                    <w:snapToGrid w:val="0"/>
                    <w:jc w:val="center"/>
                    <w:rPr>
                      <w:bCs/>
                      <w:szCs w:val="21"/>
                    </w:rPr>
                  </w:pPr>
                  <w:r>
                    <w:rPr>
                      <w:bCs/>
                      <w:szCs w:val="21"/>
                    </w:rPr>
                    <w:t>25</w:t>
                  </w:r>
                </w:p>
              </w:tc>
              <w:tc>
                <w:tcPr>
                  <w:tcW w:w="969" w:type="dxa"/>
                  <w:vMerge w:val="continue"/>
                  <w:vAlign w:val="center"/>
                </w:tcPr>
                <w:p w14:paraId="43C04B5E">
                  <w:pPr>
                    <w:pStyle w:val="8"/>
                    <w:adjustRightInd w:val="0"/>
                    <w:snapToGrid w:val="0"/>
                    <w:jc w:val="center"/>
                    <w:rPr>
                      <w:b/>
                      <w:szCs w:val="21"/>
                    </w:rPr>
                  </w:pPr>
                </w:p>
              </w:tc>
              <w:tc>
                <w:tcPr>
                  <w:tcW w:w="1027" w:type="dxa"/>
                  <w:gridSpan w:val="2"/>
                  <w:vMerge w:val="continue"/>
                  <w:vAlign w:val="center"/>
                </w:tcPr>
                <w:p w14:paraId="1DB7103D">
                  <w:pPr>
                    <w:pStyle w:val="8"/>
                    <w:adjustRightInd w:val="0"/>
                    <w:snapToGrid w:val="0"/>
                    <w:jc w:val="center"/>
                    <w:rPr>
                      <w:b/>
                      <w:szCs w:val="21"/>
                    </w:rPr>
                  </w:pPr>
                </w:p>
              </w:tc>
            </w:tr>
            <w:tr w14:paraId="4C2A19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66A70AD1">
                  <w:pPr>
                    <w:pStyle w:val="8"/>
                    <w:adjustRightInd w:val="0"/>
                    <w:snapToGrid w:val="0"/>
                    <w:jc w:val="center"/>
                    <w:rPr>
                      <w:szCs w:val="21"/>
                    </w:rPr>
                  </w:pPr>
                  <w:r>
                    <w:rPr>
                      <w:rFonts w:hint="eastAsia"/>
                      <w:szCs w:val="21"/>
                    </w:rPr>
                    <w:t>5</w:t>
                  </w:r>
                </w:p>
              </w:tc>
              <w:tc>
                <w:tcPr>
                  <w:tcW w:w="562" w:type="dxa"/>
                  <w:vMerge w:val="continue"/>
                  <w:vAlign w:val="center"/>
                </w:tcPr>
                <w:p w14:paraId="30133425">
                  <w:pPr>
                    <w:pStyle w:val="8"/>
                    <w:adjustRightInd w:val="0"/>
                    <w:snapToGrid w:val="0"/>
                    <w:jc w:val="center"/>
                    <w:rPr>
                      <w:b/>
                      <w:szCs w:val="21"/>
                    </w:rPr>
                  </w:pPr>
                </w:p>
              </w:tc>
              <w:tc>
                <w:tcPr>
                  <w:tcW w:w="1724" w:type="dxa"/>
                  <w:vAlign w:val="center"/>
                </w:tcPr>
                <w:p w14:paraId="2783E3F4">
                  <w:pPr>
                    <w:pStyle w:val="8"/>
                    <w:adjustRightInd w:val="0"/>
                    <w:snapToGrid w:val="0"/>
                    <w:jc w:val="center"/>
                    <w:rPr>
                      <w:szCs w:val="21"/>
                    </w:rPr>
                  </w:pPr>
                  <w:r>
                    <w:rPr>
                      <w:szCs w:val="21"/>
                    </w:rPr>
                    <w:t>冷冻去边机（</w:t>
                  </w:r>
                  <w:r>
                    <w:rPr>
                      <w:rFonts w:hint="eastAsia"/>
                      <w:szCs w:val="21"/>
                    </w:rPr>
                    <w:t>3台</w:t>
                  </w:r>
                  <w:r>
                    <w:rPr>
                      <w:szCs w:val="21"/>
                    </w:rPr>
                    <w:t>）</w:t>
                  </w:r>
                </w:p>
              </w:tc>
              <w:tc>
                <w:tcPr>
                  <w:tcW w:w="1239" w:type="dxa"/>
                  <w:vAlign w:val="center"/>
                </w:tcPr>
                <w:p w14:paraId="2A2E686A">
                  <w:pPr>
                    <w:pStyle w:val="8"/>
                    <w:adjustRightInd w:val="0"/>
                    <w:snapToGrid w:val="0"/>
                    <w:jc w:val="center"/>
                    <w:rPr>
                      <w:szCs w:val="21"/>
                    </w:rPr>
                  </w:pPr>
                  <w:r>
                    <w:rPr>
                      <w:rFonts w:hint="eastAsia"/>
                      <w:szCs w:val="21"/>
                    </w:rPr>
                    <w:t>75</w:t>
                  </w:r>
                </w:p>
              </w:tc>
              <w:tc>
                <w:tcPr>
                  <w:tcW w:w="730" w:type="dxa"/>
                  <w:vMerge w:val="continue"/>
                  <w:vAlign w:val="center"/>
                </w:tcPr>
                <w:p w14:paraId="6E768976">
                  <w:pPr>
                    <w:pStyle w:val="8"/>
                    <w:adjustRightInd w:val="0"/>
                    <w:snapToGrid w:val="0"/>
                    <w:jc w:val="center"/>
                    <w:rPr>
                      <w:b/>
                      <w:szCs w:val="21"/>
                    </w:rPr>
                  </w:pPr>
                </w:p>
              </w:tc>
              <w:tc>
                <w:tcPr>
                  <w:tcW w:w="1000" w:type="dxa"/>
                  <w:vAlign w:val="center"/>
                </w:tcPr>
                <w:p w14:paraId="236C70C4">
                  <w:pPr>
                    <w:adjustRightInd w:val="0"/>
                    <w:snapToGrid w:val="0"/>
                    <w:jc w:val="center"/>
                    <w:rPr>
                      <w:szCs w:val="21"/>
                    </w:rPr>
                  </w:pPr>
                  <w:r>
                    <w:rPr>
                      <w:szCs w:val="21"/>
                    </w:rPr>
                    <w:t>21</w:t>
                  </w:r>
                </w:p>
              </w:tc>
              <w:tc>
                <w:tcPr>
                  <w:tcW w:w="889" w:type="dxa"/>
                  <w:vAlign w:val="center"/>
                </w:tcPr>
                <w:p w14:paraId="25093D40">
                  <w:pPr>
                    <w:adjustRightInd w:val="0"/>
                    <w:snapToGrid w:val="0"/>
                    <w:jc w:val="center"/>
                    <w:rPr>
                      <w:szCs w:val="21"/>
                    </w:rPr>
                  </w:pPr>
                  <w:r>
                    <w:rPr>
                      <w:szCs w:val="21"/>
                    </w:rPr>
                    <w:t>19</w:t>
                  </w:r>
                </w:p>
              </w:tc>
              <w:tc>
                <w:tcPr>
                  <w:tcW w:w="889" w:type="dxa"/>
                  <w:vAlign w:val="center"/>
                </w:tcPr>
                <w:p w14:paraId="43EDA436">
                  <w:pPr>
                    <w:pStyle w:val="8"/>
                    <w:adjustRightInd w:val="0"/>
                    <w:snapToGrid w:val="0"/>
                    <w:jc w:val="center"/>
                    <w:rPr>
                      <w:bCs/>
                      <w:szCs w:val="21"/>
                    </w:rPr>
                  </w:pPr>
                  <w:r>
                    <w:rPr>
                      <w:bCs/>
                      <w:szCs w:val="21"/>
                    </w:rPr>
                    <w:t>0</w:t>
                  </w:r>
                </w:p>
              </w:tc>
              <w:tc>
                <w:tcPr>
                  <w:tcW w:w="1112" w:type="dxa"/>
                  <w:vAlign w:val="center"/>
                </w:tcPr>
                <w:p w14:paraId="2B3A800A">
                  <w:pPr>
                    <w:widowControl/>
                    <w:adjustRightInd w:val="0"/>
                    <w:snapToGrid w:val="0"/>
                    <w:jc w:val="center"/>
                    <w:textAlignment w:val="center"/>
                    <w:rPr>
                      <w:kern w:val="0"/>
                      <w:szCs w:val="21"/>
                    </w:rPr>
                  </w:pPr>
                  <w:r>
                    <w:rPr>
                      <w:kern w:val="0"/>
                      <w:szCs w:val="21"/>
                    </w:rPr>
                    <w:t>19</w:t>
                  </w:r>
                </w:p>
              </w:tc>
              <w:tc>
                <w:tcPr>
                  <w:tcW w:w="1344" w:type="dxa"/>
                  <w:vAlign w:val="center"/>
                </w:tcPr>
                <w:p w14:paraId="42DBBD9D">
                  <w:pPr>
                    <w:widowControl/>
                    <w:adjustRightInd w:val="0"/>
                    <w:snapToGrid w:val="0"/>
                    <w:jc w:val="center"/>
                    <w:textAlignment w:val="center"/>
                    <w:rPr>
                      <w:kern w:val="0"/>
                      <w:szCs w:val="21"/>
                    </w:rPr>
                  </w:pPr>
                  <w:r>
                    <w:rPr>
                      <w:kern w:val="0"/>
                      <w:szCs w:val="21"/>
                    </w:rPr>
                    <w:t>47.0</w:t>
                  </w:r>
                </w:p>
              </w:tc>
              <w:tc>
                <w:tcPr>
                  <w:tcW w:w="619" w:type="dxa"/>
                  <w:vMerge w:val="continue"/>
                  <w:vAlign w:val="center"/>
                </w:tcPr>
                <w:p w14:paraId="63DCEAC1">
                  <w:pPr>
                    <w:pStyle w:val="8"/>
                    <w:adjustRightInd w:val="0"/>
                    <w:snapToGrid w:val="0"/>
                    <w:jc w:val="center"/>
                    <w:rPr>
                      <w:b/>
                      <w:szCs w:val="21"/>
                    </w:rPr>
                  </w:pPr>
                </w:p>
              </w:tc>
              <w:tc>
                <w:tcPr>
                  <w:tcW w:w="1180" w:type="dxa"/>
                  <w:vAlign w:val="center"/>
                </w:tcPr>
                <w:p w14:paraId="47F2887E">
                  <w:pPr>
                    <w:adjustRightInd w:val="0"/>
                    <w:snapToGrid w:val="0"/>
                    <w:jc w:val="center"/>
                    <w:rPr>
                      <w:bCs/>
                      <w:szCs w:val="21"/>
                    </w:rPr>
                  </w:pPr>
                  <w:r>
                    <w:rPr>
                      <w:bCs/>
                      <w:szCs w:val="21"/>
                    </w:rPr>
                    <w:t>25</w:t>
                  </w:r>
                </w:p>
              </w:tc>
              <w:tc>
                <w:tcPr>
                  <w:tcW w:w="969" w:type="dxa"/>
                  <w:vMerge w:val="continue"/>
                  <w:vAlign w:val="center"/>
                </w:tcPr>
                <w:p w14:paraId="7E41BDD0">
                  <w:pPr>
                    <w:pStyle w:val="8"/>
                    <w:adjustRightInd w:val="0"/>
                    <w:snapToGrid w:val="0"/>
                    <w:jc w:val="center"/>
                    <w:rPr>
                      <w:b/>
                      <w:szCs w:val="21"/>
                    </w:rPr>
                  </w:pPr>
                </w:p>
              </w:tc>
              <w:tc>
                <w:tcPr>
                  <w:tcW w:w="1027" w:type="dxa"/>
                  <w:gridSpan w:val="2"/>
                  <w:vMerge w:val="continue"/>
                  <w:vAlign w:val="center"/>
                </w:tcPr>
                <w:p w14:paraId="24FB01B1">
                  <w:pPr>
                    <w:pStyle w:val="8"/>
                    <w:adjustRightInd w:val="0"/>
                    <w:snapToGrid w:val="0"/>
                    <w:jc w:val="center"/>
                    <w:rPr>
                      <w:b/>
                      <w:szCs w:val="21"/>
                    </w:rPr>
                  </w:pPr>
                </w:p>
              </w:tc>
            </w:tr>
            <w:tr w14:paraId="068B68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28046D34">
                  <w:pPr>
                    <w:pStyle w:val="8"/>
                    <w:adjustRightInd w:val="0"/>
                    <w:snapToGrid w:val="0"/>
                    <w:jc w:val="center"/>
                    <w:rPr>
                      <w:szCs w:val="21"/>
                    </w:rPr>
                  </w:pPr>
                  <w:r>
                    <w:rPr>
                      <w:rFonts w:hint="eastAsia"/>
                      <w:szCs w:val="21"/>
                    </w:rPr>
                    <w:t>6</w:t>
                  </w:r>
                </w:p>
              </w:tc>
              <w:tc>
                <w:tcPr>
                  <w:tcW w:w="562" w:type="dxa"/>
                  <w:vMerge w:val="restart"/>
                  <w:vAlign w:val="center"/>
                </w:tcPr>
                <w:p w14:paraId="51BB2621">
                  <w:pPr>
                    <w:pStyle w:val="8"/>
                    <w:adjustRightInd w:val="0"/>
                    <w:snapToGrid w:val="0"/>
                    <w:jc w:val="center"/>
                    <w:rPr>
                      <w:szCs w:val="21"/>
                    </w:rPr>
                  </w:pPr>
                  <w:r>
                    <w:rPr>
                      <w:rFonts w:hint="eastAsia"/>
                      <w:szCs w:val="21"/>
                    </w:rPr>
                    <w:t>3#车间</w:t>
                  </w:r>
                </w:p>
              </w:tc>
              <w:tc>
                <w:tcPr>
                  <w:tcW w:w="1724" w:type="dxa"/>
                  <w:vAlign w:val="center"/>
                </w:tcPr>
                <w:p w14:paraId="1B2B51EB">
                  <w:pPr>
                    <w:pStyle w:val="8"/>
                    <w:adjustRightInd w:val="0"/>
                    <w:snapToGrid w:val="0"/>
                    <w:jc w:val="center"/>
                    <w:rPr>
                      <w:szCs w:val="21"/>
                    </w:rPr>
                  </w:pPr>
                  <w:r>
                    <w:rPr>
                      <w:szCs w:val="21"/>
                    </w:rPr>
                    <w:t>切胶机（</w:t>
                  </w:r>
                  <w:r>
                    <w:rPr>
                      <w:rFonts w:hint="eastAsia"/>
                      <w:szCs w:val="21"/>
                    </w:rPr>
                    <w:t>1台</w:t>
                  </w:r>
                  <w:r>
                    <w:rPr>
                      <w:szCs w:val="21"/>
                    </w:rPr>
                    <w:t>）</w:t>
                  </w:r>
                </w:p>
              </w:tc>
              <w:tc>
                <w:tcPr>
                  <w:tcW w:w="1239" w:type="dxa"/>
                  <w:vAlign w:val="center"/>
                </w:tcPr>
                <w:p w14:paraId="2C057BB3">
                  <w:pPr>
                    <w:pStyle w:val="8"/>
                    <w:adjustRightInd w:val="0"/>
                    <w:snapToGrid w:val="0"/>
                    <w:jc w:val="center"/>
                    <w:rPr>
                      <w:szCs w:val="21"/>
                    </w:rPr>
                  </w:pPr>
                  <w:r>
                    <w:rPr>
                      <w:rFonts w:hint="eastAsia"/>
                      <w:szCs w:val="21"/>
                    </w:rPr>
                    <w:t>80</w:t>
                  </w:r>
                </w:p>
              </w:tc>
              <w:tc>
                <w:tcPr>
                  <w:tcW w:w="730" w:type="dxa"/>
                  <w:vMerge w:val="continue"/>
                  <w:vAlign w:val="center"/>
                </w:tcPr>
                <w:p w14:paraId="6DB8CFFF">
                  <w:pPr>
                    <w:pStyle w:val="8"/>
                    <w:adjustRightInd w:val="0"/>
                    <w:snapToGrid w:val="0"/>
                    <w:jc w:val="center"/>
                    <w:rPr>
                      <w:b/>
                      <w:szCs w:val="21"/>
                    </w:rPr>
                  </w:pPr>
                </w:p>
              </w:tc>
              <w:tc>
                <w:tcPr>
                  <w:tcW w:w="1000" w:type="dxa"/>
                  <w:vAlign w:val="center"/>
                </w:tcPr>
                <w:p w14:paraId="5D31363B">
                  <w:pPr>
                    <w:adjustRightInd w:val="0"/>
                    <w:snapToGrid w:val="0"/>
                    <w:jc w:val="center"/>
                    <w:rPr>
                      <w:szCs w:val="21"/>
                    </w:rPr>
                  </w:pPr>
                  <w:r>
                    <w:rPr>
                      <w:szCs w:val="21"/>
                    </w:rPr>
                    <w:t>19</w:t>
                  </w:r>
                </w:p>
              </w:tc>
              <w:tc>
                <w:tcPr>
                  <w:tcW w:w="889" w:type="dxa"/>
                  <w:vAlign w:val="center"/>
                </w:tcPr>
                <w:p w14:paraId="173BBB72">
                  <w:pPr>
                    <w:adjustRightInd w:val="0"/>
                    <w:snapToGrid w:val="0"/>
                    <w:jc w:val="center"/>
                    <w:rPr>
                      <w:szCs w:val="21"/>
                    </w:rPr>
                  </w:pPr>
                  <w:r>
                    <w:rPr>
                      <w:szCs w:val="21"/>
                    </w:rPr>
                    <w:t>6</w:t>
                  </w:r>
                </w:p>
              </w:tc>
              <w:tc>
                <w:tcPr>
                  <w:tcW w:w="889" w:type="dxa"/>
                  <w:vAlign w:val="center"/>
                </w:tcPr>
                <w:p w14:paraId="241E5999">
                  <w:pPr>
                    <w:pStyle w:val="8"/>
                    <w:adjustRightInd w:val="0"/>
                    <w:snapToGrid w:val="0"/>
                    <w:jc w:val="center"/>
                    <w:rPr>
                      <w:bCs/>
                      <w:szCs w:val="21"/>
                    </w:rPr>
                  </w:pPr>
                  <w:r>
                    <w:rPr>
                      <w:bCs/>
                      <w:szCs w:val="21"/>
                    </w:rPr>
                    <w:t>0</w:t>
                  </w:r>
                </w:p>
              </w:tc>
              <w:tc>
                <w:tcPr>
                  <w:tcW w:w="1112" w:type="dxa"/>
                  <w:vAlign w:val="center"/>
                </w:tcPr>
                <w:p w14:paraId="5903C5CE">
                  <w:pPr>
                    <w:widowControl/>
                    <w:adjustRightInd w:val="0"/>
                    <w:snapToGrid w:val="0"/>
                    <w:jc w:val="center"/>
                    <w:textAlignment w:val="center"/>
                    <w:rPr>
                      <w:kern w:val="0"/>
                      <w:szCs w:val="21"/>
                    </w:rPr>
                  </w:pPr>
                  <w:r>
                    <w:rPr>
                      <w:kern w:val="0"/>
                      <w:szCs w:val="21"/>
                    </w:rPr>
                    <w:t>6</w:t>
                  </w:r>
                </w:p>
              </w:tc>
              <w:tc>
                <w:tcPr>
                  <w:tcW w:w="1344" w:type="dxa"/>
                  <w:vAlign w:val="center"/>
                </w:tcPr>
                <w:p w14:paraId="78A3A5F6">
                  <w:pPr>
                    <w:widowControl/>
                    <w:adjustRightInd w:val="0"/>
                    <w:snapToGrid w:val="0"/>
                    <w:jc w:val="center"/>
                    <w:textAlignment w:val="center"/>
                    <w:rPr>
                      <w:kern w:val="0"/>
                      <w:szCs w:val="21"/>
                    </w:rPr>
                  </w:pPr>
                  <w:r>
                    <w:rPr>
                      <w:kern w:val="0"/>
                      <w:szCs w:val="21"/>
                    </w:rPr>
                    <w:t>50.5</w:t>
                  </w:r>
                </w:p>
              </w:tc>
              <w:tc>
                <w:tcPr>
                  <w:tcW w:w="619" w:type="dxa"/>
                  <w:vMerge w:val="continue"/>
                  <w:vAlign w:val="center"/>
                </w:tcPr>
                <w:p w14:paraId="282ED4D9">
                  <w:pPr>
                    <w:pStyle w:val="8"/>
                    <w:adjustRightInd w:val="0"/>
                    <w:snapToGrid w:val="0"/>
                    <w:jc w:val="center"/>
                    <w:rPr>
                      <w:b/>
                      <w:szCs w:val="21"/>
                    </w:rPr>
                  </w:pPr>
                </w:p>
              </w:tc>
              <w:tc>
                <w:tcPr>
                  <w:tcW w:w="1180" w:type="dxa"/>
                  <w:vAlign w:val="center"/>
                </w:tcPr>
                <w:p w14:paraId="321AAE37">
                  <w:pPr>
                    <w:adjustRightInd w:val="0"/>
                    <w:snapToGrid w:val="0"/>
                    <w:jc w:val="center"/>
                    <w:rPr>
                      <w:bCs/>
                      <w:szCs w:val="21"/>
                    </w:rPr>
                  </w:pPr>
                  <w:r>
                    <w:rPr>
                      <w:bCs/>
                      <w:szCs w:val="21"/>
                    </w:rPr>
                    <w:t>25</w:t>
                  </w:r>
                </w:p>
              </w:tc>
              <w:tc>
                <w:tcPr>
                  <w:tcW w:w="969" w:type="dxa"/>
                  <w:vMerge w:val="continue"/>
                  <w:vAlign w:val="center"/>
                </w:tcPr>
                <w:p w14:paraId="0F605124">
                  <w:pPr>
                    <w:pStyle w:val="8"/>
                    <w:adjustRightInd w:val="0"/>
                    <w:snapToGrid w:val="0"/>
                    <w:jc w:val="center"/>
                    <w:rPr>
                      <w:b/>
                      <w:szCs w:val="21"/>
                    </w:rPr>
                  </w:pPr>
                </w:p>
              </w:tc>
              <w:tc>
                <w:tcPr>
                  <w:tcW w:w="1027" w:type="dxa"/>
                  <w:gridSpan w:val="2"/>
                  <w:vMerge w:val="continue"/>
                  <w:vAlign w:val="center"/>
                </w:tcPr>
                <w:p w14:paraId="1B3DE9C3">
                  <w:pPr>
                    <w:pStyle w:val="8"/>
                    <w:adjustRightInd w:val="0"/>
                    <w:snapToGrid w:val="0"/>
                    <w:jc w:val="center"/>
                    <w:rPr>
                      <w:b/>
                      <w:szCs w:val="21"/>
                    </w:rPr>
                  </w:pPr>
                </w:p>
              </w:tc>
            </w:tr>
            <w:tr w14:paraId="659B71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6A77C938">
                  <w:pPr>
                    <w:pStyle w:val="8"/>
                    <w:adjustRightInd w:val="0"/>
                    <w:snapToGrid w:val="0"/>
                    <w:jc w:val="center"/>
                    <w:rPr>
                      <w:szCs w:val="21"/>
                    </w:rPr>
                  </w:pPr>
                  <w:r>
                    <w:rPr>
                      <w:rFonts w:hint="eastAsia"/>
                      <w:szCs w:val="21"/>
                    </w:rPr>
                    <w:t>7</w:t>
                  </w:r>
                </w:p>
              </w:tc>
              <w:tc>
                <w:tcPr>
                  <w:tcW w:w="562" w:type="dxa"/>
                  <w:vMerge w:val="continue"/>
                  <w:vAlign w:val="center"/>
                </w:tcPr>
                <w:p w14:paraId="15E615FB">
                  <w:pPr>
                    <w:pStyle w:val="8"/>
                    <w:adjustRightInd w:val="0"/>
                    <w:snapToGrid w:val="0"/>
                    <w:jc w:val="center"/>
                    <w:rPr>
                      <w:szCs w:val="21"/>
                    </w:rPr>
                  </w:pPr>
                </w:p>
              </w:tc>
              <w:tc>
                <w:tcPr>
                  <w:tcW w:w="1724" w:type="dxa"/>
                  <w:vAlign w:val="center"/>
                </w:tcPr>
                <w:p w14:paraId="0183E5F9">
                  <w:pPr>
                    <w:pStyle w:val="8"/>
                    <w:adjustRightInd w:val="0"/>
                    <w:snapToGrid w:val="0"/>
                    <w:jc w:val="center"/>
                    <w:rPr>
                      <w:szCs w:val="21"/>
                    </w:rPr>
                  </w:pPr>
                  <w:r>
                    <w:rPr>
                      <w:szCs w:val="21"/>
                    </w:rPr>
                    <w:t>密炼线（</w:t>
                  </w:r>
                  <w:r>
                    <w:rPr>
                      <w:rFonts w:hint="eastAsia"/>
                      <w:szCs w:val="21"/>
                    </w:rPr>
                    <w:t>1台</w:t>
                  </w:r>
                  <w:r>
                    <w:rPr>
                      <w:szCs w:val="21"/>
                    </w:rPr>
                    <w:t>）</w:t>
                  </w:r>
                </w:p>
              </w:tc>
              <w:tc>
                <w:tcPr>
                  <w:tcW w:w="1239" w:type="dxa"/>
                  <w:vAlign w:val="center"/>
                </w:tcPr>
                <w:p w14:paraId="14433660">
                  <w:pPr>
                    <w:pStyle w:val="8"/>
                    <w:adjustRightInd w:val="0"/>
                    <w:snapToGrid w:val="0"/>
                    <w:jc w:val="center"/>
                    <w:rPr>
                      <w:szCs w:val="21"/>
                    </w:rPr>
                  </w:pPr>
                  <w:r>
                    <w:rPr>
                      <w:rFonts w:hint="eastAsia"/>
                      <w:szCs w:val="21"/>
                    </w:rPr>
                    <w:t>80</w:t>
                  </w:r>
                </w:p>
              </w:tc>
              <w:tc>
                <w:tcPr>
                  <w:tcW w:w="730" w:type="dxa"/>
                  <w:vMerge w:val="continue"/>
                  <w:vAlign w:val="center"/>
                </w:tcPr>
                <w:p w14:paraId="49A6C52E">
                  <w:pPr>
                    <w:pStyle w:val="8"/>
                    <w:adjustRightInd w:val="0"/>
                    <w:snapToGrid w:val="0"/>
                    <w:jc w:val="center"/>
                    <w:rPr>
                      <w:b/>
                      <w:szCs w:val="21"/>
                    </w:rPr>
                  </w:pPr>
                </w:p>
              </w:tc>
              <w:tc>
                <w:tcPr>
                  <w:tcW w:w="1000" w:type="dxa"/>
                  <w:vAlign w:val="center"/>
                </w:tcPr>
                <w:p w14:paraId="2E9BCFF9">
                  <w:pPr>
                    <w:adjustRightInd w:val="0"/>
                    <w:snapToGrid w:val="0"/>
                    <w:jc w:val="center"/>
                    <w:rPr>
                      <w:szCs w:val="21"/>
                    </w:rPr>
                  </w:pPr>
                  <w:r>
                    <w:rPr>
                      <w:szCs w:val="21"/>
                    </w:rPr>
                    <w:t>14</w:t>
                  </w:r>
                </w:p>
              </w:tc>
              <w:tc>
                <w:tcPr>
                  <w:tcW w:w="889" w:type="dxa"/>
                  <w:vAlign w:val="center"/>
                </w:tcPr>
                <w:p w14:paraId="5D1795C5">
                  <w:pPr>
                    <w:adjustRightInd w:val="0"/>
                    <w:snapToGrid w:val="0"/>
                    <w:jc w:val="center"/>
                    <w:rPr>
                      <w:szCs w:val="21"/>
                    </w:rPr>
                  </w:pPr>
                  <w:r>
                    <w:rPr>
                      <w:szCs w:val="21"/>
                    </w:rPr>
                    <w:t>2</w:t>
                  </w:r>
                </w:p>
              </w:tc>
              <w:tc>
                <w:tcPr>
                  <w:tcW w:w="889" w:type="dxa"/>
                  <w:vAlign w:val="center"/>
                </w:tcPr>
                <w:p w14:paraId="3102F8DB">
                  <w:pPr>
                    <w:pStyle w:val="8"/>
                    <w:adjustRightInd w:val="0"/>
                    <w:snapToGrid w:val="0"/>
                    <w:jc w:val="center"/>
                    <w:rPr>
                      <w:bCs/>
                      <w:szCs w:val="21"/>
                    </w:rPr>
                  </w:pPr>
                  <w:r>
                    <w:rPr>
                      <w:bCs/>
                      <w:szCs w:val="21"/>
                    </w:rPr>
                    <w:t>8</w:t>
                  </w:r>
                </w:p>
              </w:tc>
              <w:tc>
                <w:tcPr>
                  <w:tcW w:w="1112" w:type="dxa"/>
                  <w:vAlign w:val="center"/>
                </w:tcPr>
                <w:p w14:paraId="493857F2">
                  <w:pPr>
                    <w:widowControl/>
                    <w:adjustRightInd w:val="0"/>
                    <w:snapToGrid w:val="0"/>
                    <w:jc w:val="center"/>
                    <w:textAlignment w:val="center"/>
                    <w:rPr>
                      <w:kern w:val="0"/>
                      <w:szCs w:val="21"/>
                    </w:rPr>
                  </w:pPr>
                  <w:r>
                    <w:rPr>
                      <w:kern w:val="0"/>
                      <w:szCs w:val="21"/>
                    </w:rPr>
                    <w:t>2</w:t>
                  </w:r>
                </w:p>
              </w:tc>
              <w:tc>
                <w:tcPr>
                  <w:tcW w:w="1344" w:type="dxa"/>
                  <w:vAlign w:val="center"/>
                </w:tcPr>
                <w:p w14:paraId="6F4FF115">
                  <w:pPr>
                    <w:widowControl/>
                    <w:adjustRightInd w:val="0"/>
                    <w:snapToGrid w:val="0"/>
                    <w:jc w:val="center"/>
                    <w:textAlignment w:val="center"/>
                    <w:rPr>
                      <w:kern w:val="0"/>
                      <w:szCs w:val="21"/>
                    </w:rPr>
                  </w:pPr>
                  <w:r>
                    <w:rPr>
                      <w:kern w:val="0"/>
                      <w:szCs w:val="21"/>
                    </w:rPr>
                    <w:t>58.3</w:t>
                  </w:r>
                </w:p>
              </w:tc>
              <w:tc>
                <w:tcPr>
                  <w:tcW w:w="619" w:type="dxa"/>
                  <w:vMerge w:val="continue"/>
                  <w:vAlign w:val="center"/>
                </w:tcPr>
                <w:p w14:paraId="1A7B4DCF">
                  <w:pPr>
                    <w:pStyle w:val="8"/>
                    <w:adjustRightInd w:val="0"/>
                    <w:snapToGrid w:val="0"/>
                    <w:jc w:val="center"/>
                    <w:rPr>
                      <w:b/>
                      <w:szCs w:val="21"/>
                    </w:rPr>
                  </w:pPr>
                </w:p>
              </w:tc>
              <w:tc>
                <w:tcPr>
                  <w:tcW w:w="1180" w:type="dxa"/>
                  <w:vAlign w:val="center"/>
                </w:tcPr>
                <w:p w14:paraId="6F89040E">
                  <w:pPr>
                    <w:adjustRightInd w:val="0"/>
                    <w:snapToGrid w:val="0"/>
                    <w:jc w:val="center"/>
                    <w:rPr>
                      <w:bCs/>
                      <w:szCs w:val="21"/>
                    </w:rPr>
                  </w:pPr>
                  <w:r>
                    <w:rPr>
                      <w:bCs/>
                      <w:szCs w:val="21"/>
                    </w:rPr>
                    <w:t>25</w:t>
                  </w:r>
                </w:p>
              </w:tc>
              <w:tc>
                <w:tcPr>
                  <w:tcW w:w="969" w:type="dxa"/>
                  <w:vMerge w:val="continue"/>
                  <w:vAlign w:val="center"/>
                </w:tcPr>
                <w:p w14:paraId="06311F79">
                  <w:pPr>
                    <w:pStyle w:val="8"/>
                    <w:adjustRightInd w:val="0"/>
                    <w:snapToGrid w:val="0"/>
                    <w:jc w:val="center"/>
                    <w:rPr>
                      <w:b/>
                      <w:szCs w:val="21"/>
                    </w:rPr>
                  </w:pPr>
                </w:p>
              </w:tc>
              <w:tc>
                <w:tcPr>
                  <w:tcW w:w="1027" w:type="dxa"/>
                  <w:gridSpan w:val="2"/>
                  <w:vMerge w:val="continue"/>
                  <w:vAlign w:val="center"/>
                </w:tcPr>
                <w:p w14:paraId="7AF72D15">
                  <w:pPr>
                    <w:pStyle w:val="8"/>
                    <w:adjustRightInd w:val="0"/>
                    <w:snapToGrid w:val="0"/>
                    <w:jc w:val="center"/>
                    <w:rPr>
                      <w:b/>
                      <w:szCs w:val="21"/>
                    </w:rPr>
                  </w:pPr>
                </w:p>
              </w:tc>
            </w:tr>
            <w:tr w14:paraId="706AFC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4109B87D">
                  <w:pPr>
                    <w:pStyle w:val="8"/>
                    <w:adjustRightInd w:val="0"/>
                    <w:snapToGrid w:val="0"/>
                    <w:jc w:val="center"/>
                    <w:rPr>
                      <w:szCs w:val="21"/>
                    </w:rPr>
                  </w:pPr>
                  <w:r>
                    <w:rPr>
                      <w:rFonts w:hint="eastAsia"/>
                      <w:szCs w:val="21"/>
                    </w:rPr>
                    <w:t>8</w:t>
                  </w:r>
                </w:p>
              </w:tc>
              <w:tc>
                <w:tcPr>
                  <w:tcW w:w="562" w:type="dxa"/>
                  <w:vMerge w:val="continue"/>
                  <w:vAlign w:val="center"/>
                </w:tcPr>
                <w:p w14:paraId="7C8C78F4">
                  <w:pPr>
                    <w:pStyle w:val="8"/>
                    <w:adjustRightInd w:val="0"/>
                    <w:snapToGrid w:val="0"/>
                    <w:jc w:val="center"/>
                    <w:rPr>
                      <w:szCs w:val="21"/>
                    </w:rPr>
                  </w:pPr>
                </w:p>
              </w:tc>
              <w:tc>
                <w:tcPr>
                  <w:tcW w:w="1724" w:type="dxa"/>
                  <w:vAlign w:val="center"/>
                </w:tcPr>
                <w:p w14:paraId="3DC5D462">
                  <w:pPr>
                    <w:snapToGrid w:val="0"/>
                    <w:jc w:val="center"/>
                    <w:rPr>
                      <w:szCs w:val="21"/>
                    </w:rPr>
                  </w:pPr>
                  <w:r>
                    <w:rPr>
                      <w:szCs w:val="21"/>
                    </w:rPr>
                    <w:t>200高压滤胶机（</w:t>
                  </w:r>
                  <w:r>
                    <w:rPr>
                      <w:rFonts w:hint="eastAsia"/>
                      <w:szCs w:val="21"/>
                    </w:rPr>
                    <w:t>5台</w:t>
                  </w:r>
                  <w:r>
                    <w:rPr>
                      <w:szCs w:val="21"/>
                    </w:rPr>
                    <w:t>）</w:t>
                  </w:r>
                </w:p>
              </w:tc>
              <w:tc>
                <w:tcPr>
                  <w:tcW w:w="1239" w:type="dxa"/>
                  <w:vAlign w:val="center"/>
                </w:tcPr>
                <w:p w14:paraId="5A70F66A">
                  <w:pPr>
                    <w:pStyle w:val="8"/>
                    <w:adjustRightInd w:val="0"/>
                    <w:snapToGrid w:val="0"/>
                    <w:jc w:val="center"/>
                    <w:rPr>
                      <w:szCs w:val="21"/>
                    </w:rPr>
                  </w:pPr>
                  <w:r>
                    <w:rPr>
                      <w:rFonts w:hint="eastAsia"/>
                      <w:szCs w:val="21"/>
                    </w:rPr>
                    <w:t>80</w:t>
                  </w:r>
                </w:p>
              </w:tc>
              <w:tc>
                <w:tcPr>
                  <w:tcW w:w="730" w:type="dxa"/>
                  <w:vMerge w:val="continue"/>
                  <w:vAlign w:val="center"/>
                </w:tcPr>
                <w:p w14:paraId="13A19B41">
                  <w:pPr>
                    <w:pStyle w:val="8"/>
                    <w:adjustRightInd w:val="0"/>
                    <w:snapToGrid w:val="0"/>
                    <w:jc w:val="center"/>
                    <w:rPr>
                      <w:b/>
                      <w:szCs w:val="21"/>
                    </w:rPr>
                  </w:pPr>
                </w:p>
              </w:tc>
              <w:tc>
                <w:tcPr>
                  <w:tcW w:w="1000" w:type="dxa"/>
                  <w:vAlign w:val="center"/>
                </w:tcPr>
                <w:p w14:paraId="179CC81F">
                  <w:pPr>
                    <w:adjustRightInd w:val="0"/>
                    <w:snapToGrid w:val="0"/>
                    <w:jc w:val="center"/>
                    <w:rPr>
                      <w:szCs w:val="21"/>
                    </w:rPr>
                  </w:pPr>
                  <w:r>
                    <w:rPr>
                      <w:szCs w:val="21"/>
                    </w:rPr>
                    <w:t>22</w:t>
                  </w:r>
                </w:p>
              </w:tc>
              <w:tc>
                <w:tcPr>
                  <w:tcW w:w="889" w:type="dxa"/>
                  <w:vAlign w:val="center"/>
                </w:tcPr>
                <w:p w14:paraId="3980C26C">
                  <w:pPr>
                    <w:adjustRightInd w:val="0"/>
                    <w:snapToGrid w:val="0"/>
                    <w:jc w:val="center"/>
                    <w:rPr>
                      <w:szCs w:val="21"/>
                    </w:rPr>
                  </w:pPr>
                  <w:r>
                    <w:rPr>
                      <w:szCs w:val="21"/>
                    </w:rPr>
                    <w:t>27</w:t>
                  </w:r>
                </w:p>
              </w:tc>
              <w:tc>
                <w:tcPr>
                  <w:tcW w:w="889" w:type="dxa"/>
                  <w:vAlign w:val="center"/>
                </w:tcPr>
                <w:p w14:paraId="641D32EC">
                  <w:pPr>
                    <w:pStyle w:val="8"/>
                    <w:adjustRightInd w:val="0"/>
                    <w:snapToGrid w:val="0"/>
                    <w:jc w:val="center"/>
                    <w:rPr>
                      <w:bCs/>
                      <w:szCs w:val="21"/>
                    </w:rPr>
                  </w:pPr>
                  <w:r>
                    <w:rPr>
                      <w:bCs/>
                      <w:szCs w:val="21"/>
                    </w:rPr>
                    <w:t>0</w:t>
                  </w:r>
                </w:p>
              </w:tc>
              <w:tc>
                <w:tcPr>
                  <w:tcW w:w="1112" w:type="dxa"/>
                  <w:vAlign w:val="center"/>
                </w:tcPr>
                <w:p w14:paraId="072D2F4E">
                  <w:pPr>
                    <w:widowControl/>
                    <w:adjustRightInd w:val="0"/>
                    <w:snapToGrid w:val="0"/>
                    <w:jc w:val="center"/>
                    <w:textAlignment w:val="center"/>
                    <w:rPr>
                      <w:kern w:val="0"/>
                      <w:szCs w:val="21"/>
                    </w:rPr>
                  </w:pPr>
                  <w:r>
                    <w:rPr>
                      <w:kern w:val="0"/>
                      <w:szCs w:val="21"/>
                    </w:rPr>
                    <w:t>9</w:t>
                  </w:r>
                </w:p>
              </w:tc>
              <w:tc>
                <w:tcPr>
                  <w:tcW w:w="1344" w:type="dxa"/>
                  <w:vAlign w:val="center"/>
                </w:tcPr>
                <w:p w14:paraId="28A8BEC0">
                  <w:pPr>
                    <w:widowControl/>
                    <w:adjustRightInd w:val="0"/>
                    <w:snapToGrid w:val="0"/>
                    <w:jc w:val="center"/>
                    <w:textAlignment w:val="center"/>
                    <w:rPr>
                      <w:kern w:val="0"/>
                      <w:szCs w:val="21"/>
                    </w:rPr>
                  </w:pPr>
                  <w:r>
                    <w:rPr>
                      <w:kern w:val="0"/>
                      <w:szCs w:val="21"/>
                    </w:rPr>
                    <w:t>43.7</w:t>
                  </w:r>
                </w:p>
              </w:tc>
              <w:tc>
                <w:tcPr>
                  <w:tcW w:w="619" w:type="dxa"/>
                  <w:vMerge w:val="continue"/>
                  <w:vAlign w:val="center"/>
                </w:tcPr>
                <w:p w14:paraId="7B0071B6">
                  <w:pPr>
                    <w:pStyle w:val="8"/>
                    <w:adjustRightInd w:val="0"/>
                    <w:snapToGrid w:val="0"/>
                    <w:jc w:val="center"/>
                    <w:rPr>
                      <w:b/>
                      <w:szCs w:val="21"/>
                    </w:rPr>
                  </w:pPr>
                </w:p>
              </w:tc>
              <w:tc>
                <w:tcPr>
                  <w:tcW w:w="1180" w:type="dxa"/>
                  <w:vAlign w:val="center"/>
                </w:tcPr>
                <w:p w14:paraId="1B3EB56A">
                  <w:pPr>
                    <w:adjustRightInd w:val="0"/>
                    <w:snapToGrid w:val="0"/>
                    <w:jc w:val="center"/>
                    <w:rPr>
                      <w:bCs/>
                      <w:szCs w:val="21"/>
                    </w:rPr>
                  </w:pPr>
                  <w:r>
                    <w:rPr>
                      <w:bCs/>
                      <w:szCs w:val="21"/>
                    </w:rPr>
                    <w:t>25</w:t>
                  </w:r>
                </w:p>
              </w:tc>
              <w:tc>
                <w:tcPr>
                  <w:tcW w:w="969" w:type="dxa"/>
                  <w:vMerge w:val="continue"/>
                  <w:vAlign w:val="center"/>
                </w:tcPr>
                <w:p w14:paraId="75F8AE4B">
                  <w:pPr>
                    <w:pStyle w:val="8"/>
                    <w:adjustRightInd w:val="0"/>
                    <w:snapToGrid w:val="0"/>
                    <w:jc w:val="center"/>
                    <w:rPr>
                      <w:b/>
                      <w:szCs w:val="21"/>
                    </w:rPr>
                  </w:pPr>
                </w:p>
              </w:tc>
              <w:tc>
                <w:tcPr>
                  <w:tcW w:w="1027" w:type="dxa"/>
                  <w:gridSpan w:val="2"/>
                  <w:vMerge w:val="continue"/>
                  <w:vAlign w:val="center"/>
                </w:tcPr>
                <w:p w14:paraId="02436504">
                  <w:pPr>
                    <w:pStyle w:val="8"/>
                    <w:adjustRightInd w:val="0"/>
                    <w:snapToGrid w:val="0"/>
                    <w:jc w:val="center"/>
                    <w:rPr>
                      <w:b/>
                      <w:szCs w:val="21"/>
                    </w:rPr>
                  </w:pPr>
                </w:p>
              </w:tc>
            </w:tr>
            <w:tr w14:paraId="49E2D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6F6D1083">
                  <w:pPr>
                    <w:pStyle w:val="8"/>
                    <w:adjustRightInd w:val="0"/>
                    <w:snapToGrid w:val="0"/>
                    <w:jc w:val="center"/>
                    <w:rPr>
                      <w:szCs w:val="21"/>
                    </w:rPr>
                  </w:pPr>
                  <w:r>
                    <w:rPr>
                      <w:rFonts w:hint="eastAsia"/>
                      <w:szCs w:val="21"/>
                    </w:rPr>
                    <w:t>9</w:t>
                  </w:r>
                </w:p>
              </w:tc>
              <w:tc>
                <w:tcPr>
                  <w:tcW w:w="562" w:type="dxa"/>
                  <w:vMerge w:val="continue"/>
                  <w:vAlign w:val="center"/>
                </w:tcPr>
                <w:p w14:paraId="7B239F22">
                  <w:pPr>
                    <w:pStyle w:val="8"/>
                    <w:adjustRightInd w:val="0"/>
                    <w:snapToGrid w:val="0"/>
                    <w:jc w:val="center"/>
                    <w:rPr>
                      <w:szCs w:val="21"/>
                    </w:rPr>
                  </w:pPr>
                </w:p>
              </w:tc>
              <w:tc>
                <w:tcPr>
                  <w:tcW w:w="1724" w:type="dxa"/>
                  <w:vAlign w:val="center"/>
                </w:tcPr>
                <w:p w14:paraId="5B7441BB">
                  <w:pPr>
                    <w:snapToGrid w:val="0"/>
                    <w:jc w:val="center"/>
                    <w:rPr>
                      <w:szCs w:val="21"/>
                    </w:rPr>
                  </w:pPr>
                  <w:r>
                    <w:rPr>
                      <w:szCs w:val="21"/>
                    </w:rPr>
                    <w:t>预成型机（</w:t>
                  </w:r>
                  <w:r>
                    <w:rPr>
                      <w:rFonts w:hint="eastAsia"/>
                      <w:szCs w:val="21"/>
                    </w:rPr>
                    <w:t>2台</w:t>
                  </w:r>
                  <w:r>
                    <w:rPr>
                      <w:szCs w:val="21"/>
                    </w:rPr>
                    <w:t>）</w:t>
                  </w:r>
                </w:p>
              </w:tc>
              <w:tc>
                <w:tcPr>
                  <w:tcW w:w="1239" w:type="dxa"/>
                  <w:vAlign w:val="center"/>
                </w:tcPr>
                <w:p w14:paraId="163D66AA">
                  <w:pPr>
                    <w:pStyle w:val="8"/>
                    <w:adjustRightInd w:val="0"/>
                    <w:snapToGrid w:val="0"/>
                    <w:jc w:val="center"/>
                    <w:rPr>
                      <w:szCs w:val="21"/>
                    </w:rPr>
                  </w:pPr>
                  <w:r>
                    <w:rPr>
                      <w:rFonts w:hint="eastAsia"/>
                      <w:szCs w:val="21"/>
                    </w:rPr>
                    <w:t>75</w:t>
                  </w:r>
                </w:p>
              </w:tc>
              <w:tc>
                <w:tcPr>
                  <w:tcW w:w="730" w:type="dxa"/>
                  <w:vMerge w:val="continue"/>
                  <w:vAlign w:val="center"/>
                </w:tcPr>
                <w:p w14:paraId="2E7C1693">
                  <w:pPr>
                    <w:pStyle w:val="8"/>
                    <w:adjustRightInd w:val="0"/>
                    <w:snapToGrid w:val="0"/>
                    <w:jc w:val="center"/>
                    <w:rPr>
                      <w:b/>
                      <w:szCs w:val="21"/>
                    </w:rPr>
                  </w:pPr>
                </w:p>
              </w:tc>
              <w:tc>
                <w:tcPr>
                  <w:tcW w:w="1000" w:type="dxa"/>
                  <w:vAlign w:val="center"/>
                </w:tcPr>
                <w:p w14:paraId="0BFD838C">
                  <w:pPr>
                    <w:adjustRightInd w:val="0"/>
                    <w:snapToGrid w:val="0"/>
                    <w:jc w:val="center"/>
                    <w:rPr>
                      <w:szCs w:val="21"/>
                    </w:rPr>
                  </w:pPr>
                  <w:r>
                    <w:rPr>
                      <w:szCs w:val="21"/>
                    </w:rPr>
                    <w:t>25</w:t>
                  </w:r>
                </w:p>
              </w:tc>
              <w:tc>
                <w:tcPr>
                  <w:tcW w:w="889" w:type="dxa"/>
                  <w:vAlign w:val="center"/>
                </w:tcPr>
                <w:p w14:paraId="217F08BB">
                  <w:pPr>
                    <w:adjustRightInd w:val="0"/>
                    <w:snapToGrid w:val="0"/>
                    <w:jc w:val="center"/>
                    <w:rPr>
                      <w:szCs w:val="21"/>
                    </w:rPr>
                  </w:pPr>
                  <w:r>
                    <w:rPr>
                      <w:szCs w:val="21"/>
                    </w:rPr>
                    <w:t>27</w:t>
                  </w:r>
                </w:p>
              </w:tc>
              <w:tc>
                <w:tcPr>
                  <w:tcW w:w="889" w:type="dxa"/>
                  <w:vAlign w:val="center"/>
                </w:tcPr>
                <w:p w14:paraId="3BE30412">
                  <w:pPr>
                    <w:pStyle w:val="8"/>
                    <w:adjustRightInd w:val="0"/>
                    <w:snapToGrid w:val="0"/>
                    <w:jc w:val="center"/>
                    <w:rPr>
                      <w:bCs/>
                      <w:szCs w:val="21"/>
                    </w:rPr>
                  </w:pPr>
                  <w:r>
                    <w:rPr>
                      <w:bCs/>
                      <w:szCs w:val="21"/>
                    </w:rPr>
                    <w:t>8</w:t>
                  </w:r>
                </w:p>
              </w:tc>
              <w:tc>
                <w:tcPr>
                  <w:tcW w:w="1112" w:type="dxa"/>
                  <w:vAlign w:val="center"/>
                </w:tcPr>
                <w:p w14:paraId="7EDB460A">
                  <w:pPr>
                    <w:widowControl/>
                    <w:adjustRightInd w:val="0"/>
                    <w:snapToGrid w:val="0"/>
                    <w:jc w:val="center"/>
                    <w:textAlignment w:val="center"/>
                    <w:rPr>
                      <w:kern w:val="0"/>
                      <w:szCs w:val="21"/>
                    </w:rPr>
                  </w:pPr>
                  <w:r>
                    <w:rPr>
                      <w:kern w:val="0"/>
                      <w:szCs w:val="21"/>
                    </w:rPr>
                    <w:t>9</w:t>
                  </w:r>
                </w:p>
              </w:tc>
              <w:tc>
                <w:tcPr>
                  <w:tcW w:w="1344" w:type="dxa"/>
                  <w:vAlign w:val="center"/>
                </w:tcPr>
                <w:p w14:paraId="0E292773">
                  <w:pPr>
                    <w:widowControl/>
                    <w:adjustRightInd w:val="0"/>
                    <w:snapToGrid w:val="0"/>
                    <w:jc w:val="center"/>
                    <w:textAlignment w:val="center"/>
                    <w:rPr>
                      <w:kern w:val="0"/>
                      <w:szCs w:val="21"/>
                    </w:rPr>
                  </w:pPr>
                  <w:r>
                    <w:rPr>
                      <w:kern w:val="0"/>
                      <w:szCs w:val="21"/>
                    </w:rPr>
                    <w:t>58.7</w:t>
                  </w:r>
                </w:p>
              </w:tc>
              <w:tc>
                <w:tcPr>
                  <w:tcW w:w="619" w:type="dxa"/>
                  <w:vMerge w:val="continue"/>
                  <w:vAlign w:val="center"/>
                </w:tcPr>
                <w:p w14:paraId="19AAFE2D">
                  <w:pPr>
                    <w:pStyle w:val="8"/>
                    <w:adjustRightInd w:val="0"/>
                    <w:snapToGrid w:val="0"/>
                    <w:jc w:val="center"/>
                    <w:rPr>
                      <w:b/>
                      <w:szCs w:val="21"/>
                    </w:rPr>
                  </w:pPr>
                </w:p>
              </w:tc>
              <w:tc>
                <w:tcPr>
                  <w:tcW w:w="1180" w:type="dxa"/>
                  <w:vAlign w:val="center"/>
                </w:tcPr>
                <w:p w14:paraId="2885F23D">
                  <w:pPr>
                    <w:adjustRightInd w:val="0"/>
                    <w:snapToGrid w:val="0"/>
                    <w:jc w:val="center"/>
                    <w:rPr>
                      <w:bCs/>
                      <w:szCs w:val="21"/>
                    </w:rPr>
                  </w:pPr>
                  <w:r>
                    <w:rPr>
                      <w:bCs/>
                      <w:szCs w:val="21"/>
                    </w:rPr>
                    <w:t>25</w:t>
                  </w:r>
                </w:p>
              </w:tc>
              <w:tc>
                <w:tcPr>
                  <w:tcW w:w="969" w:type="dxa"/>
                  <w:vMerge w:val="continue"/>
                  <w:vAlign w:val="center"/>
                </w:tcPr>
                <w:p w14:paraId="4F8EA8A7">
                  <w:pPr>
                    <w:pStyle w:val="8"/>
                    <w:adjustRightInd w:val="0"/>
                    <w:snapToGrid w:val="0"/>
                    <w:jc w:val="center"/>
                    <w:rPr>
                      <w:b/>
                      <w:szCs w:val="21"/>
                    </w:rPr>
                  </w:pPr>
                </w:p>
              </w:tc>
              <w:tc>
                <w:tcPr>
                  <w:tcW w:w="1027" w:type="dxa"/>
                  <w:gridSpan w:val="2"/>
                  <w:vMerge w:val="continue"/>
                  <w:vAlign w:val="center"/>
                </w:tcPr>
                <w:p w14:paraId="022096C3">
                  <w:pPr>
                    <w:pStyle w:val="8"/>
                    <w:adjustRightInd w:val="0"/>
                    <w:snapToGrid w:val="0"/>
                    <w:jc w:val="center"/>
                    <w:rPr>
                      <w:b/>
                      <w:szCs w:val="21"/>
                    </w:rPr>
                  </w:pPr>
                </w:p>
              </w:tc>
            </w:tr>
            <w:tr w14:paraId="71BC21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3DED7159">
                  <w:pPr>
                    <w:pStyle w:val="8"/>
                    <w:adjustRightInd w:val="0"/>
                    <w:snapToGrid w:val="0"/>
                    <w:jc w:val="center"/>
                    <w:rPr>
                      <w:szCs w:val="21"/>
                    </w:rPr>
                  </w:pPr>
                  <w:r>
                    <w:rPr>
                      <w:rFonts w:hint="eastAsia"/>
                      <w:szCs w:val="21"/>
                    </w:rPr>
                    <w:t>10</w:t>
                  </w:r>
                </w:p>
              </w:tc>
              <w:tc>
                <w:tcPr>
                  <w:tcW w:w="562" w:type="dxa"/>
                  <w:vMerge w:val="restart"/>
                  <w:vAlign w:val="center"/>
                </w:tcPr>
                <w:p w14:paraId="3873BBEE">
                  <w:pPr>
                    <w:pStyle w:val="8"/>
                    <w:adjustRightInd w:val="0"/>
                    <w:snapToGrid w:val="0"/>
                    <w:jc w:val="center"/>
                    <w:rPr>
                      <w:szCs w:val="21"/>
                    </w:rPr>
                  </w:pPr>
                  <w:r>
                    <w:rPr>
                      <w:rFonts w:hint="eastAsia"/>
                      <w:szCs w:val="21"/>
                    </w:rPr>
                    <w:t>4#车间</w:t>
                  </w:r>
                </w:p>
              </w:tc>
              <w:tc>
                <w:tcPr>
                  <w:tcW w:w="1724" w:type="dxa"/>
                  <w:vAlign w:val="center"/>
                </w:tcPr>
                <w:p w14:paraId="2881B165">
                  <w:pPr>
                    <w:pStyle w:val="8"/>
                    <w:adjustRightInd w:val="0"/>
                    <w:snapToGrid w:val="0"/>
                    <w:jc w:val="center"/>
                    <w:rPr>
                      <w:szCs w:val="21"/>
                    </w:rPr>
                  </w:pPr>
                  <w:r>
                    <w:rPr>
                      <w:szCs w:val="21"/>
                    </w:rPr>
                    <w:t>自动涂胶机（</w:t>
                  </w:r>
                  <w:r>
                    <w:rPr>
                      <w:rFonts w:hint="eastAsia"/>
                      <w:szCs w:val="21"/>
                    </w:rPr>
                    <w:t>3台</w:t>
                  </w:r>
                  <w:r>
                    <w:rPr>
                      <w:szCs w:val="21"/>
                    </w:rPr>
                    <w:t>）</w:t>
                  </w:r>
                </w:p>
              </w:tc>
              <w:tc>
                <w:tcPr>
                  <w:tcW w:w="1239" w:type="dxa"/>
                  <w:vAlign w:val="center"/>
                </w:tcPr>
                <w:p w14:paraId="2A2FECC7">
                  <w:pPr>
                    <w:pStyle w:val="8"/>
                    <w:adjustRightInd w:val="0"/>
                    <w:snapToGrid w:val="0"/>
                    <w:jc w:val="center"/>
                    <w:rPr>
                      <w:szCs w:val="21"/>
                    </w:rPr>
                  </w:pPr>
                  <w:r>
                    <w:rPr>
                      <w:rFonts w:hint="eastAsia"/>
                      <w:szCs w:val="21"/>
                    </w:rPr>
                    <w:t>72</w:t>
                  </w:r>
                </w:p>
              </w:tc>
              <w:tc>
                <w:tcPr>
                  <w:tcW w:w="730" w:type="dxa"/>
                  <w:vMerge w:val="continue"/>
                  <w:vAlign w:val="center"/>
                </w:tcPr>
                <w:p w14:paraId="039BBDA8">
                  <w:pPr>
                    <w:pStyle w:val="8"/>
                    <w:adjustRightInd w:val="0"/>
                    <w:snapToGrid w:val="0"/>
                    <w:jc w:val="center"/>
                    <w:rPr>
                      <w:b/>
                      <w:szCs w:val="21"/>
                    </w:rPr>
                  </w:pPr>
                </w:p>
              </w:tc>
              <w:tc>
                <w:tcPr>
                  <w:tcW w:w="1000" w:type="dxa"/>
                  <w:vAlign w:val="center"/>
                </w:tcPr>
                <w:p w14:paraId="281E6F0D">
                  <w:pPr>
                    <w:adjustRightInd w:val="0"/>
                    <w:snapToGrid w:val="0"/>
                    <w:jc w:val="center"/>
                    <w:rPr>
                      <w:szCs w:val="21"/>
                    </w:rPr>
                  </w:pPr>
                  <w:r>
                    <w:rPr>
                      <w:szCs w:val="21"/>
                    </w:rPr>
                    <w:t>23</w:t>
                  </w:r>
                </w:p>
              </w:tc>
              <w:tc>
                <w:tcPr>
                  <w:tcW w:w="889" w:type="dxa"/>
                  <w:vAlign w:val="center"/>
                </w:tcPr>
                <w:p w14:paraId="5FE58388">
                  <w:pPr>
                    <w:adjustRightInd w:val="0"/>
                    <w:snapToGrid w:val="0"/>
                    <w:jc w:val="center"/>
                    <w:rPr>
                      <w:szCs w:val="21"/>
                    </w:rPr>
                  </w:pPr>
                  <w:r>
                    <w:rPr>
                      <w:szCs w:val="21"/>
                    </w:rPr>
                    <w:t>27</w:t>
                  </w:r>
                </w:p>
              </w:tc>
              <w:tc>
                <w:tcPr>
                  <w:tcW w:w="889" w:type="dxa"/>
                  <w:vAlign w:val="center"/>
                </w:tcPr>
                <w:p w14:paraId="31D42BAF">
                  <w:pPr>
                    <w:pStyle w:val="8"/>
                    <w:adjustRightInd w:val="0"/>
                    <w:snapToGrid w:val="0"/>
                    <w:jc w:val="center"/>
                    <w:rPr>
                      <w:bCs/>
                      <w:szCs w:val="21"/>
                    </w:rPr>
                  </w:pPr>
                  <w:r>
                    <w:rPr>
                      <w:bCs/>
                      <w:szCs w:val="21"/>
                    </w:rPr>
                    <w:t>0</w:t>
                  </w:r>
                </w:p>
              </w:tc>
              <w:tc>
                <w:tcPr>
                  <w:tcW w:w="1112" w:type="dxa"/>
                  <w:vAlign w:val="center"/>
                </w:tcPr>
                <w:p w14:paraId="1D4B4FF3">
                  <w:pPr>
                    <w:widowControl/>
                    <w:adjustRightInd w:val="0"/>
                    <w:snapToGrid w:val="0"/>
                    <w:jc w:val="center"/>
                    <w:textAlignment w:val="center"/>
                    <w:rPr>
                      <w:kern w:val="0"/>
                      <w:szCs w:val="21"/>
                    </w:rPr>
                  </w:pPr>
                  <w:r>
                    <w:rPr>
                      <w:kern w:val="0"/>
                      <w:szCs w:val="21"/>
                    </w:rPr>
                    <w:t>9</w:t>
                  </w:r>
                </w:p>
              </w:tc>
              <w:tc>
                <w:tcPr>
                  <w:tcW w:w="1344" w:type="dxa"/>
                  <w:vAlign w:val="center"/>
                </w:tcPr>
                <w:p w14:paraId="2170D2E3">
                  <w:pPr>
                    <w:widowControl/>
                    <w:adjustRightInd w:val="0"/>
                    <w:snapToGrid w:val="0"/>
                    <w:jc w:val="center"/>
                    <w:textAlignment w:val="center"/>
                    <w:rPr>
                      <w:kern w:val="0"/>
                      <w:szCs w:val="21"/>
                    </w:rPr>
                  </w:pPr>
                  <w:r>
                    <w:rPr>
                      <w:kern w:val="0"/>
                      <w:szCs w:val="21"/>
                    </w:rPr>
                    <w:t>58.7</w:t>
                  </w:r>
                </w:p>
              </w:tc>
              <w:tc>
                <w:tcPr>
                  <w:tcW w:w="619" w:type="dxa"/>
                  <w:vMerge w:val="continue"/>
                  <w:vAlign w:val="center"/>
                </w:tcPr>
                <w:p w14:paraId="45A245DA">
                  <w:pPr>
                    <w:pStyle w:val="8"/>
                    <w:adjustRightInd w:val="0"/>
                    <w:snapToGrid w:val="0"/>
                    <w:jc w:val="center"/>
                    <w:rPr>
                      <w:b/>
                      <w:szCs w:val="21"/>
                    </w:rPr>
                  </w:pPr>
                </w:p>
              </w:tc>
              <w:tc>
                <w:tcPr>
                  <w:tcW w:w="1180" w:type="dxa"/>
                  <w:vAlign w:val="center"/>
                </w:tcPr>
                <w:p w14:paraId="1F190AFE">
                  <w:pPr>
                    <w:adjustRightInd w:val="0"/>
                    <w:snapToGrid w:val="0"/>
                    <w:jc w:val="center"/>
                    <w:rPr>
                      <w:bCs/>
                      <w:szCs w:val="21"/>
                    </w:rPr>
                  </w:pPr>
                  <w:r>
                    <w:rPr>
                      <w:bCs/>
                      <w:szCs w:val="21"/>
                    </w:rPr>
                    <w:t>25</w:t>
                  </w:r>
                </w:p>
              </w:tc>
              <w:tc>
                <w:tcPr>
                  <w:tcW w:w="969" w:type="dxa"/>
                  <w:vMerge w:val="continue"/>
                  <w:vAlign w:val="center"/>
                </w:tcPr>
                <w:p w14:paraId="068958F8">
                  <w:pPr>
                    <w:pStyle w:val="8"/>
                    <w:adjustRightInd w:val="0"/>
                    <w:snapToGrid w:val="0"/>
                    <w:jc w:val="center"/>
                    <w:rPr>
                      <w:b/>
                      <w:szCs w:val="21"/>
                    </w:rPr>
                  </w:pPr>
                </w:p>
              </w:tc>
              <w:tc>
                <w:tcPr>
                  <w:tcW w:w="1027" w:type="dxa"/>
                  <w:gridSpan w:val="2"/>
                  <w:vMerge w:val="continue"/>
                  <w:vAlign w:val="center"/>
                </w:tcPr>
                <w:p w14:paraId="3C529025">
                  <w:pPr>
                    <w:pStyle w:val="8"/>
                    <w:adjustRightInd w:val="0"/>
                    <w:snapToGrid w:val="0"/>
                    <w:jc w:val="center"/>
                    <w:rPr>
                      <w:b/>
                      <w:szCs w:val="21"/>
                    </w:rPr>
                  </w:pPr>
                </w:p>
              </w:tc>
            </w:tr>
            <w:tr w14:paraId="17A9B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38A59E05">
                  <w:pPr>
                    <w:pStyle w:val="8"/>
                    <w:adjustRightInd w:val="0"/>
                    <w:snapToGrid w:val="0"/>
                    <w:jc w:val="center"/>
                    <w:rPr>
                      <w:szCs w:val="21"/>
                    </w:rPr>
                  </w:pPr>
                  <w:r>
                    <w:rPr>
                      <w:rFonts w:hint="eastAsia"/>
                      <w:szCs w:val="21"/>
                    </w:rPr>
                    <w:t>11</w:t>
                  </w:r>
                </w:p>
              </w:tc>
              <w:tc>
                <w:tcPr>
                  <w:tcW w:w="562" w:type="dxa"/>
                  <w:vMerge w:val="continue"/>
                  <w:vAlign w:val="center"/>
                </w:tcPr>
                <w:p w14:paraId="24B5D259">
                  <w:pPr>
                    <w:pStyle w:val="8"/>
                    <w:adjustRightInd w:val="0"/>
                    <w:snapToGrid w:val="0"/>
                    <w:jc w:val="center"/>
                    <w:rPr>
                      <w:szCs w:val="21"/>
                    </w:rPr>
                  </w:pPr>
                </w:p>
              </w:tc>
              <w:tc>
                <w:tcPr>
                  <w:tcW w:w="1724" w:type="dxa"/>
                  <w:vAlign w:val="center"/>
                </w:tcPr>
                <w:p w14:paraId="699DDECF">
                  <w:pPr>
                    <w:pStyle w:val="8"/>
                    <w:adjustRightInd w:val="0"/>
                    <w:snapToGrid w:val="0"/>
                    <w:jc w:val="center"/>
                    <w:rPr>
                      <w:szCs w:val="21"/>
                    </w:rPr>
                  </w:pPr>
                  <w:r>
                    <w:rPr>
                      <w:szCs w:val="21"/>
                    </w:rPr>
                    <w:t>注射机（</w:t>
                  </w:r>
                  <w:r>
                    <w:rPr>
                      <w:rFonts w:hint="eastAsia"/>
                      <w:szCs w:val="21"/>
                    </w:rPr>
                    <w:t>6台</w:t>
                  </w:r>
                  <w:r>
                    <w:rPr>
                      <w:szCs w:val="21"/>
                    </w:rPr>
                    <w:t>）</w:t>
                  </w:r>
                </w:p>
              </w:tc>
              <w:tc>
                <w:tcPr>
                  <w:tcW w:w="1239" w:type="dxa"/>
                  <w:vAlign w:val="center"/>
                </w:tcPr>
                <w:p w14:paraId="4E04C96A">
                  <w:pPr>
                    <w:pStyle w:val="8"/>
                    <w:adjustRightInd w:val="0"/>
                    <w:snapToGrid w:val="0"/>
                    <w:jc w:val="center"/>
                    <w:rPr>
                      <w:szCs w:val="21"/>
                    </w:rPr>
                  </w:pPr>
                  <w:r>
                    <w:rPr>
                      <w:rFonts w:hint="eastAsia"/>
                      <w:szCs w:val="21"/>
                    </w:rPr>
                    <w:t>85</w:t>
                  </w:r>
                </w:p>
              </w:tc>
              <w:tc>
                <w:tcPr>
                  <w:tcW w:w="730" w:type="dxa"/>
                  <w:vMerge w:val="continue"/>
                  <w:vAlign w:val="center"/>
                </w:tcPr>
                <w:p w14:paraId="340C27A8">
                  <w:pPr>
                    <w:pStyle w:val="8"/>
                    <w:adjustRightInd w:val="0"/>
                    <w:snapToGrid w:val="0"/>
                    <w:jc w:val="center"/>
                    <w:rPr>
                      <w:b/>
                      <w:szCs w:val="21"/>
                    </w:rPr>
                  </w:pPr>
                </w:p>
              </w:tc>
              <w:tc>
                <w:tcPr>
                  <w:tcW w:w="1000" w:type="dxa"/>
                  <w:vAlign w:val="center"/>
                </w:tcPr>
                <w:p w14:paraId="510688AF">
                  <w:pPr>
                    <w:adjustRightInd w:val="0"/>
                    <w:snapToGrid w:val="0"/>
                    <w:jc w:val="center"/>
                    <w:rPr>
                      <w:szCs w:val="21"/>
                    </w:rPr>
                  </w:pPr>
                  <w:r>
                    <w:rPr>
                      <w:szCs w:val="21"/>
                    </w:rPr>
                    <w:t>20</w:t>
                  </w:r>
                </w:p>
              </w:tc>
              <w:tc>
                <w:tcPr>
                  <w:tcW w:w="889" w:type="dxa"/>
                  <w:vAlign w:val="center"/>
                </w:tcPr>
                <w:p w14:paraId="79FD6027">
                  <w:pPr>
                    <w:adjustRightInd w:val="0"/>
                    <w:snapToGrid w:val="0"/>
                    <w:jc w:val="center"/>
                    <w:rPr>
                      <w:szCs w:val="21"/>
                    </w:rPr>
                  </w:pPr>
                  <w:r>
                    <w:rPr>
                      <w:szCs w:val="21"/>
                    </w:rPr>
                    <w:t>35</w:t>
                  </w:r>
                </w:p>
              </w:tc>
              <w:tc>
                <w:tcPr>
                  <w:tcW w:w="889" w:type="dxa"/>
                  <w:vAlign w:val="center"/>
                </w:tcPr>
                <w:p w14:paraId="3AAC868C">
                  <w:pPr>
                    <w:pStyle w:val="8"/>
                    <w:adjustRightInd w:val="0"/>
                    <w:snapToGrid w:val="0"/>
                    <w:jc w:val="center"/>
                    <w:rPr>
                      <w:bCs/>
                      <w:szCs w:val="21"/>
                    </w:rPr>
                  </w:pPr>
                  <w:r>
                    <w:rPr>
                      <w:bCs/>
                      <w:szCs w:val="21"/>
                    </w:rPr>
                    <w:t>0</w:t>
                  </w:r>
                </w:p>
              </w:tc>
              <w:tc>
                <w:tcPr>
                  <w:tcW w:w="1112" w:type="dxa"/>
                  <w:vAlign w:val="center"/>
                </w:tcPr>
                <w:p w14:paraId="3AE384EB">
                  <w:pPr>
                    <w:widowControl/>
                    <w:adjustRightInd w:val="0"/>
                    <w:snapToGrid w:val="0"/>
                    <w:jc w:val="center"/>
                    <w:textAlignment w:val="center"/>
                    <w:rPr>
                      <w:kern w:val="0"/>
                      <w:szCs w:val="21"/>
                    </w:rPr>
                  </w:pPr>
                  <w:r>
                    <w:rPr>
                      <w:kern w:val="0"/>
                      <w:szCs w:val="21"/>
                    </w:rPr>
                    <w:t>1</w:t>
                  </w:r>
                </w:p>
              </w:tc>
              <w:tc>
                <w:tcPr>
                  <w:tcW w:w="1344" w:type="dxa"/>
                  <w:vAlign w:val="center"/>
                </w:tcPr>
                <w:p w14:paraId="0D2C6621">
                  <w:pPr>
                    <w:widowControl/>
                    <w:adjustRightInd w:val="0"/>
                    <w:snapToGrid w:val="0"/>
                    <w:jc w:val="center"/>
                    <w:textAlignment w:val="center"/>
                    <w:rPr>
                      <w:kern w:val="0"/>
                      <w:szCs w:val="21"/>
                    </w:rPr>
                  </w:pPr>
                  <w:r>
                    <w:rPr>
                      <w:kern w:val="0"/>
                      <w:szCs w:val="21"/>
                    </w:rPr>
                    <w:t>69.1</w:t>
                  </w:r>
                </w:p>
              </w:tc>
              <w:tc>
                <w:tcPr>
                  <w:tcW w:w="619" w:type="dxa"/>
                  <w:vMerge w:val="continue"/>
                  <w:vAlign w:val="center"/>
                </w:tcPr>
                <w:p w14:paraId="73B78D2A">
                  <w:pPr>
                    <w:pStyle w:val="8"/>
                    <w:adjustRightInd w:val="0"/>
                    <w:snapToGrid w:val="0"/>
                    <w:jc w:val="center"/>
                    <w:rPr>
                      <w:b/>
                      <w:szCs w:val="21"/>
                    </w:rPr>
                  </w:pPr>
                </w:p>
              </w:tc>
              <w:tc>
                <w:tcPr>
                  <w:tcW w:w="1180" w:type="dxa"/>
                  <w:vAlign w:val="center"/>
                </w:tcPr>
                <w:p w14:paraId="06AA3AD0">
                  <w:pPr>
                    <w:adjustRightInd w:val="0"/>
                    <w:snapToGrid w:val="0"/>
                    <w:jc w:val="center"/>
                    <w:rPr>
                      <w:bCs/>
                      <w:szCs w:val="21"/>
                    </w:rPr>
                  </w:pPr>
                  <w:r>
                    <w:rPr>
                      <w:bCs/>
                      <w:szCs w:val="21"/>
                    </w:rPr>
                    <w:t>25</w:t>
                  </w:r>
                </w:p>
              </w:tc>
              <w:tc>
                <w:tcPr>
                  <w:tcW w:w="969" w:type="dxa"/>
                  <w:vMerge w:val="continue"/>
                  <w:vAlign w:val="center"/>
                </w:tcPr>
                <w:p w14:paraId="6B8B8141">
                  <w:pPr>
                    <w:pStyle w:val="8"/>
                    <w:adjustRightInd w:val="0"/>
                    <w:snapToGrid w:val="0"/>
                    <w:jc w:val="center"/>
                    <w:rPr>
                      <w:b/>
                      <w:szCs w:val="21"/>
                    </w:rPr>
                  </w:pPr>
                </w:p>
              </w:tc>
              <w:tc>
                <w:tcPr>
                  <w:tcW w:w="1027" w:type="dxa"/>
                  <w:gridSpan w:val="2"/>
                  <w:vMerge w:val="continue"/>
                  <w:vAlign w:val="center"/>
                </w:tcPr>
                <w:p w14:paraId="01867D12">
                  <w:pPr>
                    <w:pStyle w:val="8"/>
                    <w:adjustRightInd w:val="0"/>
                    <w:snapToGrid w:val="0"/>
                    <w:jc w:val="center"/>
                    <w:rPr>
                      <w:b/>
                      <w:szCs w:val="21"/>
                    </w:rPr>
                  </w:pPr>
                </w:p>
              </w:tc>
            </w:tr>
            <w:tr w14:paraId="215A5B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16CA90CD">
                  <w:pPr>
                    <w:pStyle w:val="8"/>
                    <w:adjustRightInd w:val="0"/>
                    <w:snapToGrid w:val="0"/>
                    <w:jc w:val="center"/>
                    <w:rPr>
                      <w:szCs w:val="21"/>
                    </w:rPr>
                  </w:pPr>
                  <w:r>
                    <w:rPr>
                      <w:rFonts w:hint="eastAsia"/>
                      <w:szCs w:val="21"/>
                    </w:rPr>
                    <w:t>12</w:t>
                  </w:r>
                </w:p>
              </w:tc>
              <w:tc>
                <w:tcPr>
                  <w:tcW w:w="562" w:type="dxa"/>
                  <w:vMerge w:val="continue"/>
                  <w:vAlign w:val="center"/>
                </w:tcPr>
                <w:p w14:paraId="383BBC05">
                  <w:pPr>
                    <w:pStyle w:val="8"/>
                    <w:adjustRightInd w:val="0"/>
                    <w:snapToGrid w:val="0"/>
                    <w:jc w:val="center"/>
                    <w:rPr>
                      <w:szCs w:val="21"/>
                    </w:rPr>
                  </w:pPr>
                </w:p>
              </w:tc>
              <w:tc>
                <w:tcPr>
                  <w:tcW w:w="1724" w:type="dxa"/>
                  <w:vAlign w:val="center"/>
                </w:tcPr>
                <w:p w14:paraId="5E1FAD3E">
                  <w:pPr>
                    <w:pStyle w:val="8"/>
                    <w:adjustRightInd w:val="0"/>
                    <w:snapToGrid w:val="0"/>
                    <w:jc w:val="center"/>
                    <w:rPr>
                      <w:szCs w:val="21"/>
                    </w:rPr>
                  </w:pPr>
                  <w:r>
                    <w:rPr>
                      <w:szCs w:val="21"/>
                    </w:rPr>
                    <w:t>真空成型机（</w:t>
                  </w:r>
                  <w:r>
                    <w:rPr>
                      <w:rFonts w:hint="eastAsia"/>
                      <w:szCs w:val="21"/>
                    </w:rPr>
                    <w:t>6台</w:t>
                  </w:r>
                  <w:r>
                    <w:rPr>
                      <w:szCs w:val="21"/>
                    </w:rPr>
                    <w:t>）</w:t>
                  </w:r>
                </w:p>
              </w:tc>
              <w:tc>
                <w:tcPr>
                  <w:tcW w:w="1239" w:type="dxa"/>
                  <w:vAlign w:val="center"/>
                </w:tcPr>
                <w:p w14:paraId="59E406AB">
                  <w:pPr>
                    <w:pStyle w:val="8"/>
                    <w:adjustRightInd w:val="0"/>
                    <w:snapToGrid w:val="0"/>
                    <w:jc w:val="center"/>
                    <w:rPr>
                      <w:szCs w:val="21"/>
                    </w:rPr>
                  </w:pPr>
                  <w:r>
                    <w:rPr>
                      <w:rFonts w:hint="eastAsia"/>
                      <w:szCs w:val="21"/>
                    </w:rPr>
                    <w:t>82</w:t>
                  </w:r>
                </w:p>
              </w:tc>
              <w:tc>
                <w:tcPr>
                  <w:tcW w:w="730" w:type="dxa"/>
                  <w:vMerge w:val="continue"/>
                  <w:vAlign w:val="center"/>
                </w:tcPr>
                <w:p w14:paraId="61C5B004">
                  <w:pPr>
                    <w:pStyle w:val="8"/>
                    <w:adjustRightInd w:val="0"/>
                    <w:snapToGrid w:val="0"/>
                    <w:jc w:val="center"/>
                    <w:rPr>
                      <w:b/>
                      <w:szCs w:val="21"/>
                    </w:rPr>
                  </w:pPr>
                </w:p>
              </w:tc>
              <w:tc>
                <w:tcPr>
                  <w:tcW w:w="1000" w:type="dxa"/>
                  <w:vAlign w:val="center"/>
                </w:tcPr>
                <w:p w14:paraId="0C64D719">
                  <w:pPr>
                    <w:adjustRightInd w:val="0"/>
                    <w:snapToGrid w:val="0"/>
                    <w:jc w:val="center"/>
                    <w:rPr>
                      <w:szCs w:val="21"/>
                    </w:rPr>
                  </w:pPr>
                  <w:r>
                    <w:rPr>
                      <w:szCs w:val="21"/>
                    </w:rPr>
                    <w:t>10</w:t>
                  </w:r>
                </w:p>
              </w:tc>
              <w:tc>
                <w:tcPr>
                  <w:tcW w:w="889" w:type="dxa"/>
                  <w:vAlign w:val="center"/>
                </w:tcPr>
                <w:p w14:paraId="0B3C1881">
                  <w:pPr>
                    <w:adjustRightInd w:val="0"/>
                    <w:snapToGrid w:val="0"/>
                    <w:jc w:val="center"/>
                    <w:rPr>
                      <w:szCs w:val="21"/>
                    </w:rPr>
                  </w:pPr>
                  <w:r>
                    <w:rPr>
                      <w:szCs w:val="21"/>
                    </w:rPr>
                    <w:t>35</w:t>
                  </w:r>
                </w:p>
              </w:tc>
              <w:tc>
                <w:tcPr>
                  <w:tcW w:w="889" w:type="dxa"/>
                  <w:vAlign w:val="center"/>
                </w:tcPr>
                <w:p w14:paraId="2299DF28">
                  <w:pPr>
                    <w:pStyle w:val="8"/>
                    <w:adjustRightInd w:val="0"/>
                    <w:snapToGrid w:val="0"/>
                    <w:jc w:val="center"/>
                    <w:rPr>
                      <w:bCs/>
                      <w:szCs w:val="21"/>
                    </w:rPr>
                  </w:pPr>
                  <w:r>
                    <w:rPr>
                      <w:bCs/>
                      <w:szCs w:val="21"/>
                    </w:rPr>
                    <w:t>8</w:t>
                  </w:r>
                </w:p>
              </w:tc>
              <w:tc>
                <w:tcPr>
                  <w:tcW w:w="1112" w:type="dxa"/>
                  <w:vAlign w:val="center"/>
                </w:tcPr>
                <w:p w14:paraId="727A0579">
                  <w:pPr>
                    <w:widowControl/>
                    <w:adjustRightInd w:val="0"/>
                    <w:snapToGrid w:val="0"/>
                    <w:jc w:val="center"/>
                    <w:textAlignment w:val="center"/>
                    <w:rPr>
                      <w:kern w:val="0"/>
                      <w:szCs w:val="21"/>
                    </w:rPr>
                  </w:pPr>
                  <w:r>
                    <w:rPr>
                      <w:kern w:val="0"/>
                      <w:szCs w:val="21"/>
                    </w:rPr>
                    <w:t>1</w:t>
                  </w:r>
                </w:p>
              </w:tc>
              <w:tc>
                <w:tcPr>
                  <w:tcW w:w="1344" w:type="dxa"/>
                  <w:vAlign w:val="center"/>
                </w:tcPr>
                <w:p w14:paraId="6EF7BD79">
                  <w:pPr>
                    <w:widowControl/>
                    <w:adjustRightInd w:val="0"/>
                    <w:snapToGrid w:val="0"/>
                    <w:jc w:val="center"/>
                    <w:textAlignment w:val="center"/>
                    <w:rPr>
                      <w:kern w:val="0"/>
                      <w:szCs w:val="21"/>
                    </w:rPr>
                  </w:pPr>
                  <w:r>
                    <w:rPr>
                      <w:kern w:val="0"/>
                      <w:szCs w:val="21"/>
                    </w:rPr>
                    <w:t>74.1</w:t>
                  </w:r>
                </w:p>
              </w:tc>
              <w:tc>
                <w:tcPr>
                  <w:tcW w:w="619" w:type="dxa"/>
                  <w:vMerge w:val="continue"/>
                  <w:vAlign w:val="center"/>
                </w:tcPr>
                <w:p w14:paraId="0894109B">
                  <w:pPr>
                    <w:pStyle w:val="8"/>
                    <w:adjustRightInd w:val="0"/>
                    <w:snapToGrid w:val="0"/>
                    <w:jc w:val="center"/>
                    <w:rPr>
                      <w:b/>
                      <w:szCs w:val="21"/>
                    </w:rPr>
                  </w:pPr>
                </w:p>
              </w:tc>
              <w:tc>
                <w:tcPr>
                  <w:tcW w:w="1180" w:type="dxa"/>
                  <w:vAlign w:val="center"/>
                </w:tcPr>
                <w:p w14:paraId="36602343">
                  <w:pPr>
                    <w:adjustRightInd w:val="0"/>
                    <w:snapToGrid w:val="0"/>
                    <w:jc w:val="center"/>
                    <w:rPr>
                      <w:bCs/>
                      <w:szCs w:val="21"/>
                    </w:rPr>
                  </w:pPr>
                  <w:r>
                    <w:rPr>
                      <w:bCs/>
                      <w:szCs w:val="21"/>
                    </w:rPr>
                    <w:t>25</w:t>
                  </w:r>
                </w:p>
              </w:tc>
              <w:tc>
                <w:tcPr>
                  <w:tcW w:w="969" w:type="dxa"/>
                  <w:vMerge w:val="continue"/>
                  <w:vAlign w:val="center"/>
                </w:tcPr>
                <w:p w14:paraId="4C0D44C7">
                  <w:pPr>
                    <w:pStyle w:val="8"/>
                    <w:adjustRightInd w:val="0"/>
                    <w:snapToGrid w:val="0"/>
                    <w:jc w:val="center"/>
                    <w:rPr>
                      <w:b/>
                      <w:szCs w:val="21"/>
                    </w:rPr>
                  </w:pPr>
                </w:p>
              </w:tc>
              <w:tc>
                <w:tcPr>
                  <w:tcW w:w="1027" w:type="dxa"/>
                  <w:gridSpan w:val="2"/>
                  <w:vMerge w:val="continue"/>
                  <w:vAlign w:val="center"/>
                </w:tcPr>
                <w:p w14:paraId="10487F51">
                  <w:pPr>
                    <w:pStyle w:val="8"/>
                    <w:adjustRightInd w:val="0"/>
                    <w:snapToGrid w:val="0"/>
                    <w:jc w:val="center"/>
                    <w:rPr>
                      <w:b/>
                      <w:szCs w:val="21"/>
                    </w:rPr>
                  </w:pPr>
                </w:p>
              </w:tc>
            </w:tr>
            <w:tr w14:paraId="535232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5A13C2CF">
                  <w:pPr>
                    <w:pStyle w:val="8"/>
                    <w:adjustRightInd w:val="0"/>
                    <w:snapToGrid w:val="0"/>
                    <w:jc w:val="center"/>
                    <w:rPr>
                      <w:szCs w:val="21"/>
                    </w:rPr>
                  </w:pPr>
                  <w:r>
                    <w:rPr>
                      <w:rFonts w:hint="eastAsia"/>
                      <w:szCs w:val="21"/>
                    </w:rPr>
                    <w:t>13</w:t>
                  </w:r>
                </w:p>
              </w:tc>
              <w:tc>
                <w:tcPr>
                  <w:tcW w:w="562" w:type="dxa"/>
                  <w:vMerge w:val="continue"/>
                  <w:vAlign w:val="center"/>
                </w:tcPr>
                <w:p w14:paraId="46D5CB33">
                  <w:pPr>
                    <w:pStyle w:val="8"/>
                    <w:adjustRightInd w:val="0"/>
                    <w:snapToGrid w:val="0"/>
                    <w:jc w:val="center"/>
                    <w:rPr>
                      <w:szCs w:val="21"/>
                    </w:rPr>
                  </w:pPr>
                </w:p>
              </w:tc>
              <w:tc>
                <w:tcPr>
                  <w:tcW w:w="1724" w:type="dxa"/>
                  <w:vAlign w:val="center"/>
                </w:tcPr>
                <w:p w14:paraId="6B371F2A">
                  <w:pPr>
                    <w:pStyle w:val="8"/>
                    <w:adjustRightInd w:val="0"/>
                    <w:snapToGrid w:val="0"/>
                    <w:jc w:val="center"/>
                    <w:rPr>
                      <w:szCs w:val="21"/>
                    </w:rPr>
                  </w:pPr>
                  <w:r>
                    <w:rPr>
                      <w:szCs w:val="21"/>
                    </w:rPr>
                    <w:t>自动修剪机（</w:t>
                  </w:r>
                  <w:r>
                    <w:rPr>
                      <w:rFonts w:hint="eastAsia"/>
                      <w:szCs w:val="21"/>
                    </w:rPr>
                    <w:t>5台</w:t>
                  </w:r>
                  <w:r>
                    <w:rPr>
                      <w:szCs w:val="21"/>
                    </w:rPr>
                    <w:t>）</w:t>
                  </w:r>
                </w:p>
              </w:tc>
              <w:tc>
                <w:tcPr>
                  <w:tcW w:w="1239" w:type="dxa"/>
                  <w:vAlign w:val="center"/>
                </w:tcPr>
                <w:p w14:paraId="49D35D19">
                  <w:pPr>
                    <w:pStyle w:val="8"/>
                    <w:adjustRightInd w:val="0"/>
                    <w:snapToGrid w:val="0"/>
                    <w:jc w:val="center"/>
                    <w:rPr>
                      <w:szCs w:val="21"/>
                    </w:rPr>
                  </w:pPr>
                  <w:r>
                    <w:rPr>
                      <w:rFonts w:hint="eastAsia"/>
                      <w:szCs w:val="21"/>
                    </w:rPr>
                    <w:t>78</w:t>
                  </w:r>
                </w:p>
              </w:tc>
              <w:tc>
                <w:tcPr>
                  <w:tcW w:w="730" w:type="dxa"/>
                  <w:vMerge w:val="continue"/>
                  <w:vAlign w:val="center"/>
                </w:tcPr>
                <w:p w14:paraId="1C34F078">
                  <w:pPr>
                    <w:pStyle w:val="8"/>
                    <w:adjustRightInd w:val="0"/>
                    <w:snapToGrid w:val="0"/>
                    <w:jc w:val="center"/>
                    <w:rPr>
                      <w:b/>
                      <w:szCs w:val="21"/>
                    </w:rPr>
                  </w:pPr>
                </w:p>
              </w:tc>
              <w:tc>
                <w:tcPr>
                  <w:tcW w:w="1000" w:type="dxa"/>
                  <w:vAlign w:val="center"/>
                </w:tcPr>
                <w:p w14:paraId="22E15449">
                  <w:pPr>
                    <w:adjustRightInd w:val="0"/>
                    <w:snapToGrid w:val="0"/>
                    <w:jc w:val="center"/>
                    <w:rPr>
                      <w:szCs w:val="21"/>
                    </w:rPr>
                  </w:pPr>
                  <w:r>
                    <w:rPr>
                      <w:szCs w:val="21"/>
                    </w:rPr>
                    <w:t>8</w:t>
                  </w:r>
                </w:p>
              </w:tc>
              <w:tc>
                <w:tcPr>
                  <w:tcW w:w="889" w:type="dxa"/>
                  <w:vAlign w:val="center"/>
                </w:tcPr>
                <w:p w14:paraId="644E5E49">
                  <w:pPr>
                    <w:adjustRightInd w:val="0"/>
                    <w:snapToGrid w:val="0"/>
                    <w:jc w:val="center"/>
                    <w:rPr>
                      <w:szCs w:val="21"/>
                    </w:rPr>
                  </w:pPr>
                  <w:r>
                    <w:rPr>
                      <w:szCs w:val="21"/>
                    </w:rPr>
                    <w:t>1</w:t>
                  </w:r>
                </w:p>
              </w:tc>
              <w:tc>
                <w:tcPr>
                  <w:tcW w:w="889" w:type="dxa"/>
                  <w:vAlign w:val="center"/>
                </w:tcPr>
                <w:p w14:paraId="615E9CCE">
                  <w:pPr>
                    <w:pStyle w:val="8"/>
                    <w:adjustRightInd w:val="0"/>
                    <w:snapToGrid w:val="0"/>
                    <w:jc w:val="center"/>
                    <w:rPr>
                      <w:bCs/>
                      <w:szCs w:val="21"/>
                    </w:rPr>
                  </w:pPr>
                  <w:r>
                    <w:rPr>
                      <w:bCs/>
                      <w:szCs w:val="21"/>
                    </w:rPr>
                    <w:t>0</w:t>
                  </w:r>
                </w:p>
              </w:tc>
              <w:tc>
                <w:tcPr>
                  <w:tcW w:w="1112" w:type="dxa"/>
                  <w:vAlign w:val="center"/>
                </w:tcPr>
                <w:p w14:paraId="379D3066">
                  <w:pPr>
                    <w:widowControl/>
                    <w:adjustRightInd w:val="0"/>
                    <w:snapToGrid w:val="0"/>
                    <w:jc w:val="center"/>
                    <w:textAlignment w:val="center"/>
                    <w:rPr>
                      <w:kern w:val="0"/>
                      <w:szCs w:val="21"/>
                    </w:rPr>
                  </w:pPr>
                  <w:r>
                    <w:rPr>
                      <w:kern w:val="0"/>
                      <w:szCs w:val="21"/>
                    </w:rPr>
                    <w:t>8</w:t>
                  </w:r>
                </w:p>
              </w:tc>
              <w:tc>
                <w:tcPr>
                  <w:tcW w:w="1344" w:type="dxa"/>
                  <w:vAlign w:val="center"/>
                </w:tcPr>
                <w:p w14:paraId="290A5EF9">
                  <w:pPr>
                    <w:widowControl/>
                    <w:adjustRightInd w:val="0"/>
                    <w:snapToGrid w:val="0"/>
                    <w:jc w:val="center"/>
                    <w:textAlignment w:val="center"/>
                    <w:rPr>
                      <w:kern w:val="0"/>
                      <w:szCs w:val="21"/>
                    </w:rPr>
                  </w:pPr>
                  <w:r>
                    <w:rPr>
                      <w:kern w:val="0"/>
                      <w:szCs w:val="21"/>
                    </w:rPr>
                    <w:t>64.2</w:t>
                  </w:r>
                </w:p>
              </w:tc>
              <w:tc>
                <w:tcPr>
                  <w:tcW w:w="619" w:type="dxa"/>
                  <w:vMerge w:val="continue"/>
                  <w:vAlign w:val="center"/>
                </w:tcPr>
                <w:p w14:paraId="6CF8665D">
                  <w:pPr>
                    <w:pStyle w:val="8"/>
                    <w:adjustRightInd w:val="0"/>
                    <w:snapToGrid w:val="0"/>
                    <w:jc w:val="center"/>
                    <w:rPr>
                      <w:b/>
                      <w:szCs w:val="21"/>
                    </w:rPr>
                  </w:pPr>
                </w:p>
              </w:tc>
              <w:tc>
                <w:tcPr>
                  <w:tcW w:w="1180" w:type="dxa"/>
                  <w:vAlign w:val="center"/>
                </w:tcPr>
                <w:p w14:paraId="25740664">
                  <w:pPr>
                    <w:adjustRightInd w:val="0"/>
                    <w:snapToGrid w:val="0"/>
                    <w:jc w:val="center"/>
                    <w:rPr>
                      <w:bCs/>
                      <w:szCs w:val="21"/>
                    </w:rPr>
                  </w:pPr>
                  <w:r>
                    <w:rPr>
                      <w:bCs/>
                      <w:szCs w:val="21"/>
                    </w:rPr>
                    <w:t>25</w:t>
                  </w:r>
                </w:p>
              </w:tc>
              <w:tc>
                <w:tcPr>
                  <w:tcW w:w="969" w:type="dxa"/>
                  <w:vMerge w:val="continue"/>
                  <w:vAlign w:val="center"/>
                </w:tcPr>
                <w:p w14:paraId="1439B3C1">
                  <w:pPr>
                    <w:pStyle w:val="8"/>
                    <w:adjustRightInd w:val="0"/>
                    <w:snapToGrid w:val="0"/>
                    <w:jc w:val="center"/>
                    <w:rPr>
                      <w:b/>
                      <w:szCs w:val="21"/>
                    </w:rPr>
                  </w:pPr>
                </w:p>
              </w:tc>
              <w:tc>
                <w:tcPr>
                  <w:tcW w:w="1027" w:type="dxa"/>
                  <w:gridSpan w:val="2"/>
                  <w:vMerge w:val="continue"/>
                  <w:vAlign w:val="center"/>
                </w:tcPr>
                <w:p w14:paraId="1E3555A2">
                  <w:pPr>
                    <w:pStyle w:val="8"/>
                    <w:adjustRightInd w:val="0"/>
                    <w:snapToGrid w:val="0"/>
                    <w:jc w:val="center"/>
                    <w:rPr>
                      <w:b/>
                      <w:szCs w:val="21"/>
                    </w:rPr>
                  </w:pPr>
                </w:p>
              </w:tc>
            </w:tr>
            <w:tr w14:paraId="3FC55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10D3C6EB">
                  <w:pPr>
                    <w:pStyle w:val="8"/>
                    <w:adjustRightInd w:val="0"/>
                    <w:snapToGrid w:val="0"/>
                    <w:jc w:val="center"/>
                    <w:rPr>
                      <w:szCs w:val="21"/>
                    </w:rPr>
                  </w:pPr>
                  <w:r>
                    <w:rPr>
                      <w:rFonts w:hint="eastAsia"/>
                      <w:szCs w:val="21"/>
                    </w:rPr>
                    <w:t>14</w:t>
                  </w:r>
                </w:p>
              </w:tc>
              <w:tc>
                <w:tcPr>
                  <w:tcW w:w="562" w:type="dxa"/>
                  <w:vMerge w:val="continue"/>
                  <w:vAlign w:val="center"/>
                </w:tcPr>
                <w:p w14:paraId="38011504">
                  <w:pPr>
                    <w:pStyle w:val="8"/>
                    <w:adjustRightInd w:val="0"/>
                    <w:snapToGrid w:val="0"/>
                    <w:jc w:val="center"/>
                    <w:rPr>
                      <w:szCs w:val="21"/>
                    </w:rPr>
                  </w:pPr>
                </w:p>
              </w:tc>
              <w:tc>
                <w:tcPr>
                  <w:tcW w:w="1724" w:type="dxa"/>
                  <w:vAlign w:val="center"/>
                </w:tcPr>
                <w:p w14:paraId="742A51D2">
                  <w:pPr>
                    <w:pStyle w:val="8"/>
                    <w:adjustRightInd w:val="0"/>
                    <w:snapToGrid w:val="0"/>
                    <w:jc w:val="center"/>
                    <w:rPr>
                      <w:szCs w:val="21"/>
                    </w:rPr>
                  </w:pPr>
                  <w:r>
                    <w:rPr>
                      <w:szCs w:val="21"/>
                    </w:rPr>
                    <w:t>自动组合滚边线（</w:t>
                  </w:r>
                  <w:r>
                    <w:rPr>
                      <w:rFonts w:hint="eastAsia"/>
                      <w:szCs w:val="21"/>
                    </w:rPr>
                    <w:t>6台</w:t>
                  </w:r>
                  <w:r>
                    <w:rPr>
                      <w:szCs w:val="21"/>
                    </w:rPr>
                    <w:t>）</w:t>
                  </w:r>
                </w:p>
              </w:tc>
              <w:tc>
                <w:tcPr>
                  <w:tcW w:w="1239" w:type="dxa"/>
                  <w:vAlign w:val="center"/>
                </w:tcPr>
                <w:p w14:paraId="3BEE8340">
                  <w:pPr>
                    <w:pStyle w:val="8"/>
                    <w:adjustRightInd w:val="0"/>
                    <w:snapToGrid w:val="0"/>
                    <w:jc w:val="center"/>
                    <w:rPr>
                      <w:szCs w:val="21"/>
                    </w:rPr>
                  </w:pPr>
                  <w:r>
                    <w:rPr>
                      <w:rFonts w:hint="eastAsia"/>
                      <w:szCs w:val="21"/>
                    </w:rPr>
                    <w:t>75</w:t>
                  </w:r>
                </w:p>
              </w:tc>
              <w:tc>
                <w:tcPr>
                  <w:tcW w:w="730" w:type="dxa"/>
                  <w:vMerge w:val="continue"/>
                  <w:vAlign w:val="center"/>
                </w:tcPr>
                <w:p w14:paraId="18121422">
                  <w:pPr>
                    <w:pStyle w:val="8"/>
                    <w:adjustRightInd w:val="0"/>
                    <w:snapToGrid w:val="0"/>
                    <w:jc w:val="center"/>
                    <w:rPr>
                      <w:b/>
                      <w:szCs w:val="21"/>
                    </w:rPr>
                  </w:pPr>
                </w:p>
              </w:tc>
              <w:tc>
                <w:tcPr>
                  <w:tcW w:w="1000" w:type="dxa"/>
                  <w:vAlign w:val="center"/>
                </w:tcPr>
                <w:p w14:paraId="1D5D83A2">
                  <w:pPr>
                    <w:adjustRightInd w:val="0"/>
                    <w:snapToGrid w:val="0"/>
                    <w:jc w:val="center"/>
                    <w:rPr>
                      <w:szCs w:val="21"/>
                    </w:rPr>
                  </w:pPr>
                  <w:r>
                    <w:rPr>
                      <w:szCs w:val="21"/>
                    </w:rPr>
                    <w:t>44</w:t>
                  </w:r>
                </w:p>
              </w:tc>
              <w:tc>
                <w:tcPr>
                  <w:tcW w:w="889" w:type="dxa"/>
                  <w:vAlign w:val="center"/>
                </w:tcPr>
                <w:p w14:paraId="1FBE3B6A">
                  <w:pPr>
                    <w:adjustRightInd w:val="0"/>
                    <w:snapToGrid w:val="0"/>
                    <w:jc w:val="center"/>
                    <w:rPr>
                      <w:szCs w:val="21"/>
                    </w:rPr>
                  </w:pPr>
                  <w:r>
                    <w:rPr>
                      <w:szCs w:val="21"/>
                    </w:rPr>
                    <w:t>17</w:t>
                  </w:r>
                </w:p>
              </w:tc>
              <w:tc>
                <w:tcPr>
                  <w:tcW w:w="889" w:type="dxa"/>
                  <w:vAlign w:val="center"/>
                </w:tcPr>
                <w:p w14:paraId="2B2CD8BA">
                  <w:pPr>
                    <w:pStyle w:val="8"/>
                    <w:adjustRightInd w:val="0"/>
                    <w:snapToGrid w:val="0"/>
                    <w:jc w:val="center"/>
                    <w:rPr>
                      <w:bCs/>
                      <w:szCs w:val="21"/>
                    </w:rPr>
                  </w:pPr>
                  <w:r>
                    <w:rPr>
                      <w:bCs/>
                      <w:szCs w:val="21"/>
                    </w:rPr>
                    <w:t>0</w:t>
                  </w:r>
                </w:p>
              </w:tc>
              <w:tc>
                <w:tcPr>
                  <w:tcW w:w="1112" w:type="dxa"/>
                  <w:vAlign w:val="center"/>
                </w:tcPr>
                <w:p w14:paraId="4A54761D">
                  <w:pPr>
                    <w:widowControl/>
                    <w:adjustRightInd w:val="0"/>
                    <w:snapToGrid w:val="0"/>
                    <w:jc w:val="center"/>
                    <w:textAlignment w:val="center"/>
                    <w:rPr>
                      <w:bCs/>
                      <w:szCs w:val="21"/>
                    </w:rPr>
                  </w:pPr>
                  <w:r>
                    <w:rPr>
                      <w:bCs/>
                      <w:szCs w:val="21"/>
                    </w:rPr>
                    <w:t>17</w:t>
                  </w:r>
                </w:p>
              </w:tc>
              <w:tc>
                <w:tcPr>
                  <w:tcW w:w="1344" w:type="dxa"/>
                  <w:vAlign w:val="center"/>
                </w:tcPr>
                <w:p w14:paraId="1298A38D">
                  <w:pPr>
                    <w:widowControl/>
                    <w:adjustRightInd w:val="0"/>
                    <w:snapToGrid w:val="0"/>
                    <w:jc w:val="center"/>
                    <w:textAlignment w:val="center"/>
                    <w:rPr>
                      <w:szCs w:val="21"/>
                    </w:rPr>
                  </w:pPr>
                  <w:r>
                    <w:rPr>
                      <w:kern w:val="0"/>
                      <w:szCs w:val="21"/>
                    </w:rPr>
                    <w:t>52.2</w:t>
                  </w:r>
                </w:p>
              </w:tc>
              <w:tc>
                <w:tcPr>
                  <w:tcW w:w="619" w:type="dxa"/>
                  <w:vMerge w:val="continue"/>
                  <w:vAlign w:val="center"/>
                </w:tcPr>
                <w:p w14:paraId="425DAD35">
                  <w:pPr>
                    <w:pStyle w:val="8"/>
                    <w:adjustRightInd w:val="0"/>
                    <w:snapToGrid w:val="0"/>
                    <w:jc w:val="center"/>
                    <w:rPr>
                      <w:b/>
                      <w:szCs w:val="21"/>
                    </w:rPr>
                  </w:pPr>
                </w:p>
              </w:tc>
              <w:tc>
                <w:tcPr>
                  <w:tcW w:w="1180" w:type="dxa"/>
                  <w:vAlign w:val="center"/>
                </w:tcPr>
                <w:p w14:paraId="12158EC7">
                  <w:pPr>
                    <w:adjustRightInd w:val="0"/>
                    <w:snapToGrid w:val="0"/>
                    <w:jc w:val="center"/>
                    <w:rPr>
                      <w:bCs/>
                      <w:szCs w:val="21"/>
                    </w:rPr>
                  </w:pPr>
                  <w:r>
                    <w:rPr>
                      <w:bCs/>
                      <w:szCs w:val="21"/>
                    </w:rPr>
                    <w:t>25</w:t>
                  </w:r>
                </w:p>
              </w:tc>
              <w:tc>
                <w:tcPr>
                  <w:tcW w:w="969" w:type="dxa"/>
                  <w:vMerge w:val="continue"/>
                  <w:vAlign w:val="center"/>
                </w:tcPr>
                <w:p w14:paraId="109B3D3D">
                  <w:pPr>
                    <w:pStyle w:val="8"/>
                    <w:adjustRightInd w:val="0"/>
                    <w:snapToGrid w:val="0"/>
                    <w:jc w:val="center"/>
                    <w:rPr>
                      <w:b/>
                      <w:szCs w:val="21"/>
                    </w:rPr>
                  </w:pPr>
                </w:p>
              </w:tc>
              <w:tc>
                <w:tcPr>
                  <w:tcW w:w="1027" w:type="dxa"/>
                  <w:gridSpan w:val="2"/>
                  <w:vMerge w:val="continue"/>
                  <w:vAlign w:val="center"/>
                </w:tcPr>
                <w:p w14:paraId="1DCB122F">
                  <w:pPr>
                    <w:pStyle w:val="8"/>
                    <w:adjustRightInd w:val="0"/>
                    <w:snapToGrid w:val="0"/>
                    <w:jc w:val="center"/>
                    <w:rPr>
                      <w:b/>
                      <w:szCs w:val="21"/>
                    </w:rPr>
                  </w:pPr>
                </w:p>
              </w:tc>
            </w:tr>
            <w:tr w14:paraId="65A8EF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2BB85E32">
                  <w:pPr>
                    <w:pStyle w:val="8"/>
                    <w:adjustRightInd w:val="0"/>
                    <w:snapToGrid w:val="0"/>
                    <w:jc w:val="center"/>
                    <w:rPr>
                      <w:szCs w:val="21"/>
                    </w:rPr>
                  </w:pPr>
                  <w:r>
                    <w:rPr>
                      <w:rFonts w:hint="eastAsia"/>
                      <w:szCs w:val="21"/>
                    </w:rPr>
                    <w:t>15</w:t>
                  </w:r>
                </w:p>
              </w:tc>
              <w:tc>
                <w:tcPr>
                  <w:tcW w:w="562" w:type="dxa"/>
                  <w:vMerge w:val="continue"/>
                  <w:vAlign w:val="center"/>
                </w:tcPr>
                <w:p w14:paraId="6933AE88">
                  <w:pPr>
                    <w:pStyle w:val="8"/>
                    <w:adjustRightInd w:val="0"/>
                    <w:snapToGrid w:val="0"/>
                    <w:jc w:val="center"/>
                    <w:rPr>
                      <w:b/>
                      <w:szCs w:val="21"/>
                    </w:rPr>
                  </w:pPr>
                </w:p>
              </w:tc>
              <w:tc>
                <w:tcPr>
                  <w:tcW w:w="1724" w:type="dxa"/>
                  <w:vAlign w:val="center"/>
                </w:tcPr>
                <w:p w14:paraId="692432C5">
                  <w:pPr>
                    <w:pStyle w:val="8"/>
                    <w:adjustRightInd w:val="0"/>
                    <w:snapToGrid w:val="0"/>
                    <w:jc w:val="center"/>
                    <w:rPr>
                      <w:szCs w:val="21"/>
                    </w:rPr>
                  </w:pPr>
                  <w:r>
                    <w:rPr>
                      <w:szCs w:val="21"/>
                    </w:rPr>
                    <w:t>数控车床（</w:t>
                  </w:r>
                  <w:r>
                    <w:rPr>
                      <w:rFonts w:hint="eastAsia"/>
                      <w:szCs w:val="21"/>
                    </w:rPr>
                    <w:t>2台</w:t>
                  </w:r>
                  <w:r>
                    <w:rPr>
                      <w:szCs w:val="21"/>
                    </w:rPr>
                    <w:t>）</w:t>
                  </w:r>
                </w:p>
              </w:tc>
              <w:tc>
                <w:tcPr>
                  <w:tcW w:w="1239" w:type="dxa"/>
                  <w:vAlign w:val="center"/>
                </w:tcPr>
                <w:p w14:paraId="11AE4BDC">
                  <w:pPr>
                    <w:pStyle w:val="8"/>
                    <w:adjustRightInd w:val="0"/>
                    <w:snapToGrid w:val="0"/>
                    <w:jc w:val="center"/>
                    <w:rPr>
                      <w:szCs w:val="21"/>
                    </w:rPr>
                  </w:pPr>
                  <w:r>
                    <w:rPr>
                      <w:rFonts w:hint="eastAsia"/>
                      <w:szCs w:val="21"/>
                    </w:rPr>
                    <w:t>85</w:t>
                  </w:r>
                </w:p>
              </w:tc>
              <w:tc>
                <w:tcPr>
                  <w:tcW w:w="730" w:type="dxa"/>
                  <w:vMerge w:val="continue"/>
                  <w:vAlign w:val="center"/>
                </w:tcPr>
                <w:p w14:paraId="392C8FCB">
                  <w:pPr>
                    <w:pStyle w:val="8"/>
                    <w:adjustRightInd w:val="0"/>
                    <w:snapToGrid w:val="0"/>
                    <w:jc w:val="center"/>
                    <w:rPr>
                      <w:b/>
                      <w:szCs w:val="21"/>
                    </w:rPr>
                  </w:pPr>
                </w:p>
              </w:tc>
              <w:tc>
                <w:tcPr>
                  <w:tcW w:w="1000" w:type="dxa"/>
                  <w:vAlign w:val="center"/>
                </w:tcPr>
                <w:p w14:paraId="4F9276F0">
                  <w:pPr>
                    <w:adjustRightInd w:val="0"/>
                    <w:snapToGrid w:val="0"/>
                    <w:jc w:val="center"/>
                    <w:rPr>
                      <w:szCs w:val="21"/>
                    </w:rPr>
                  </w:pPr>
                  <w:r>
                    <w:rPr>
                      <w:szCs w:val="21"/>
                    </w:rPr>
                    <w:t>52</w:t>
                  </w:r>
                </w:p>
              </w:tc>
              <w:tc>
                <w:tcPr>
                  <w:tcW w:w="889" w:type="dxa"/>
                  <w:vAlign w:val="center"/>
                </w:tcPr>
                <w:p w14:paraId="578EFEE7">
                  <w:pPr>
                    <w:adjustRightInd w:val="0"/>
                    <w:snapToGrid w:val="0"/>
                    <w:jc w:val="center"/>
                    <w:rPr>
                      <w:szCs w:val="21"/>
                    </w:rPr>
                  </w:pPr>
                  <w:r>
                    <w:rPr>
                      <w:szCs w:val="21"/>
                    </w:rPr>
                    <w:t>39</w:t>
                  </w:r>
                </w:p>
              </w:tc>
              <w:tc>
                <w:tcPr>
                  <w:tcW w:w="889" w:type="dxa"/>
                  <w:vAlign w:val="center"/>
                </w:tcPr>
                <w:p w14:paraId="1FE917F6">
                  <w:pPr>
                    <w:pStyle w:val="8"/>
                    <w:adjustRightInd w:val="0"/>
                    <w:snapToGrid w:val="0"/>
                    <w:jc w:val="center"/>
                    <w:rPr>
                      <w:bCs/>
                      <w:szCs w:val="21"/>
                    </w:rPr>
                  </w:pPr>
                  <w:r>
                    <w:rPr>
                      <w:bCs/>
                      <w:szCs w:val="21"/>
                    </w:rPr>
                    <w:t>0</w:t>
                  </w:r>
                </w:p>
              </w:tc>
              <w:tc>
                <w:tcPr>
                  <w:tcW w:w="1112" w:type="dxa"/>
                  <w:vAlign w:val="center"/>
                </w:tcPr>
                <w:p w14:paraId="1952CACE">
                  <w:pPr>
                    <w:widowControl/>
                    <w:adjustRightInd w:val="0"/>
                    <w:snapToGrid w:val="0"/>
                    <w:jc w:val="center"/>
                    <w:textAlignment w:val="center"/>
                    <w:rPr>
                      <w:bCs/>
                      <w:szCs w:val="21"/>
                    </w:rPr>
                  </w:pPr>
                  <w:r>
                    <w:rPr>
                      <w:bCs/>
                      <w:szCs w:val="21"/>
                    </w:rPr>
                    <w:t>22</w:t>
                  </w:r>
                </w:p>
              </w:tc>
              <w:tc>
                <w:tcPr>
                  <w:tcW w:w="1344" w:type="dxa"/>
                  <w:vAlign w:val="center"/>
                </w:tcPr>
                <w:p w14:paraId="1DEBD646">
                  <w:pPr>
                    <w:widowControl/>
                    <w:adjustRightInd w:val="0"/>
                    <w:snapToGrid w:val="0"/>
                    <w:jc w:val="center"/>
                    <w:textAlignment w:val="center"/>
                    <w:rPr>
                      <w:kern w:val="0"/>
                      <w:szCs w:val="21"/>
                    </w:rPr>
                  </w:pPr>
                  <w:r>
                    <w:rPr>
                      <w:kern w:val="0"/>
                      <w:szCs w:val="21"/>
                    </w:rPr>
                    <w:t>46.9</w:t>
                  </w:r>
                </w:p>
              </w:tc>
              <w:tc>
                <w:tcPr>
                  <w:tcW w:w="619" w:type="dxa"/>
                  <w:vMerge w:val="continue"/>
                  <w:vAlign w:val="center"/>
                </w:tcPr>
                <w:p w14:paraId="6D8E0D62">
                  <w:pPr>
                    <w:pStyle w:val="8"/>
                    <w:adjustRightInd w:val="0"/>
                    <w:snapToGrid w:val="0"/>
                    <w:jc w:val="center"/>
                    <w:rPr>
                      <w:b/>
                      <w:szCs w:val="21"/>
                    </w:rPr>
                  </w:pPr>
                </w:p>
              </w:tc>
              <w:tc>
                <w:tcPr>
                  <w:tcW w:w="1180" w:type="dxa"/>
                  <w:vAlign w:val="center"/>
                </w:tcPr>
                <w:p w14:paraId="3E8DE9EA">
                  <w:pPr>
                    <w:adjustRightInd w:val="0"/>
                    <w:snapToGrid w:val="0"/>
                    <w:jc w:val="center"/>
                    <w:rPr>
                      <w:bCs/>
                      <w:szCs w:val="21"/>
                    </w:rPr>
                  </w:pPr>
                  <w:r>
                    <w:rPr>
                      <w:bCs/>
                      <w:szCs w:val="21"/>
                    </w:rPr>
                    <w:t>25</w:t>
                  </w:r>
                </w:p>
              </w:tc>
              <w:tc>
                <w:tcPr>
                  <w:tcW w:w="969" w:type="dxa"/>
                  <w:vMerge w:val="continue"/>
                  <w:vAlign w:val="center"/>
                </w:tcPr>
                <w:p w14:paraId="69341F66">
                  <w:pPr>
                    <w:pStyle w:val="8"/>
                    <w:adjustRightInd w:val="0"/>
                    <w:snapToGrid w:val="0"/>
                    <w:jc w:val="center"/>
                    <w:rPr>
                      <w:b/>
                      <w:szCs w:val="21"/>
                    </w:rPr>
                  </w:pPr>
                </w:p>
              </w:tc>
              <w:tc>
                <w:tcPr>
                  <w:tcW w:w="1027" w:type="dxa"/>
                  <w:gridSpan w:val="2"/>
                  <w:vMerge w:val="continue"/>
                  <w:vAlign w:val="center"/>
                </w:tcPr>
                <w:p w14:paraId="56C2127B">
                  <w:pPr>
                    <w:pStyle w:val="8"/>
                    <w:adjustRightInd w:val="0"/>
                    <w:snapToGrid w:val="0"/>
                    <w:jc w:val="center"/>
                    <w:rPr>
                      <w:b/>
                      <w:szCs w:val="21"/>
                    </w:rPr>
                  </w:pPr>
                </w:p>
              </w:tc>
            </w:tr>
            <w:tr w14:paraId="0C7BAC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7E9DCCF7">
                  <w:pPr>
                    <w:pStyle w:val="8"/>
                    <w:adjustRightInd w:val="0"/>
                    <w:snapToGrid w:val="0"/>
                    <w:jc w:val="center"/>
                    <w:rPr>
                      <w:szCs w:val="21"/>
                    </w:rPr>
                  </w:pPr>
                  <w:r>
                    <w:rPr>
                      <w:rFonts w:hint="eastAsia"/>
                      <w:szCs w:val="21"/>
                    </w:rPr>
                    <w:t>16</w:t>
                  </w:r>
                </w:p>
              </w:tc>
              <w:tc>
                <w:tcPr>
                  <w:tcW w:w="562" w:type="dxa"/>
                  <w:vMerge w:val="restart"/>
                  <w:vAlign w:val="center"/>
                </w:tcPr>
                <w:p w14:paraId="7DFAB979">
                  <w:pPr>
                    <w:pStyle w:val="8"/>
                    <w:adjustRightInd w:val="0"/>
                    <w:snapToGrid w:val="0"/>
                    <w:jc w:val="center"/>
                    <w:rPr>
                      <w:b/>
                      <w:szCs w:val="21"/>
                    </w:rPr>
                  </w:pPr>
                  <w:r>
                    <w:rPr>
                      <w:szCs w:val="21"/>
                    </w:rPr>
                    <w:t>5#车间</w:t>
                  </w:r>
                </w:p>
              </w:tc>
              <w:tc>
                <w:tcPr>
                  <w:tcW w:w="1724" w:type="dxa"/>
                  <w:vAlign w:val="center"/>
                </w:tcPr>
                <w:p w14:paraId="7CAE119D">
                  <w:pPr>
                    <w:snapToGrid w:val="0"/>
                    <w:jc w:val="center"/>
                    <w:rPr>
                      <w:szCs w:val="21"/>
                    </w:rPr>
                  </w:pPr>
                  <w:r>
                    <w:rPr>
                      <w:szCs w:val="21"/>
                    </w:rPr>
                    <w:t>加工中心（</w:t>
                  </w:r>
                  <w:r>
                    <w:rPr>
                      <w:rFonts w:hint="eastAsia"/>
                      <w:szCs w:val="21"/>
                    </w:rPr>
                    <w:t>1台</w:t>
                  </w:r>
                  <w:r>
                    <w:rPr>
                      <w:szCs w:val="21"/>
                    </w:rPr>
                    <w:t>）</w:t>
                  </w:r>
                </w:p>
              </w:tc>
              <w:tc>
                <w:tcPr>
                  <w:tcW w:w="1239" w:type="dxa"/>
                  <w:vAlign w:val="center"/>
                </w:tcPr>
                <w:p w14:paraId="2C1BF72A">
                  <w:pPr>
                    <w:pStyle w:val="8"/>
                    <w:adjustRightInd w:val="0"/>
                    <w:snapToGrid w:val="0"/>
                    <w:jc w:val="center"/>
                    <w:rPr>
                      <w:szCs w:val="21"/>
                    </w:rPr>
                  </w:pPr>
                  <w:r>
                    <w:rPr>
                      <w:rFonts w:hint="eastAsia"/>
                      <w:szCs w:val="21"/>
                    </w:rPr>
                    <w:t>90</w:t>
                  </w:r>
                </w:p>
              </w:tc>
              <w:tc>
                <w:tcPr>
                  <w:tcW w:w="730" w:type="dxa"/>
                  <w:vMerge w:val="continue"/>
                  <w:vAlign w:val="center"/>
                </w:tcPr>
                <w:p w14:paraId="532284ED">
                  <w:pPr>
                    <w:pStyle w:val="8"/>
                    <w:adjustRightInd w:val="0"/>
                    <w:snapToGrid w:val="0"/>
                    <w:jc w:val="center"/>
                    <w:rPr>
                      <w:b/>
                      <w:szCs w:val="21"/>
                    </w:rPr>
                  </w:pPr>
                </w:p>
              </w:tc>
              <w:tc>
                <w:tcPr>
                  <w:tcW w:w="1000" w:type="dxa"/>
                  <w:vAlign w:val="center"/>
                </w:tcPr>
                <w:p w14:paraId="65034B35">
                  <w:pPr>
                    <w:adjustRightInd w:val="0"/>
                    <w:snapToGrid w:val="0"/>
                    <w:jc w:val="center"/>
                    <w:rPr>
                      <w:szCs w:val="21"/>
                    </w:rPr>
                  </w:pPr>
                  <w:r>
                    <w:rPr>
                      <w:szCs w:val="21"/>
                    </w:rPr>
                    <w:t>46</w:t>
                  </w:r>
                </w:p>
              </w:tc>
              <w:tc>
                <w:tcPr>
                  <w:tcW w:w="889" w:type="dxa"/>
                  <w:vAlign w:val="center"/>
                </w:tcPr>
                <w:p w14:paraId="22324103">
                  <w:pPr>
                    <w:adjustRightInd w:val="0"/>
                    <w:snapToGrid w:val="0"/>
                    <w:jc w:val="center"/>
                    <w:rPr>
                      <w:szCs w:val="21"/>
                    </w:rPr>
                  </w:pPr>
                  <w:r>
                    <w:rPr>
                      <w:szCs w:val="21"/>
                    </w:rPr>
                    <w:t>29</w:t>
                  </w:r>
                </w:p>
              </w:tc>
              <w:tc>
                <w:tcPr>
                  <w:tcW w:w="889" w:type="dxa"/>
                  <w:vAlign w:val="center"/>
                </w:tcPr>
                <w:p w14:paraId="1A12D6B7">
                  <w:pPr>
                    <w:pStyle w:val="8"/>
                    <w:adjustRightInd w:val="0"/>
                    <w:snapToGrid w:val="0"/>
                    <w:jc w:val="center"/>
                    <w:rPr>
                      <w:bCs/>
                      <w:szCs w:val="21"/>
                    </w:rPr>
                  </w:pPr>
                  <w:r>
                    <w:rPr>
                      <w:bCs/>
                      <w:szCs w:val="21"/>
                    </w:rPr>
                    <w:t>0</w:t>
                  </w:r>
                </w:p>
              </w:tc>
              <w:tc>
                <w:tcPr>
                  <w:tcW w:w="1112" w:type="dxa"/>
                  <w:vAlign w:val="center"/>
                </w:tcPr>
                <w:p w14:paraId="0761D06A">
                  <w:pPr>
                    <w:widowControl/>
                    <w:adjustRightInd w:val="0"/>
                    <w:snapToGrid w:val="0"/>
                    <w:jc w:val="center"/>
                    <w:textAlignment w:val="center"/>
                    <w:rPr>
                      <w:bCs/>
                      <w:szCs w:val="21"/>
                    </w:rPr>
                  </w:pPr>
                  <w:r>
                    <w:rPr>
                      <w:bCs/>
                      <w:szCs w:val="21"/>
                    </w:rPr>
                    <w:t>29</w:t>
                  </w:r>
                </w:p>
              </w:tc>
              <w:tc>
                <w:tcPr>
                  <w:tcW w:w="1344" w:type="dxa"/>
                  <w:vAlign w:val="center"/>
                </w:tcPr>
                <w:p w14:paraId="550EA8C0">
                  <w:pPr>
                    <w:widowControl/>
                    <w:adjustRightInd w:val="0"/>
                    <w:snapToGrid w:val="0"/>
                    <w:jc w:val="center"/>
                    <w:textAlignment w:val="center"/>
                    <w:rPr>
                      <w:kern w:val="0"/>
                      <w:szCs w:val="21"/>
                    </w:rPr>
                  </w:pPr>
                  <w:r>
                    <w:rPr>
                      <w:kern w:val="0"/>
                      <w:szCs w:val="21"/>
                    </w:rPr>
                    <w:t>44.2</w:t>
                  </w:r>
                </w:p>
              </w:tc>
              <w:tc>
                <w:tcPr>
                  <w:tcW w:w="619" w:type="dxa"/>
                  <w:vMerge w:val="continue"/>
                  <w:vAlign w:val="center"/>
                </w:tcPr>
                <w:p w14:paraId="1653851E">
                  <w:pPr>
                    <w:pStyle w:val="8"/>
                    <w:adjustRightInd w:val="0"/>
                    <w:snapToGrid w:val="0"/>
                    <w:jc w:val="center"/>
                    <w:rPr>
                      <w:b/>
                      <w:szCs w:val="21"/>
                    </w:rPr>
                  </w:pPr>
                </w:p>
              </w:tc>
              <w:tc>
                <w:tcPr>
                  <w:tcW w:w="1180" w:type="dxa"/>
                  <w:vAlign w:val="center"/>
                </w:tcPr>
                <w:p w14:paraId="53044A42">
                  <w:pPr>
                    <w:adjustRightInd w:val="0"/>
                    <w:snapToGrid w:val="0"/>
                    <w:jc w:val="center"/>
                    <w:rPr>
                      <w:bCs/>
                      <w:szCs w:val="21"/>
                    </w:rPr>
                  </w:pPr>
                  <w:r>
                    <w:rPr>
                      <w:bCs/>
                      <w:szCs w:val="21"/>
                    </w:rPr>
                    <w:t>25</w:t>
                  </w:r>
                </w:p>
              </w:tc>
              <w:tc>
                <w:tcPr>
                  <w:tcW w:w="969" w:type="dxa"/>
                  <w:vMerge w:val="continue"/>
                  <w:vAlign w:val="center"/>
                </w:tcPr>
                <w:p w14:paraId="4532D50A">
                  <w:pPr>
                    <w:pStyle w:val="8"/>
                    <w:adjustRightInd w:val="0"/>
                    <w:snapToGrid w:val="0"/>
                    <w:jc w:val="center"/>
                    <w:rPr>
                      <w:b/>
                      <w:szCs w:val="21"/>
                    </w:rPr>
                  </w:pPr>
                </w:p>
              </w:tc>
              <w:tc>
                <w:tcPr>
                  <w:tcW w:w="1027" w:type="dxa"/>
                  <w:gridSpan w:val="2"/>
                  <w:vMerge w:val="continue"/>
                  <w:vAlign w:val="center"/>
                </w:tcPr>
                <w:p w14:paraId="55A40188">
                  <w:pPr>
                    <w:pStyle w:val="8"/>
                    <w:adjustRightInd w:val="0"/>
                    <w:snapToGrid w:val="0"/>
                    <w:jc w:val="center"/>
                    <w:rPr>
                      <w:b/>
                      <w:szCs w:val="21"/>
                    </w:rPr>
                  </w:pPr>
                </w:p>
              </w:tc>
            </w:tr>
            <w:tr w14:paraId="0B09D8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0" w:type="dxa"/>
                  <w:vAlign w:val="center"/>
                </w:tcPr>
                <w:p w14:paraId="12312E96">
                  <w:pPr>
                    <w:pStyle w:val="8"/>
                    <w:adjustRightInd w:val="0"/>
                    <w:snapToGrid w:val="0"/>
                    <w:jc w:val="center"/>
                    <w:rPr>
                      <w:szCs w:val="21"/>
                    </w:rPr>
                  </w:pPr>
                  <w:r>
                    <w:rPr>
                      <w:rFonts w:hint="eastAsia"/>
                      <w:szCs w:val="21"/>
                    </w:rPr>
                    <w:t>17</w:t>
                  </w:r>
                </w:p>
              </w:tc>
              <w:tc>
                <w:tcPr>
                  <w:tcW w:w="562" w:type="dxa"/>
                  <w:vMerge w:val="continue"/>
                  <w:vAlign w:val="center"/>
                </w:tcPr>
                <w:p w14:paraId="31E30F82">
                  <w:pPr>
                    <w:pStyle w:val="8"/>
                    <w:adjustRightInd w:val="0"/>
                    <w:snapToGrid w:val="0"/>
                    <w:jc w:val="center"/>
                    <w:rPr>
                      <w:b/>
                      <w:szCs w:val="21"/>
                    </w:rPr>
                  </w:pPr>
                </w:p>
              </w:tc>
              <w:tc>
                <w:tcPr>
                  <w:tcW w:w="1724" w:type="dxa"/>
                  <w:vAlign w:val="center"/>
                </w:tcPr>
                <w:p w14:paraId="0AA125B9">
                  <w:pPr>
                    <w:snapToGrid w:val="0"/>
                    <w:jc w:val="center"/>
                    <w:rPr>
                      <w:szCs w:val="21"/>
                    </w:rPr>
                  </w:pPr>
                  <w:r>
                    <w:rPr>
                      <w:szCs w:val="21"/>
                    </w:rPr>
                    <w:t>精雕机（</w:t>
                  </w:r>
                  <w:r>
                    <w:rPr>
                      <w:rFonts w:hint="eastAsia"/>
                      <w:szCs w:val="21"/>
                    </w:rPr>
                    <w:t>2台</w:t>
                  </w:r>
                  <w:r>
                    <w:rPr>
                      <w:szCs w:val="21"/>
                    </w:rPr>
                    <w:t>）</w:t>
                  </w:r>
                </w:p>
              </w:tc>
              <w:tc>
                <w:tcPr>
                  <w:tcW w:w="1239" w:type="dxa"/>
                  <w:vAlign w:val="center"/>
                </w:tcPr>
                <w:p w14:paraId="3BD5A712">
                  <w:pPr>
                    <w:pStyle w:val="8"/>
                    <w:adjustRightInd w:val="0"/>
                    <w:snapToGrid w:val="0"/>
                    <w:jc w:val="center"/>
                    <w:rPr>
                      <w:szCs w:val="21"/>
                    </w:rPr>
                  </w:pPr>
                  <w:r>
                    <w:rPr>
                      <w:rFonts w:hint="eastAsia"/>
                      <w:szCs w:val="21"/>
                    </w:rPr>
                    <w:t>85</w:t>
                  </w:r>
                </w:p>
              </w:tc>
              <w:tc>
                <w:tcPr>
                  <w:tcW w:w="730" w:type="dxa"/>
                  <w:vMerge w:val="continue"/>
                  <w:vAlign w:val="center"/>
                </w:tcPr>
                <w:p w14:paraId="11412937">
                  <w:pPr>
                    <w:pStyle w:val="8"/>
                    <w:adjustRightInd w:val="0"/>
                    <w:snapToGrid w:val="0"/>
                    <w:jc w:val="center"/>
                    <w:rPr>
                      <w:b/>
                      <w:szCs w:val="21"/>
                    </w:rPr>
                  </w:pPr>
                </w:p>
              </w:tc>
              <w:tc>
                <w:tcPr>
                  <w:tcW w:w="1000" w:type="dxa"/>
                  <w:vAlign w:val="center"/>
                </w:tcPr>
                <w:p w14:paraId="5581FD6E">
                  <w:pPr>
                    <w:adjustRightInd w:val="0"/>
                    <w:snapToGrid w:val="0"/>
                    <w:jc w:val="center"/>
                    <w:rPr>
                      <w:szCs w:val="21"/>
                    </w:rPr>
                  </w:pPr>
                  <w:r>
                    <w:rPr>
                      <w:szCs w:val="21"/>
                    </w:rPr>
                    <w:t>19</w:t>
                  </w:r>
                </w:p>
              </w:tc>
              <w:tc>
                <w:tcPr>
                  <w:tcW w:w="889" w:type="dxa"/>
                  <w:vAlign w:val="center"/>
                </w:tcPr>
                <w:p w14:paraId="7DF3B906">
                  <w:pPr>
                    <w:adjustRightInd w:val="0"/>
                    <w:snapToGrid w:val="0"/>
                    <w:jc w:val="center"/>
                    <w:rPr>
                      <w:szCs w:val="21"/>
                    </w:rPr>
                  </w:pPr>
                  <w:r>
                    <w:rPr>
                      <w:szCs w:val="21"/>
                    </w:rPr>
                    <w:t>12</w:t>
                  </w:r>
                </w:p>
              </w:tc>
              <w:tc>
                <w:tcPr>
                  <w:tcW w:w="889" w:type="dxa"/>
                  <w:vAlign w:val="center"/>
                </w:tcPr>
                <w:p w14:paraId="521E8806">
                  <w:pPr>
                    <w:pStyle w:val="8"/>
                    <w:adjustRightInd w:val="0"/>
                    <w:snapToGrid w:val="0"/>
                    <w:jc w:val="center"/>
                    <w:rPr>
                      <w:bCs/>
                      <w:szCs w:val="21"/>
                    </w:rPr>
                  </w:pPr>
                  <w:r>
                    <w:rPr>
                      <w:bCs/>
                      <w:szCs w:val="21"/>
                    </w:rPr>
                    <w:t>0</w:t>
                  </w:r>
                </w:p>
              </w:tc>
              <w:tc>
                <w:tcPr>
                  <w:tcW w:w="1112" w:type="dxa"/>
                  <w:vAlign w:val="center"/>
                </w:tcPr>
                <w:p w14:paraId="6CFF16BA">
                  <w:pPr>
                    <w:widowControl/>
                    <w:adjustRightInd w:val="0"/>
                    <w:snapToGrid w:val="0"/>
                    <w:jc w:val="center"/>
                    <w:textAlignment w:val="center"/>
                    <w:rPr>
                      <w:kern w:val="0"/>
                      <w:szCs w:val="21"/>
                    </w:rPr>
                  </w:pPr>
                  <w:r>
                    <w:rPr>
                      <w:kern w:val="0"/>
                      <w:szCs w:val="21"/>
                    </w:rPr>
                    <w:t>12</w:t>
                  </w:r>
                </w:p>
              </w:tc>
              <w:tc>
                <w:tcPr>
                  <w:tcW w:w="1344" w:type="dxa"/>
                  <w:vAlign w:val="center"/>
                </w:tcPr>
                <w:p w14:paraId="6A69623A">
                  <w:pPr>
                    <w:widowControl/>
                    <w:adjustRightInd w:val="0"/>
                    <w:snapToGrid w:val="0"/>
                    <w:jc w:val="center"/>
                    <w:textAlignment w:val="center"/>
                    <w:rPr>
                      <w:kern w:val="0"/>
                      <w:szCs w:val="21"/>
                    </w:rPr>
                  </w:pPr>
                  <w:r>
                    <w:rPr>
                      <w:kern w:val="0"/>
                      <w:szCs w:val="21"/>
                    </w:rPr>
                    <w:t>41.1</w:t>
                  </w:r>
                </w:p>
              </w:tc>
              <w:tc>
                <w:tcPr>
                  <w:tcW w:w="619" w:type="dxa"/>
                  <w:vMerge w:val="continue"/>
                  <w:vAlign w:val="center"/>
                </w:tcPr>
                <w:p w14:paraId="3C05D3F1">
                  <w:pPr>
                    <w:pStyle w:val="8"/>
                    <w:adjustRightInd w:val="0"/>
                    <w:snapToGrid w:val="0"/>
                    <w:jc w:val="center"/>
                    <w:rPr>
                      <w:b/>
                      <w:szCs w:val="21"/>
                    </w:rPr>
                  </w:pPr>
                </w:p>
              </w:tc>
              <w:tc>
                <w:tcPr>
                  <w:tcW w:w="1180" w:type="dxa"/>
                  <w:vAlign w:val="center"/>
                </w:tcPr>
                <w:p w14:paraId="047D5941">
                  <w:pPr>
                    <w:adjustRightInd w:val="0"/>
                    <w:snapToGrid w:val="0"/>
                    <w:jc w:val="center"/>
                    <w:rPr>
                      <w:bCs/>
                      <w:szCs w:val="21"/>
                    </w:rPr>
                  </w:pPr>
                  <w:r>
                    <w:rPr>
                      <w:bCs/>
                      <w:szCs w:val="21"/>
                    </w:rPr>
                    <w:t>25</w:t>
                  </w:r>
                </w:p>
              </w:tc>
              <w:tc>
                <w:tcPr>
                  <w:tcW w:w="969" w:type="dxa"/>
                  <w:vMerge w:val="continue"/>
                  <w:vAlign w:val="center"/>
                </w:tcPr>
                <w:p w14:paraId="573C5A94">
                  <w:pPr>
                    <w:pStyle w:val="8"/>
                    <w:adjustRightInd w:val="0"/>
                    <w:snapToGrid w:val="0"/>
                    <w:jc w:val="center"/>
                    <w:rPr>
                      <w:b/>
                      <w:szCs w:val="21"/>
                    </w:rPr>
                  </w:pPr>
                </w:p>
              </w:tc>
              <w:tc>
                <w:tcPr>
                  <w:tcW w:w="1027" w:type="dxa"/>
                  <w:gridSpan w:val="2"/>
                  <w:vMerge w:val="continue"/>
                  <w:vAlign w:val="center"/>
                </w:tcPr>
                <w:p w14:paraId="3B22FA9D">
                  <w:pPr>
                    <w:pStyle w:val="8"/>
                    <w:adjustRightInd w:val="0"/>
                    <w:snapToGrid w:val="0"/>
                    <w:jc w:val="center"/>
                    <w:rPr>
                      <w:b/>
                      <w:szCs w:val="21"/>
                    </w:rPr>
                  </w:pPr>
                </w:p>
              </w:tc>
            </w:tr>
            <w:tr w14:paraId="78C71D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gridAfter w:val="1"/>
                <w:wAfter w:w="13" w:type="dxa"/>
                <w:trHeight w:val="340" w:hRule="atLeast"/>
                <w:jc w:val="center"/>
              </w:trPr>
              <w:tc>
                <w:tcPr>
                  <w:tcW w:w="13821" w:type="dxa"/>
                  <w:gridSpan w:val="14"/>
                  <w:vAlign w:val="center"/>
                </w:tcPr>
                <w:p w14:paraId="35F28ADB">
                  <w:pPr>
                    <w:widowControl/>
                    <w:adjustRightInd w:val="0"/>
                    <w:snapToGrid w:val="0"/>
                    <w:textAlignment w:val="center"/>
                    <w:rPr>
                      <w:kern w:val="0"/>
                      <w:szCs w:val="21"/>
                    </w:rPr>
                  </w:pPr>
                  <w:r>
                    <w:rPr>
                      <w:kern w:val="0"/>
                      <w:szCs w:val="21"/>
                    </w:rPr>
                    <w:t>注：</w:t>
                  </w:r>
                  <w:r>
                    <w:rPr>
                      <w:rFonts w:hint="eastAsia"/>
                      <w:kern w:val="0"/>
                      <w:szCs w:val="21"/>
                    </w:rPr>
                    <w:t>1</w:t>
                  </w:r>
                  <w:r>
                    <w:rPr>
                      <w:kern w:val="0"/>
                      <w:szCs w:val="21"/>
                    </w:rPr>
                    <w:t>#车间空间相对位置以</w:t>
                  </w:r>
                  <w:r>
                    <w:rPr>
                      <w:rFonts w:hint="eastAsia"/>
                      <w:kern w:val="0"/>
                      <w:szCs w:val="21"/>
                    </w:rPr>
                    <w:t>1#</w:t>
                  </w:r>
                  <w:r>
                    <w:rPr>
                      <w:kern w:val="0"/>
                      <w:szCs w:val="21"/>
                    </w:rPr>
                    <w:t>车间西南角为原点（0，0），Z轴以地面高度为0点；</w:t>
                  </w:r>
                  <w:r>
                    <w:rPr>
                      <w:rFonts w:hint="eastAsia"/>
                      <w:kern w:val="0"/>
                      <w:szCs w:val="21"/>
                    </w:rPr>
                    <w:t>3</w:t>
                  </w:r>
                  <w:r>
                    <w:rPr>
                      <w:kern w:val="0"/>
                      <w:szCs w:val="21"/>
                    </w:rPr>
                    <w:t>#车间空间相对位置以</w:t>
                  </w:r>
                  <w:r>
                    <w:rPr>
                      <w:rFonts w:hint="eastAsia"/>
                      <w:kern w:val="0"/>
                      <w:szCs w:val="21"/>
                    </w:rPr>
                    <w:t>3#</w:t>
                  </w:r>
                  <w:r>
                    <w:rPr>
                      <w:kern w:val="0"/>
                      <w:szCs w:val="21"/>
                    </w:rPr>
                    <w:t>车间西南角为原点（0，0），Z轴以地面高度为0点；</w:t>
                  </w:r>
                  <w:r>
                    <w:rPr>
                      <w:rFonts w:hint="eastAsia"/>
                      <w:kern w:val="0"/>
                      <w:szCs w:val="21"/>
                    </w:rPr>
                    <w:t>4#</w:t>
                  </w:r>
                  <w:r>
                    <w:rPr>
                      <w:kern w:val="0"/>
                      <w:szCs w:val="21"/>
                    </w:rPr>
                    <w:t>车间空间相对位置以</w:t>
                  </w:r>
                  <w:r>
                    <w:rPr>
                      <w:rFonts w:hint="eastAsia"/>
                      <w:kern w:val="0"/>
                      <w:szCs w:val="21"/>
                    </w:rPr>
                    <w:t>4#</w:t>
                  </w:r>
                  <w:r>
                    <w:rPr>
                      <w:kern w:val="0"/>
                      <w:szCs w:val="21"/>
                    </w:rPr>
                    <w:t>车间西南角为原点（0，0），Z轴以地面高度为0点；</w:t>
                  </w:r>
                  <w:r>
                    <w:rPr>
                      <w:rFonts w:hint="eastAsia"/>
                      <w:kern w:val="0"/>
                      <w:szCs w:val="21"/>
                    </w:rPr>
                    <w:t>5#</w:t>
                  </w:r>
                  <w:r>
                    <w:rPr>
                      <w:kern w:val="0"/>
                      <w:szCs w:val="21"/>
                    </w:rPr>
                    <w:t>车间空间相对位置以</w:t>
                  </w:r>
                  <w:r>
                    <w:rPr>
                      <w:rFonts w:hint="eastAsia"/>
                      <w:kern w:val="0"/>
                      <w:szCs w:val="21"/>
                    </w:rPr>
                    <w:t>5#</w:t>
                  </w:r>
                  <w:r>
                    <w:rPr>
                      <w:kern w:val="0"/>
                      <w:szCs w:val="21"/>
                    </w:rPr>
                    <w:t>车间西南角为原点（0，0），Z轴以地面高度为0点。</w:t>
                  </w:r>
                </w:p>
              </w:tc>
            </w:tr>
          </w:tbl>
          <w:p w14:paraId="0E5D4C17">
            <w:pPr>
              <w:pStyle w:val="64"/>
              <w:adjustRightInd w:val="0"/>
              <w:snapToGrid w:val="0"/>
              <w:spacing w:beforeLines="50" w:line="240" w:lineRule="auto"/>
              <w:ind w:firstLine="0" w:firstLineChars="0"/>
              <w:jc w:val="center"/>
              <w:rPr>
                <w:rFonts w:eastAsia="宋体"/>
                <w:b/>
                <w:bCs/>
                <w:sz w:val="21"/>
                <w:szCs w:val="21"/>
              </w:rPr>
            </w:pPr>
            <w:r>
              <w:rPr>
                <w:rFonts w:eastAsia="宋体"/>
                <w:b/>
                <w:bCs/>
                <w:sz w:val="21"/>
                <w:szCs w:val="21"/>
              </w:rPr>
              <w:t>表4-23  工业企业噪声源强调查清单（室外声源）</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33"/>
              <w:gridCol w:w="1738"/>
              <w:gridCol w:w="1108"/>
              <w:gridCol w:w="1546"/>
              <w:gridCol w:w="1199"/>
              <w:gridCol w:w="2577"/>
              <w:gridCol w:w="2506"/>
              <w:gridCol w:w="1832"/>
              <w:gridCol w:w="14"/>
            </w:tblGrid>
            <w:tr w14:paraId="4822F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1" w:type="dxa"/>
                  <w:vMerge w:val="restart"/>
                  <w:vAlign w:val="center"/>
                </w:tcPr>
                <w:p w14:paraId="735B9656">
                  <w:pPr>
                    <w:pStyle w:val="8"/>
                    <w:adjustRightInd w:val="0"/>
                    <w:snapToGrid w:val="0"/>
                    <w:jc w:val="center"/>
                    <w:rPr>
                      <w:b/>
                      <w:szCs w:val="21"/>
                    </w:rPr>
                  </w:pPr>
                  <w:r>
                    <w:rPr>
                      <w:b/>
                      <w:szCs w:val="21"/>
                    </w:rPr>
                    <w:t>序号</w:t>
                  </w:r>
                </w:p>
              </w:tc>
              <w:tc>
                <w:tcPr>
                  <w:tcW w:w="1814" w:type="dxa"/>
                  <w:vMerge w:val="restart"/>
                  <w:vAlign w:val="center"/>
                </w:tcPr>
                <w:p w14:paraId="5C9F1FAD">
                  <w:pPr>
                    <w:pStyle w:val="8"/>
                    <w:adjustRightInd w:val="0"/>
                    <w:snapToGrid w:val="0"/>
                    <w:jc w:val="center"/>
                    <w:rPr>
                      <w:b/>
                      <w:szCs w:val="21"/>
                    </w:rPr>
                  </w:pPr>
                  <w:r>
                    <w:rPr>
                      <w:b/>
                      <w:szCs w:val="21"/>
                    </w:rPr>
                    <w:t>声源名称</w:t>
                  </w:r>
                </w:p>
              </w:tc>
              <w:tc>
                <w:tcPr>
                  <w:tcW w:w="4037" w:type="dxa"/>
                  <w:gridSpan w:val="3"/>
                  <w:vAlign w:val="center"/>
                </w:tcPr>
                <w:p w14:paraId="55538484">
                  <w:pPr>
                    <w:pStyle w:val="8"/>
                    <w:adjustRightInd w:val="0"/>
                    <w:snapToGrid w:val="0"/>
                    <w:jc w:val="center"/>
                    <w:rPr>
                      <w:b/>
                      <w:szCs w:val="21"/>
                    </w:rPr>
                  </w:pPr>
                  <w:r>
                    <w:rPr>
                      <w:b/>
                      <w:szCs w:val="21"/>
                    </w:rPr>
                    <w:t>空间相对位置/m</w:t>
                  </w:r>
                </w:p>
              </w:tc>
              <w:tc>
                <w:tcPr>
                  <w:tcW w:w="2695" w:type="dxa"/>
                  <w:vAlign w:val="center"/>
                </w:tcPr>
                <w:p w14:paraId="18293323">
                  <w:pPr>
                    <w:pStyle w:val="8"/>
                    <w:adjustRightInd w:val="0"/>
                    <w:snapToGrid w:val="0"/>
                    <w:jc w:val="center"/>
                    <w:rPr>
                      <w:b/>
                      <w:szCs w:val="21"/>
                    </w:rPr>
                  </w:pPr>
                  <w:r>
                    <w:rPr>
                      <w:b/>
                      <w:szCs w:val="21"/>
                    </w:rPr>
                    <w:t>声源源强</w:t>
                  </w:r>
                </w:p>
              </w:tc>
              <w:tc>
                <w:tcPr>
                  <w:tcW w:w="2628" w:type="dxa"/>
                  <w:vMerge w:val="restart"/>
                  <w:vAlign w:val="center"/>
                </w:tcPr>
                <w:p w14:paraId="6D79DD5D">
                  <w:pPr>
                    <w:pStyle w:val="8"/>
                    <w:adjustRightInd w:val="0"/>
                    <w:snapToGrid w:val="0"/>
                    <w:jc w:val="center"/>
                    <w:rPr>
                      <w:b/>
                      <w:szCs w:val="21"/>
                    </w:rPr>
                  </w:pPr>
                  <w:r>
                    <w:rPr>
                      <w:b/>
                      <w:szCs w:val="21"/>
                    </w:rPr>
                    <w:t>声源控制措施</w:t>
                  </w:r>
                </w:p>
              </w:tc>
              <w:tc>
                <w:tcPr>
                  <w:tcW w:w="1899" w:type="dxa"/>
                  <w:gridSpan w:val="2"/>
                  <w:vMerge w:val="restart"/>
                  <w:vAlign w:val="center"/>
                </w:tcPr>
                <w:p w14:paraId="77E72980">
                  <w:pPr>
                    <w:pStyle w:val="8"/>
                    <w:adjustRightInd w:val="0"/>
                    <w:snapToGrid w:val="0"/>
                    <w:jc w:val="center"/>
                    <w:rPr>
                      <w:b/>
                      <w:szCs w:val="21"/>
                    </w:rPr>
                  </w:pPr>
                  <w:r>
                    <w:rPr>
                      <w:b/>
                      <w:szCs w:val="21"/>
                    </w:rPr>
                    <w:t>运行时段</w:t>
                  </w:r>
                </w:p>
              </w:tc>
            </w:tr>
            <w:tr w14:paraId="4CC76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1" w:type="dxa"/>
                  <w:vMerge w:val="continue"/>
                  <w:vAlign w:val="center"/>
                </w:tcPr>
                <w:p w14:paraId="7EFB03F1">
                  <w:pPr>
                    <w:pStyle w:val="8"/>
                    <w:adjustRightInd w:val="0"/>
                    <w:snapToGrid w:val="0"/>
                    <w:jc w:val="center"/>
                    <w:rPr>
                      <w:b/>
                      <w:szCs w:val="21"/>
                    </w:rPr>
                  </w:pPr>
                </w:p>
              </w:tc>
              <w:tc>
                <w:tcPr>
                  <w:tcW w:w="1814" w:type="dxa"/>
                  <w:vMerge w:val="continue"/>
                  <w:vAlign w:val="center"/>
                </w:tcPr>
                <w:p w14:paraId="564BFDB7">
                  <w:pPr>
                    <w:pStyle w:val="8"/>
                    <w:adjustRightInd w:val="0"/>
                    <w:snapToGrid w:val="0"/>
                    <w:jc w:val="center"/>
                    <w:rPr>
                      <w:b/>
                      <w:szCs w:val="21"/>
                    </w:rPr>
                  </w:pPr>
                </w:p>
              </w:tc>
              <w:tc>
                <w:tcPr>
                  <w:tcW w:w="1159" w:type="dxa"/>
                  <w:vAlign w:val="center"/>
                </w:tcPr>
                <w:p w14:paraId="7EE62FAC">
                  <w:pPr>
                    <w:pStyle w:val="8"/>
                    <w:adjustRightInd w:val="0"/>
                    <w:snapToGrid w:val="0"/>
                    <w:jc w:val="center"/>
                    <w:rPr>
                      <w:b/>
                      <w:szCs w:val="21"/>
                    </w:rPr>
                  </w:pPr>
                  <w:r>
                    <w:rPr>
                      <w:b/>
                      <w:szCs w:val="21"/>
                    </w:rPr>
                    <w:t>X</w:t>
                  </w:r>
                </w:p>
              </w:tc>
              <w:tc>
                <w:tcPr>
                  <w:tcW w:w="1623" w:type="dxa"/>
                  <w:vAlign w:val="center"/>
                </w:tcPr>
                <w:p w14:paraId="09BAB094">
                  <w:pPr>
                    <w:pStyle w:val="8"/>
                    <w:adjustRightInd w:val="0"/>
                    <w:snapToGrid w:val="0"/>
                    <w:jc w:val="center"/>
                    <w:rPr>
                      <w:b/>
                      <w:szCs w:val="21"/>
                    </w:rPr>
                  </w:pPr>
                  <w:r>
                    <w:rPr>
                      <w:b/>
                      <w:szCs w:val="21"/>
                    </w:rPr>
                    <w:t>Y</w:t>
                  </w:r>
                </w:p>
              </w:tc>
              <w:tc>
                <w:tcPr>
                  <w:tcW w:w="1255" w:type="dxa"/>
                  <w:vAlign w:val="center"/>
                </w:tcPr>
                <w:p w14:paraId="21B882FC">
                  <w:pPr>
                    <w:pStyle w:val="8"/>
                    <w:adjustRightInd w:val="0"/>
                    <w:snapToGrid w:val="0"/>
                    <w:jc w:val="center"/>
                    <w:rPr>
                      <w:b/>
                      <w:szCs w:val="21"/>
                    </w:rPr>
                  </w:pPr>
                  <w:r>
                    <w:rPr>
                      <w:b/>
                      <w:szCs w:val="21"/>
                    </w:rPr>
                    <w:t>Z</w:t>
                  </w:r>
                </w:p>
              </w:tc>
              <w:tc>
                <w:tcPr>
                  <w:tcW w:w="2695" w:type="dxa"/>
                  <w:vAlign w:val="center"/>
                </w:tcPr>
                <w:p w14:paraId="3E2BB445">
                  <w:pPr>
                    <w:pStyle w:val="8"/>
                    <w:adjustRightInd w:val="0"/>
                    <w:snapToGrid w:val="0"/>
                    <w:jc w:val="center"/>
                    <w:rPr>
                      <w:b/>
                      <w:szCs w:val="21"/>
                    </w:rPr>
                  </w:pPr>
                  <w:r>
                    <w:rPr>
                      <w:b/>
                      <w:szCs w:val="21"/>
                    </w:rPr>
                    <w:t>声功率级/dB（A）</w:t>
                  </w:r>
                </w:p>
              </w:tc>
              <w:tc>
                <w:tcPr>
                  <w:tcW w:w="2628" w:type="dxa"/>
                  <w:vMerge w:val="continue"/>
                  <w:vAlign w:val="center"/>
                </w:tcPr>
                <w:p w14:paraId="4123866F">
                  <w:pPr>
                    <w:pStyle w:val="8"/>
                    <w:adjustRightInd w:val="0"/>
                    <w:snapToGrid w:val="0"/>
                    <w:jc w:val="center"/>
                    <w:rPr>
                      <w:b/>
                      <w:szCs w:val="21"/>
                    </w:rPr>
                  </w:pPr>
                </w:p>
              </w:tc>
              <w:tc>
                <w:tcPr>
                  <w:tcW w:w="1899" w:type="dxa"/>
                  <w:gridSpan w:val="2"/>
                  <w:vMerge w:val="continue"/>
                  <w:vAlign w:val="center"/>
                </w:tcPr>
                <w:p w14:paraId="14124573">
                  <w:pPr>
                    <w:pStyle w:val="8"/>
                    <w:adjustRightInd w:val="0"/>
                    <w:snapToGrid w:val="0"/>
                    <w:jc w:val="center"/>
                    <w:rPr>
                      <w:b/>
                      <w:szCs w:val="21"/>
                    </w:rPr>
                  </w:pPr>
                </w:p>
              </w:tc>
            </w:tr>
            <w:tr w14:paraId="271477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1" w:type="dxa"/>
                  <w:vAlign w:val="center"/>
                </w:tcPr>
                <w:p w14:paraId="3B22ED58">
                  <w:pPr>
                    <w:pStyle w:val="8"/>
                    <w:adjustRightInd w:val="0"/>
                    <w:snapToGrid w:val="0"/>
                    <w:jc w:val="center"/>
                    <w:rPr>
                      <w:bCs/>
                      <w:szCs w:val="21"/>
                    </w:rPr>
                  </w:pPr>
                  <w:r>
                    <w:rPr>
                      <w:bCs/>
                      <w:szCs w:val="21"/>
                    </w:rPr>
                    <w:t>1</w:t>
                  </w:r>
                </w:p>
              </w:tc>
              <w:tc>
                <w:tcPr>
                  <w:tcW w:w="1814" w:type="dxa"/>
                  <w:vAlign w:val="center"/>
                </w:tcPr>
                <w:p w14:paraId="09557E23">
                  <w:pPr>
                    <w:pStyle w:val="47"/>
                    <w:rPr>
                      <w:rFonts w:eastAsia="宋体"/>
                    </w:rPr>
                  </w:pPr>
                  <w:r>
                    <w:rPr>
                      <w:rFonts w:eastAsia="宋体"/>
                    </w:rPr>
                    <w:t>风机（</w:t>
                  </w:r>
                  <w:r>
                    <w:rPr>
                      <w:rFonts w:hint="eastAsia" w:eastAsia="宋体"/>
                    </w:rPr>
                    <w:t>2台</w:t>
                  </w:r>
                  <w:r>
                    <w:rPr>
                      <w:rFonts w:eastAsia="宋体"/>
                    </w:rPr>
                    <w:t>）</w:t>
                  </w:r>
                </w:p>
              </w:tc>
              <w:tc>
                <w:tcPr>
                  <w:tcW w:w="1159" w:type="dxa"/>
                  <w:vAlign w:val="center"/>
                </w:tcPr>
                <w:p w14:paraId="3B75AF77">
                  <w:pPr>
                    <w:adjustRightInd w:val="0"/>
                    <w:snapToGrid w:val="0"/>
                    <w:jc w:val="center"/>
                    <w:rPr>
                      <w:szCs w:val="21"/>
                    </w:rPr>
                  </w:pPr>
                  <w:r>
                    <w:rPr>
                      <w:szCs w:val="21"/>
                    </w:rPr>
                    <w:t>37</w:t>
                  </w:r>
                </w:p>
              </w:tc>
              <w:tc>
                <w:tcPr>
                  <w:tcW w:w="1623" w:type="dxa"/>
                  <w:vAlign w:val="center"/>
                </w:tcPr>
                <w:p w14:paraId="37A81A2B">
                  <w:pPr>
                    <w:adjustRightInd w:val="0"/>
                    <w:snapToGrid w:val="0"/>
                    <w:jc w:val="center"/>
                    <w:rPr>
                      <w:szCs w:val="21"/>
                    </w:rPr>
                  </w:pPr>
                  <w:r>
                    <w:rPr>
                      <w:szCs w:val="21"/>
                    </w:rPr>
                    <w:t>25</w:t>
                  </w:r>
                </w:p>
              </w:tc>
              <w:tc>
                <w:tcPr>
                  <w:tcW w:w="1255" w:type="dxa"/>
                  <w:vAlign w:val="center"/>
                </w:tcPr>
                <w:p w14:paraId="083BD545">
                  <w:pPr>
                    <w:pStyle w:val="8"/>
                    <w:adjustRightInd w:val="0"/>
                    <w:snapToGrid w:val="0"/>
                    <w:jc w:val="center"/>
                    <w:rPr>
                      <w:bCs/>
                      <w:szCs w:val="21"/>
                    </w:rPr>
                  </w:pPr>
                  <w:r>
                    <w:rPr>
                      <w:bCs/>
                      <w:szCs w:val="21"/>
                    </w:rPr>
                    <w:t>26</w:t>
                  </w:r>
                </w:p>
              </w:tc>
              <w:tc>
                <w:tcPr>
                  <w:tcW w:w="2695" w:type="dxa"/>
                  <w:vAlign w:val="center"/>
                </w:tcPr>
                <w:p w14:paraId="4E321881">
                  <w:pPr>
                    <w:widowControl/>
                    <w:jc w:val="center"/>
                    <w:textAlignment w:val="center"/>
                    <w:rPr>
                      <w:bCs/>
                      <w:szCs w:val="21"/>
                    </w:rPr>
                  </w:pPr>
                  <w:r>
                    <w:rPr>
                      <w:kern w:val="0"/>
                      <w:szCs w:val="21"/>
                    </w:rPr>
                    <w:t>9</w:t>
                  </w:r>
                  <w:r>
                    <w:rPr>
                      <w:rFonts w:hint="eastAsia"/>
                      <w:kern w:val="0"/>
                      <w:szCs w:val="21"/>
                    </w:rPr>
                    <w:t>3</w:t>
                  </w:r>
                </w:p>
              </w:tc>
              <w:tc>
                <w:tcPr>
                  <w:tcW w:w="2628" w:type="dxa"/>
                  <w:vAlign w:val="center"/>
                </w:tcPr>
                <w:p w14:paraId="1D181699">
                  <w:pPr>
                    <w:widowControl/>
                    <w:jc w:val="center"/>
                    <w:rPr>
                      <w:kern w:val="0"/>
                      <w:szCs w:val="21"/>
                    </w:rPr>
                  </w:pPr>
                  <w:r>
                    <w:rPr>
                      <w:bCs/>
                      <w:szCs w:val="21"/>
                    </w:rPr>
                    <w:t>使用减震垫、加装消音器、隔音板等</w:t>
                  </w:r>
                </w:p>
              </w:tc>
              <w:tc>
                <w:tcPr>
                  <w:tcW w:w="1899" w:type="dxa"/>
                  <w:gridSpan w:val="2"/>
                  <w:vAlign w:val="center"/>
                </w:tcPr>
                <w:p w14:paraId="233E84C1">
                  <w:pPr>
                    <w:widowControl/>
                    <w:adjustRightInd w:val="0"/>
                    <w:snapToGrid w:val="0"/>
                    <w:jc w:val="center"/>
                    <w:textAlignment w:val="center"/>
                    <w:rPr>
                      <w:szCs w:val="21"/>
                    </w:rPr>
                  </w:pPr>
                  <w:r>
                    <w:rPr>
                      <w:bCs/>
                      <w:szCs w:val="21"/>
                    </w:rPr>
                    <w:t>0:00-24:00</w:t>
                  </w:r>
                </w:p>
              </w:tc>
            </w:tr>
            <w:tr w14:paraId="2E5DAB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gridAfter w:val="1"/>
                <w:wAfter w:w="15" w:type="dxa"/>
                <w:trHeight w:val="340" w:hRule="atLeast"/>
                <w:jc w:val="center"/>
              </w:trPr>
              <w:tc>
                <w:tcPr>
                  <w:tcW w:w="13819" w:type="dxa"/>
                  <w:gridSpan w:val="8"/>
                  <w:vAlign w:val="center"/>
                </w:tcPr>
                <w:p w14:paraId="28AE5A8C">
                  <w:pPr>
                    <w:widowControl/>
                    <w:adjustRightInd w:val="0"/>
                    <w:snapToGrid w:val="0"/>
                    <w:jc w:val="left"/>
                    <w:textAlignment w:val="center"/>
                    <w:rPr>
                      <w:kern w:val="0"/>
                      <w:szCs w:val="21"/>
                    </w:rPr>
                  </w:pPr>
                  <w:r>
                    <w:rPr>
                      <w:kern w:val="0"/>
                      <w:szCs w:val="21"/>
                    </w:rPr>
                    <w:t>注：空间相对位置以</w:t>
                  </w:r>
                  <w:r>
                    <w:rPr>
                      <w:rFonts w:hint="eastAsia"/>
                      <w:kern w:val="0"/>
                      <w:szCs w:val="21"/>
                    </w:rPr>
                    <w:t>3#</w:t>
                  </w:r>
                  <w:r>
                    <w:rPr>
                      <w:kern w:val="0"/>
                      <w:szCs w:val="21"/>
                    </w:rPr>
                    <w:t>车间西南角为原点（0，0），Z轴以地面高度为0点。</w:t>
                  </w:r>
                </w:p>
              </w:tc>
            </w:tr>
          </w:tbl>
          <w:p w14:paraId="2A4D49E2">
            <w:pPr>
              <w:adjustRightInd w:val="0"/>
              <w:snapToGrid w:val="0"/>
              <w:spacing w:line="360" w:lineRule="auto"/>
              <w:rPr>
                <w:b/>
                <w:bCs/>
                <w:szCs w:val="21"/>
                <w:vertAlign w:val="baseline"/>
              </w:rPr>
            </w:pPr>
          </w:p>
          <w:p w14:paraId="49B9A723">
            <w:pPr>
              <w:adjustRightInd w:val="0"/>
              <w:snapToGrid w:val="0"/>
              <w:spacing w:line="360" w:lineRule="auto"/>
              <w:rPr>
                <w:b/>
                <w:bCs/>
                <w:szCs w:val="21"/>
                <w:vertAlign w:val="baseline"/>
              </w:rPr>
            </w:pPr>
          </w:p>
          <w:p w14:paraId="1EE51956">
            <w:pPr>
              <w:adjustRightInd w:val="0"/>
              <w:snapToGrid w:val="0"/>
              <w:spacing w:line="360" w:lineRule="auto"/>
              <w:rPr>
                <w:b/>
                <w:bCs/>
                <w:szCs w:val="21"/>
                <w:vertAlign w:val="baseline"/>
              </w:rPr>
            </w:pPr>
          </w:p>
          <w:p w14:paraId="4C8BCA5B">
            <w:pPr>
              <w:adjustRightInd w:val="0"/>
              <w:snapToGrid w:val="0"/>
              <w:spacing w:line="360" w:lineRule="auto"/>
              <w:rPr>
                <w:b/>
                <w:bCs/>
                <w:szCs w:val="21"/>
                <w:vertAlign w:val="baseline"/>
              </w:rPr>
            </w:pPr>
          </w:p>
          <w:p w14:paraId="79C8C509">
            <w:pPr>
              <w:adjustRightInd w:val="0"/>
              <w:snapToGrid w:val="0"/>
              <w:spacing w:line="360" w:lineRule="auto"/>
              <w:rPr>
                <w:b/>
                <w:bCs/>
                <w:szCs w:val="21"/>
                <w:vertAlign w:val="baseline"/>
              </w:rPr>
            </w:pPr>
          </w:p>
          <w:p w14:paraId="042D869E">
            <w:pPr>
              <w:adjustRightInd w:val="0"/>
              <w:snapToGrid w:val="0"/>
              <w:spacing w:line="360" w:lineRule="auto"/>
              <w:rPr>
                <w:b/>
                <w:bCs/>
                <w:szCs w:val="21"/>
                <w:vertAlign w:val="baseline"/>
              </w:rPr>
            </w:pPr>
          </w:p>
          <w:p w14:paraId="077DAABB">
            <w:pPr>
              <w:adjustRightInd w:val="0"/>
              <w:snapToGrid w:val="0"/>
              <w:spacing w:line="360" w:lineRule="auto"/>
              <w:rPr>
                <w:b/>
                <w:bCs/>
                <w:szCs w:val="21"/>
                <w:vertAlign w:val="baseline"/>
              </w:rPr>
            </w:pPr>
          </w:p>
          <w:p w14:paraId="252D6C80">
            <w:pPr>
              <w:adjustRightInd w:val="0"/>
              <w:snapToGrid w:val="0"/>
              <w:spacing w:line="360" w:lineRule="auto"/>
              <w:rPr>
                <w:b/>
                <w:bCs/>
                <w:szCs w:val="21"/>
                <w:vertAlign w:val="baseline"/>
              </w:rPr>
            </w:pPr>
          </w:p>
          <w:p w14:paraId="1D4F070F">
            <w:pPr>
              <w:adjustRightInd w:val="0"/>
              <w:snapToGrid w:val="0"/>
              <w:spacing w:line="360" w:lineRule="auto"/>
              <w:rPr>
                <w:b/>
                <w:bCs/>
                <w:szCs w:val="21"/>
                <w:vertAlign w:val="baseline"/>
              </w:rPr>
            </w:pPr>
          </w:p>
        </w:tc>
      </w:tr>
    </w:tbl>
    <w:p w14:paraId="3759DE77">
      <w:pPr>
        <w:pStyle w:val="82"/>
        <w:ind w:firstLine="480"/>
        <w:rPr>
          <w:color w:val="auto"/>
        </w:rPr>
      </w:pPr>
    </w:p>
    <w:p w14:paraId="677657F1">
      <w:pPr>
        <w:pStyle w:val="82"/>
        <w:ind w:firstLine="480"/>
        <w:rPr>
          <w:color w:val="auto"/>
        </w:rPr>
        <w:sectPr>
          <w:pgSz w:w="16840" w:h="11907" w:orient="landscape"/>
          <w:pgMar w:top="1531" w:right="1531" w:bottom="1531" w:left="1531" w:header="851" w:footer="851" w:gutter="0"/>
          <w:cols w:space="720" w:num="1"/>
          <w:docGrid w:linePitch="312" w:charSpace="0"/>
        </w:sectPr>
      </w:pPr>
    </w:p>
    <w:tbl>
      <w:tblPr>
        <w:tblStyle w:val="25"/>
        <w:tblW w:w="518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761"/>
      </w:tblGrid>
      <w:tr w14:paraId="3221A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92" w:type="pct"/>
            <w:tcMar>
              <w:left w:w="28" w:type="dxa"/>
              <w:right w:w="28" w:type="dxa"/>
            </w:tcMar>
            <w:vAlign w:val="center"/>
          </w:tcPr>
          <w:p w14:paraId="5FF363B4">
            <w:pPr>
              <w:pStyle w:val="4"/>
            </w:pPr>
            <w:bookmarkStart w:id="135" w:name="_Toc9500"/>
            <w:bookmarkEnd w:id="135"/>
            <w:bookmarkStart w:id="136" w:name="_Toc31141"/>
            <w:bookmarkEnd w:id="136"/>
          </w:p>
        </w:tc>
        <w:tc>
          <w:tcPr>
            <w:tcW w:w="4707" w:type="pct"/>
          </w:tcPr>
          <w:p w14:paraId="674FF06E">
            <w:pPr>
              <w:widowControl/>
              <w:adjustRightInd w:val="0"/>
              <w:snapToGrid w:val="0"/>
              <w:spacing w:beforeLines="50" w:line="360" w:lineRule="auto"/>
              <w:ind w:firstLine="422" w:firstLineChars="200"/>
              <w:rPr>
                <w:b/>
                <w:kern w:val="0"/>
                <w:szCs w:val="21"/>
              </w:rPr>
            </w:pPr>
            <w:r>
              <w:rPr>
                <w:b/>
                <w:kern w:val="0"/>
                <w:szCs w:val="21"/>
              </w:rPr>
              <w:t>（2）达标排放</w:t>
            </w:r>
          </w:p>
          <w:p w14:paraId="09B9611F">
            <w:pPr>
              <w:pStyle w:val="11"/>
              <w:spacing w:line="360" w:lineRule="auto"/>
              <w:ind w:left="0" w:leftChars="0" w:right="0" w:rightChars="0" w:firstLine="420"/>
              <w:rPr>
                <w:b/>
                <w:color w:val="auto"/>
                <w:sz w:val="21"/>
                <w:szCs w:val="21"/>
              </w:rPr>
            </w:pPr>
            <w:r>
              <w:rPr>
                <w:color w:val="auto"/>
                <w:sz w:val="21"/>
                <w:szCs w:val="21"/>
              </w:rPr>
              <w:t>项目周边50m范围内不涉及声环境保护目标，因此项目运营期噪声影响选择各厂界作为关心点进行影响预测。根据《环境影响评价技术导则 声环境》（HJ2.4-2021）的规定，选取预测模式，应用过程中将根据具体情况作必要简化，考虑噪声距离衰减和隔声措施，预测其受到的影响，厂界噪声预测结果见表4-24。</w:t>
            </w:r>
          </w:p>
          <w:p w14:paraId="6C8D9F03">
            <w:pPr>
              <w:pStyle w:val="11"/>
              <w:spacing w:line="240" w:lineRule="auto"/>
              <w:ind w:left="0" w:leftChars="0" w:right="0" w:rightChars="0" w:firstLine="0" w:firstLineChars="0"/>
              <w:jc w:val="center"/>
              <w:rPr>
                <w:b/>
                <w:color w:val="auto"/>
                <w:sz w:val="21"/>
                <w:szCs w:val="21"/>
              </w:rPr>
            </w:pPr>
            <w:r>
              <w:rPr>
                <w:b/>
                <w:color w:val="auto"/>
                <w:sz w:val="21"/>
                <w:szCs w:val="21"/>
              </w:rPr>
              <w:t>表4-24  噪声预测结果</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640"/>
              <w:gridCol w:w="1238"/>
              <w:gridCol w:w="1443"/>
              <w:gridCol w:w="1785"/>
              <w:gridCol w:w="1439"/>
            </w:tblGrid>
            <w:tr w14:paraId="1EF400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40" w:type="dxa"/>
                  <w:tcBorders>
                    <w:top w:val="single" w:color="auto" w:sz="12" w:space="0"/>
                    <w:left w:val="nil"/>
                    <w:bottom w:val="single" w:color="auto" w:sz="4" w:space="0"/>
                    <w:right w:val="single" w:color="auto" w:sz="4" w:space="0"/>
                  </w:tcBorders>
                  <w:vAlign w:val="center"/>
                </w:tcPr>
                <w:p w14:paraId="70FC8A33">
                  <w:pPr>
                    <w:pStyle w:val="11"/>
                    <w:spacing w:line="240" w:lineRule="auto"/>
                    <w:ind w:left="0" w:leftChars="0" w:right="0" w:rightChars="0" w:firstLine="0" w:firstLineChars="0"/>
                    <w:jc w:val="center"/>
                    <w:rPr>
                      <w:b/>
                      <w:color w:val="auto"/>
                      <w:sz w:val="21"/>
                      <w:szCs w:val="21"/>
                    </w:rPr>
                  </w:pPr>
                  <w:r>
                    <w:rPr>
                      <w:b/>
                      <w:color w:val="auto"/>
                      <w:sz w:val="21"/>
                      <w:szCs w:val="21"/>
                    </w:rPr>
                    <w:t>预测点</w:t>
                  </w:r>
                </w:p>
              </w:tc>
              <w:tc>
                <w:tcPr>
                  <w:tcW w:w="1238" w:type="dxa"/>
                  <w:tcBorders>
                    <w:top w:val="single" w:color="auto" w:sz="12" w:space="0"/>
                    <w:left w:val="single" w:color="auto" w:sz="4" w:space="0"/>
                    <w:bottom w:val="single" w:color="auto" w:sz="4" w:space="0"/>
                    <w:right w:val="single" w:color="auto" w:sz="4" w:space="0"/>
                  </w:tcBorders>
                  <w:vAlign w:val="center"/>
                </w:tcPr>
                <w:p w14:paraId="3C2727E1">
                  <w:pPr>
                    <w:pStyle w:val="11"/>
                    <w:spacing w:line="240" w:lineRule="auto"/>
                    <w:ind w:left="0" w:leftChars="0" w:right="0" w:rightChars="0" w:firstLine="0" w:firstLineChars="0"/>
                    <w:jc w:val="center"/>
                    <w:rPr>
                      <w:color w:val="auto"/>
                      <w:sz w:val="21"/>
                      <w:szCs w:val="21"/>
                    </w:rPr>
                  </w:pPr>
                  <w:r>
                    <w:rPr>
                      <w:color w:val="auto"/>
                      <w:sz w:val="21"/>
                      <w:szCs w:val="21"/>
                    </w:rPr>
                    <w:t>东厂界</w:t>
                  </w:r>
                </w:p>
              </w:tc>
              <w:tc>
                <w:tcPr>
                  <w:tcW w:w="1443" w:type="dxa"/>
                  <w:tcBorders>
                    <w:top w:val="single" w:color="auto" w:sz="12" w:space="0"/>
                    <w:left w:val="single" w:color="auto" w:sz="4" w:space="0"/>
                    <w:bottom w:val="single" w:color="auto" w:sz="4" w:space="0"/>
                    <w:right w:val="single" w:color="auto" w:sz="4" w:space="0"/>
                  </w:tcBorders>
                  <w:vAlign w:val="center"/>
                </w:tcPr>
                <w:p w14:paraId="33C1CB79">
                  <w:pPr>
                    <w:pStyle w:val="11"/>
                    <w:spacing w:line="240" w:lineRule="auto"/>
                    <w:ind w:left="0" w:leftChars="0" w:right="0" w:rightChars="0" w:firstLine="0" w:firstLineChars="0"/>
                    <w:jc w:val="center"/>
                    <w:rPr>
                      <w:color w:val="auto"/>
                      <w:sz w:val="21"/>
                      <w:szCs w:val="21"/>
                    </w:rPr>
                  </w:pPr>
                  <w:r>
                    <w:rPr>
                      <w:color w:val="auto"/>
                      <w:sz w:val="21"/>
                      <w:szCs w:val="21"/>
                    </w:rPr>
                    <w:t>南厂界</w:t>
                  </w:r>
                </w:p>
              </w:tc>
              <w:tc>
                <w:tcPr>
                  <w:tcW w:w="1785" w:type="dxa"/>
                  <w:tcBorders>
                    <w:top w:val="single" w:color="auto" w:sz="12" w:space="0"/>
                    <w:left w:val="single" w:color="auto" w:sz="4" w:space="0"/>
                    <w:bottom w:val="single" w:color="auto" w:sz="4" w:space="0"/>
                    <w:right w:val="single" w:color="auto" w:sz="4" w:space="0"/>
                  </w:tcBorders>
                  <w:vAlign w:val="center"/>
                </w:tcPr>
                <w:p w14:paraId="24151913">
                  <w:pPr>
                    <w:pStyle w:val="11"/>
                    <w:spacing w:line="240" w:lineRule="auto"/>
                    <w:ind w:left="0" w:leftChars="0" w:right="0" w:rightChars="0" w:firstLine="0" w:firstLineChars="0"/>
                    <w:jc w:val="center"/>
                    <w:rPr>
                      <w:color w:val="auto"/>
                      <w:sz w:val="21"/>
                      <w:szCs w:val="21"/>
                    </w:rPr>
                  </w:pPr>
                  <w:r>
                    <w:rPr>
                      <w:color w:val="auto"/>
                      <w:sz w:val="21"/>
                      <w:szCs w:val="21"/>
                    </w:rPr>
                    <w:t>西厂界</w:t>
                  </w:r>
                </w:p>
              </w:tc>
              <w:tc>
                <w:tcPr>
                  <w:tcW w:w="1439" w:type="dxa"/>
                  <w:tcBorders>
                    <w:top w:val="single" w:color="auto" w:sz="12" w:space="0"/>
                    <w:left w:val="single" w:color="auto" w:sz="4" w:space="0"/>
                    <w:bottom w:val="single" w:color="auto" w:sz="4" w:space="0"/>
                    <w:right w:val="nil"/>
                  </w:tcBorders>
                  <w:vAlign w:val="center"/>
                </w:tcPr>
                <w:p w14:paraId="1E2D23F5">
                  <w:pPr>
                    <w:pStyle w:val="11"/>
                    <w:spacing w:line="240" w:lineRule="auto"/>
                    <w:ind w:left="0" w:leftChars="0" w:right="0" w:rightChars="0" w:firstLine="0" w:firstLineChars="0"/>
                    <w:jc w:val="center"/>
                    <w:rPr>
                      <w:color w:val="auto"/>
                      <w:sz w:val="21"/>
                      <w:szCs w:val="21"/>
                    </w:rPr>
                  </w:pPr>
                  <w:r>
                    <w:rPr>
                      <w:color w:val="auto"/>
                      <w:sz w:val="21"/>
                      <w:szCs w:val="21"/>
                    </w:rPr>
                    <w:t>北厂界</w:t>
                  </w:r>
                </w:p>
              </w:tc>
            </w:tr>
            <w:tr w14:paraId="117DF5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40" w:type="dxa"/>
                  <w:tcBorders>
                    <w:top w:val="single" w:color="auto" w:sz="4" w:space="0"/>
                    <w:left w:val="nil"/>
                    <w:bottom w:val="single" w:color="auto" w:sz="4" w:space="0"/>
                    <w:right w:val="single" w:color="auto" w:sz="4" w:space="0"/>
                  </w:tcBorders>
                  <w:vAlign w:val="center"/>
                </w:tcPr>
                <w:p w14:paraId="01C3A14B">
                  <w:pPr>
                    <w:pStyle w:val="11"/>
                    <w:spacing w:line="240" w:lineRule="auto"/>
                    <w:ind w:left="0" w:leftChars="0" w:right="0" w:rightChars="0" w:firstLine="0" w:firstLineChars="0"/>
                    <w:jc w:val="center"/>
                    <w:rPr>
                      <w:b/>
                      <w:color w:val="auto"/>
                      <w:sz w:val="21"/>
                      <w:szCs w:val="21"/>
                    </w:rPr>
                  </w:pPr>
                  <w:r>
                    <w:rPr>
                      <w:b/>
                      <w:color w:val="auto"/>
                      <w:sz w:val="21"/>
                      <w:szCs w:val="21"/>
                    </w:rPr>
                    <w:t>贡献值(dB(A))</w:t>
                  </w:r>
                </w:p>
              </w:tc>
              <w:tc>
                <w:tcPr>
                  <w:tcW w:w="1238" w:type="dxa"/>
                  <w:tcBorders>
                    <w:top w:val="single" w:color="auto" w:sz="4" w:space="0"/>
                    <w:left w:val="single" w:color="auto" w:sz="4" w:space="0"/>
                    <w:bottom w:val="single" w:color="auto" w:sz="4" w:space="0"/>
                    <w:right w:val="single" w:color="auto" w:sz="4" w:space="0"/>
                  </w:tcBorders>
                  <w:vAlign w:val="center"/>
                </w:tcPr>
                <w:p w14:paraId="028823BB">
                  <w:pPr>
                    <w:pStyle w:val="11"/>
                    <w:spacing w:line="240" w:lineRule="auto"/>
                    <w:ind w:left="0" w:leftChars="0" w:right="0" w:rightChars="0" w:firstLine="0" w:firstLineChars="0"/>
                    <w:jc w:val="center"/>
                    <w:rPr>
                      <w:color w:val="auto"/>
                      <w:sz w:val="21"/>
                      <w:szCs w:val="21"/>
                    </w:rPr>
                  </w:pPr>
                  <w:r>
                    <w:rPr>
                      <w:rFonts w:hint="eastAsia"/>
                      <w:color w:val="auto"/>
                      <w:sz w:val="21"/>
                      <w:szCs w:val="21"/>
                    </w:rPr>
                    <w:t>41.4</w:t>
                  </w:r>
                </w:p>
              </w:tc>
              <w:tc>
                <w:tcPr>
                  <w:tcW w:w="1443" w:type="dxa"/>
                  <w:tcBorders>
                    <w:top w:val="single" w:color="auto" w:sz="4" w:space="0"/>
                    <w:left w:val="single" w:color="auto" w:sz="4" w:space="0"/>
                    <w:bottom w:val="single" w:color="auto" w:sz="4" w:space="0"/>
                    <w:right w:val="single" w:color="auto" w:sz="4" w:space="0"/>
                  </w:tcBorders>
                  <w:vAlign w:val="center"/>
                </w:tcPr>
                <w:p w14:paraId="1A5A3890">
                  <w:pPr>
                    <w:pStyle w:val="11"/>
                    <w:spacing w:line="240" w:lineRule="auto"/>
                    <w:ind w:left="0" w:leftChars="0" w:right="0" w:rightChars="0" w:firstLine="0" w:firstLineChars="0"/>
                    <w:jc w:val="center"/>
                    <w:rPr>
                      <w:color w:val="auto"/>
                      <w:sz w:val="21"/>
                      <w:szCs w:val="21"/>
                    </w:rPr>
                  </w:pPr>
                  <w:r>
                    <w:rPr>
                      <w:rFonts w:hint="eastAsia"/>
                      <w:color w:val="auto"/>
                      <w:sz w:val="21"/>
                      <w:szCs w:val="21"/>
                    </w:rPr>
                    <w:t>47.4</w:t>
                  </w:r>
                </w:p>
              </w:tc>
              <w:tc>
                <w:tcPr>
                  <w:tcW w:w="1785" w:type="dxa"/>
                  <w:tcBorders>
                    <w:top w:val="single" w:color="auto" w:sz="4" w:space="0"/>
                    <w:left w:val="single" w:color="auto" w:sz="4" w:space="0"/>
                    <w:bottom w:val="single" w:color="auto" w:sz="4" w:space="0"/>
                    <w:right w:val="single" w:color="auto" w:sz="4" w:space="0"/>
                  </w:tcBorders>
                  <w:vAlign w:val="center"/>
                </w:tcPr>
                <w:p w14:paraId="52CA2B27">
                  <w:pPr>
                    <w:pStyle w:val="11"/>
                    <w:spacing w:line="240" w:lineRule="auto"/>
                    <w:ind w:left="0" w:leftChars="0" w:right="0" w:rightChars="0" w:firstLine="0" w:firstLineChars="0"/>
                    <w:jc w:val="center"/>
                    <w:rPr>
                      <w:color w:val="auto"/>
                      <w:sz w:val="21"/>
                      <w:szCs w:val="21"/>
                    </w:rPr>
                  </w:pPr>
                  <w:r>
                    <w:rPr>
                      <w:rFonts w:hint="eastAsia"/>
                      <w:color w:val="auto"/>
                      <w:sz w:val="21"/>
                      <w:szCs w:val="21"/>
                    </w:rPr>
                    <w:t>48.3</w:t>
                  </w:r>
                </w:p>
              </w:tc>
              <w:tc>
                <w:tcPr>
                  <w:tcW w:w="1439" w:type="dxa"/>
                  <w:tcBorders>
                    <w:top w:val="single" w:color="auto" w:sz="4" w:space="0"/>
                    <w:left w:val="single" w:color="auto" w:sz="4" w:space="0"/>
                    <w:bottom w:val="single" w:color="auto" w:sz="4" w:space="0"/>
                    <w:right w:val="nil"/>
                  </w:tcBorders>
                  <w:vAlign w:val="center"/>
                </w:tcPr>
                <w:p w14:paraId="0E54D630">
                  <w:pPr>
                    <w:pStyle w:val="11"/>
                    <w:spacing w:line="240" w:lineRule="auto"/>
                    <w:ind w:left="0" w:leftChars="0" w:right="0" w:rightChars="0" w:firstLine="0" w:firstLineChars="0"/>
                    <w:jc w:val="center"/>
                    <w:rPr>
                      <w:color w:val="auto"/>
                      <w:sz w:val="21"/>
                      <w:szCs w:val="21"/>
                    </w:rPr>
                  </w:pPr>
                  <w:r>
                    <w:rPr>
                      <w:rFonts w:hint="eastAsia"/>
                      <w:color w:val="auto"/>
                      <w:sz w:val="21"/>
                      <w:szCs w:val="21"/>
                    </w:rPr>
                    <w:t>35.8</w:t>
                  </w:r>
                </w:p>
              </w:tc>
            </w:tr>
            <w:tr w14:paraId="70D203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640" w:type="dxa"/>
                  <w:tcBorders>
                    <w:top w:val="single" w:color="auto" w:sz="4" w:space="0"/>
                    <w:left w:val="nil"/>
                    <w:bottom w:val="single" w:color="auto" w:sz="12" w:space="0"/>
                    <w:right w:val="single" w:color="auto" w:sz="4" w:space="0"/>
                  </w:tcBorders>
                  <w:vAlign w:val="center"/>
                </w:tcPr>
                <w:p w14:paraId="717A2EFD">
                  <w:pPr>
                    <w:pStyle w:val="11"/>
                    <w:spacing w:line="240" w:lineRule="auto"/>
                    <w:ind w:left="0" w:leftChars="0" w:right="0" w:rightChars="0" w:firstLine="0" w:firstLineChars="0"/>
                    <w:jc w:val="center"/>
                    <w:rPr>
                      <w:b/>
                      <w:color w:val="auto"/>
                      <w:sz w:val="21"/>
                      <w:szCs w:val="21"/>
                    </w:rPr>
                  </w:pPr>
                  <w:r>
                    <w:rPr>
                      <w:b/>
                      <w:color w:val="auto"/>
                      <w:sz w:val="21"/>
                      <w:szCs w:val="21"/>
                    </w:rPr>
                    <w:t>执行标准</w:t>
                  </w:r>
                </w:p>
              </w:tc>
              <w:tc>
                <w:tcPr>
                  <w:tcW w:w="5905" w:type="dxa"/>
                  <w:gridSpan w:val="4"/>
                  <w:tcBorders>
                    <w:top w:val="single" w:color="auto" w:sz="4" w:space="0"/>
                    <w:left w:val="single" w:color="auto" w:sz="4" w:space="0"/>
                    <w:bottom w:val="single" w:color="auto" w:sz="12" w:space="0"/>
                    <w:right w:val="nil"/>
                  </w:tcBorders>
                  <w:vAlign w:val="center"/>
                </w:tcPr>
                <w:p w14:paraId="52670DB2">
                  <w:pPr>
                    <w:pStyle w:val="11"/>
                    <w:spacing w:line="240" w:lineRule="auto"/>
                    <w:ind w:left="0" w:leftChars="0" w:right="0" w:rightChars="0" w:firstLine="0" w:firstLineChars="0"/>
                    <w:jc w:val="center"/>
                    <w:rPr>
                      <w:b/>
                      <w:color w:val="auto"/>
                      <w:sz w:val="21"/>
                      <w:szCs w:val="21"/>
                    </w:rPr>
                  </w:pPr>
                  <w:r>
                    <w:rPr>
                      <w:color w:val="auto"/>
                      <w:sz w:val="21"/>
                      <w:szCs w:val="21"/>
                    </w:rPr>
                    <w:t>昼间：≤65dB(A)，夜间：≤55dB(A)</w:t>
                  </w:r>
                </w:p>
              </w:tc>
            </w:tr>
          </w:tbl>
          <w:p w14:paraId="3955377B">
            <w:pPr>
              <w:pStyle w:val="11"/>
              <w:spacing w:beforeLines="50" w:line="360" w:lineRule="auto"/>
              <w:ind w:left="0" w:leftChars="0" w:right="0" w:rightChars="0" w:firstLine="422"/>
              <w:jc w:val="left"/>
              <w:rPr>
                <w:b/>
                <w:color w:val="auto"/>
                <w:sz w:val="21"/>
                <w:szCs w:val="21"/>
              </w:rPr>
            </w:pPr>
            <w:r>
              <w:rPr>
                <w:b/>
                <w:color w:val="auto"/>
                <w:sz w:val="21"/>
                <w:szCs w:val="21"/>
              </w:rPr>
              <w:t>（3）声环境影响分析结论</w:t>
            </w:r>
          </w:p>
          <w:p w14:paraId="482A63EF">
            <w:pPr>
              <w:pStyle w:val="64"/>
              <w:adjustRightInd w:val="0"/>
              <w:snapToGrid w:val="0"/>
              <w:spacing w:line="360" w:lineRule="auto"/>
              <w:ind w:firstLine="420"/>
              <w:jc w:val="both"/>
              <w:rPr>
                <w:rFonts w:eastAsia="宋体"/>
                <w:sz w:val="21"/>
                <w:szCs w:val="21"/>
              </w:rPr>
            </w:pPr>
            <w:r>
              <w:rPr>
                <w:rFonts w:eastAsia="宋体"/>
                <w:sz w:val="21"/>
                <w:szCs w:val="21"/>
              </w:rPr>
              <w:t>建设项目高噪声设备通过合理布局、消声减振和距离衰减后，对东、南、西、北各厂界的噪声贡献值分别为4</w:t>
            </w:r>
            <w:r>
              <w:rPr>
                <w:rFonts w:hint="eastAsia" w:eastAsia="宋体"/>
                <w:sz w:val="21"/>
                <w:szCs w:val="21"/>
              </w:rPr>
              <w:t>1.4</w:t>
            </w:r>
            <w:r>
              <w:rPr>
                <w:rFonts w:eastAsia="宋体"/>
                <w:sz w:val="21"/>
                <w:szCs w:val="21"/>
              </w:rPr>
              <w:t>dB(A)、4</w:t>
            </w:r>
            <w:r>
              <w:rPr>
                <w:rFonts w:hint="eastAsia" w:eastAsia="宋体"/>
                <w:sz w:val="21"/>
                <w:szCs w:val="21"/>
              </w:rPr>
              <w:t>7.4</w:t>
            </w:r>
            <w:r>
              <w:rPr>
                <w:rFonts w:eastAsia="宋体"/>
                <w:sz w:val="21"/>
                <w:szCs w:val="21"/>
              </w:rPr>
              <w:t>dB(A)、4</w:t>
            </w:r>
            <w:r>
              <w:rPr>
                <w:rFonts w:hint="eastAsia" w:eastAsia="宋体"/>
                <w:sz w:val="21"/>
                <w:szCs w:val="21"/>
              </w:rPr>
              <w:t>8.3</w:t>
            </w:r>
            <w:r>
              <w:rPr>
                <w:rFonts w:eastAsia="宋体"/>
                <w:sz w:val="21"/>
                <w:szCs w:val="21"/>
              </w:rPr>
              <w:t>dB(A)、</w:t>
            </w:r>
            <w:r>
              <w:rPr>
                <w:rFonts w:hint="eastAsia" w:eastAsia="宋体"/>
                <w:sz w:val="21"/>
                <w:szCs w:val="21"/>
              </w:rPr>
              <w:t>35.8</w:t>
            </w:r>
            <w:r>
              <w:rPr>
                <w:rFonts w:eastAsia="宋体"/>
                <w:sz w:val="21"/>
                <w:szCs w:val="21"/>
              </w:rPr>
              <w:t>dB(A)，可使厂界噪声满足《工业企业厂界环境噪声排放标准》（GB12348-2008）3类标准要求。因此扩建项目噪声源对周围环境影响较小，不会降低当地的环境声功能级别。</w:t>
            </w:r>
          </w:p>
          <w:p w14:paraId="026A03BF">
            <w:pPr>
              <w:pStyle w:val="11"/>
              <w:spacing w:line="360" w:lineRule="auto"/>
              <w:ind w:left="0" w:leftChars="0" w:right="0" w:rightChars="0" w:firstLine="422"/>
              <w:jc w:val="left"/>
              <w:rPr>
                <w:b/>
                <w:bCs/>
                <w:color w:val="auto"/>
                <w:sz w:val="21"/>
                <w:szCs w:val="21"/>
              </w:rPr>
            </w:pPr>
            <w:r>
              <w:rPr>
                <w:b/>
                <w:bCs/>
                <w:color w:val="auto"/>
                <w:sz w:val="21"/>
                <w:szCs w:val="21"/>
              </w:rPr>
              <w:t>（4）噪声源监测计划</w:t>
            </w:r>
          </w:p>
          <w:p w14:paraId="371838A9">
            <w:pPr>
              <w:pStyle w:val="5"/>
              <w:adjustRightInd w:val="0"/>
              <w:snapToGrid w:val="0"/>
              <w:spacing w:line="360" w:lineRule="auto"/>
              <w:ind w:firstLine="420"/>
              <w:rPr>
                <w:szCs w:val="21"/>
              </w:rPr>
            </w:pPr>
            <w:r>
              <w:rPr>
                <w:szCs w:val="21"/>
              </w:rPr>
              <w:t>根据《排污单位自行监测技术指南 橡胶和塑料制品》（HJ1207-2021）中相关要求，项目建成后全厂噪声例行监测计划方案详见表4-25。</w:t>
            </w:r>
          </w:p>
          <w:p w14:paraId="15C35268">
            <w:pPr>
              <w:adjustRightInd w:val="0"/>
              <w:snapToGrid w:val="0"/>
              <w:jc w:val="center"/>
              <w:rPr>
                <w:b/>
                <w:szCs w:val="21"/>
              </w:rPr>
            </w:pPr>
            <w:r>
              <w:rPr>
                <w:b/>
                <w:szCs w:val="21"/>
              </w:rPr>
              <w:t>表4-25  噪声例行监测计划要求</w:t>
            </w:r>
          </w:p>
          <w:tbl>
            <w:tblPr>
              <w:tblStyle w:val="25"/>
              <w:tblW w:w="4998"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28" w:type="dxa"/>
                <w:bottom w:w="0" w:type="dxa"/>
                <w:right w:w="28" w:type="dxa"/>
              </w:tblCellMar>
            </w:tblPr>
            <w:tblGrid>
              <w:gridCol w:w="551"/>
              <w:gridCol w:w="1169"/>
              <w:gridCol w:w="629"/>
              <w:gridCol w:w="1365"/>
              <w:gridCol w:w="991"/>
              <w:gridCol w:w="919"/>
              <w:gridCol w:w="2918"/>
            </w:tblGrid>
            <w:tr w14:paraId="1E6B227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8" w:type="dxa"/>
                  <w:bottom w:w="0" w:type="dxa"/>
                  <w:right w:w="28" w:type="dxa"/>
                </w:tblCellMar>
              </w:tblPrEx>
              <w:trPr>
                <w:trHeight w:val="340" w:hRule="atLeast"/>
              </w:trPr>
              <w:tc>
                <w:tcPr>
                  <w:tcW w:w="323" w:type="pct"/>
                  <w:vAlign w:val="center"/>
                </w:tcPr>
                <w:p w14:paraId="0336F482">
                  <w:pPr>
                    <w:adjustRightInd w:val="0"/>
                    <w:snapToGrid w:val="0"/>
                    <w:jc w:val="center"/>
                    <w:rPr>
                      <w:b/>
                      <w:szCs w:val="21"/>
                    </w:rPr>
                  </w:pPr>
                  <w:r>
                    <w:rPr>
                      <w:b/>
                      <w:szCs w:val="21"/>
                    </w:rPr>
                    <w:t>类型</w:t>
                  </w:r>
                </w:p>
              </w:tc>
              <w:tc>
                <w:tcPr>
                  <w:tcW w:w="684" w:type="pct"/>
                  <w:vAlign w:val="center"/>
                </w:tcPr>
                <w:p w14:paraId="040C7BDE">
                  <w:pPr>
                    <w:adjustRightInd w:val="0"/>
                    <w:snapToGrid w:val="0"/>
                    <w:jc w:val="center"/>
                    <w:rPr>
                      <w:b/>
                      <w:szCs w:val="21"/>
                    </w:rPr>
                  </w:pPr>
                  <w:r>
                    <w:rPr>
                      <w:b/>
                      <w:szCs w:val="21"/>
                    </w:rPr>
                    <w:t>监测时间</w:t>
                  </w:r>
                </w:p>
              </w:tc>
              <w:tc>
                <w:tcPr>
                  <w:tcW w:w="368" w:type="pct"/>
                  <w:vAlign w:val="center"/>
                </w:tcPr>
                <w:p w14:paraId="752120D3">
                  <w:pPr>
                    <w:adjustRightInd w:val="0"/>
                    <w:snapToGrid w:val="0"/>
                    <w:jc w:val="center"/>
                    <w:rPr>
                      <w:b/>
                      <w:szCs w:val="21"/>
                    </w:rPr>
                  </w:pPr>
                  <w:r>
                    <w:rPr>
                      <w:b/>
                      <w:szCs w:val="21"/>
                    </w:rPr>
                    <w:t>类别</w:t>
                  </w:r>
                </w:p>
              </w:tc>
              <w:tc>
                <w:tcPr>
                  <w:tcW w:w="798" w:type="pct"/>
                  <w:vAlign w:val="center"/>
                </w:tcPr>
                <w:p w14:paraId="4D2898C7">
                  <w:pPr>
                    <w:adjustRightInd w:val="0"/>
                    <w:snapToGrid w:val="0"/>
                    <w:jc w:val="center"/>
                    <w:rPr>
                      <w:b/>
                      <w:szCs w:val="21"/>
                    </w:rPr>
                  </w:pPr>
                  <w:r>
                    <w:rPr>
                      <w:b/>
                      <w:szCs w:val="21"/>
                    </w:rPr>
                    <w:t>监测点位</w:t>
                  </w:r>
                </w:p>
              </w:tc>
              <w:tc>
                <w:tcPr>
                  <w:tcW w:w="579" w:type="pct"/>
                  <w:vAlign w:val="center"/>
                </w:tcPr>
                <w:p w14:paraId="47C50AC4">
                  <w:pPr>
                    <w:adjustRightInd w:val="0"/>
                    <w:snapToGrid w:val="0"/>
                    <w:jc w:val="center"/>
                    <w:rPr>
                      <w:b/>
                      <w:szCs w:val="21"/>
                    </w:rPr>
                  </w:pPr>
                  <w:r>
                    <w:rPr>
                      <w:b/>
                      <w:szCs w:val="21"/>
                    </w:rPr>
                    <w:t>监测因子</w:t>
                  </w:r>
                </w:p>
              </w:tc>
              <w:tc>
                <w:tcPr>
                  <w:tcW w:w="537" w:type="pct"/>
                  <w:vAlign w:val="center"/>
                </w:tcPr>
                <w:p w14:paraId="5C54D8FB">
                  <w:pPr>
                    <w:adjustRightInd w:val="0"/>
                    <w:snapToGrid w:val="0"/>
                    <w:jc w:val="center"/>
                    <w:rPr>
                      <w:b/>
                      <w:szCs w:val="21"/>
                    </w:rPr>
                  </w:pPr>
                  <w:r>
                    <w:rPr>
                      <w:b/>
                      <w:szCs w:val="21"/>
                    </w:rPr>
                    <w:t>监测频次</w:t>
                  </w:r>
                </w:p>
              </w:tc>
              <w:tc>
                <w:tcPr>
                  <w:tcW w:w="1706" w:type="pct"/>
                  <w:vAlign w:val="center"/>
                </w:tcPr>
                <w:p w14:paraId="6F20E2C1">
                  <w:pPr>
                    <w:adjustRightInd w:val="0"/>
                    <w:snapToGrid w:val="0"/>
                    <w:jc w:val="center"/>
                    <w:rPr>
                      <w:b/>
                      <w:szCs w:val="21"/>
                    </w:rPr>
                  </w:pPr>
                  <w:r>
                    <w:rPr>
                      <w:b/>
                      <w:szCs w:val="21"/>
                    </w:rPr>
                    <w:t>执行标准</w:t>
                  </w:r>
                </w:p>
              </w:tc>
            </w:tr>
            <w:tr w14:paraId="33F3B78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8" w:type="dxa"/>
                  <w:bottom w:w="0" w:type="dxa"/>
                  <w:right w:w="28" w:type="dxa"/>
                </w:tblCellMar>
              </w:tblPrEx>
              <w:trPr>
                <w:trHeight w:val="340" w:hRule="atLeast"/>
              </w:trPr>
              <w:tc>
                <w:tcPr>
                  <w:tcW w:w="323" w:type="pct"/>
                  <w:vAlign w:val="center"/>
                </w:tcPr>
                <w:p w14:paraId="66DB129F">
                  <w:pPr>
                    <w:adjustRightInd w:val="0"/>
                    <w:snapToGrid w:val="0"/>
                    <w:jc w:val="center"/>
                    <w:rPr>
                      <w:szCs w:val="21"/>
                    </w:rPr>
                  </w:pPr>
                  <w:r>
                    <w:rPr>
                      <w:szCs w:val="21"/>
                    </w:rPr>
                    <w:t>例行监测</w:t>
                  </w:r>
                </w:p>
              </w:tc>
              <w:tc>
                <w:tcPr>
                  <w:tcW w:w="684" w:type="pct"/>
                  <w:vAlign w:val="center"/>
                </w:tcPr>
                <w:p w14:paraId="2D463080">
                  <w:pPr>
                    <w:adjustRightInd w:val="0"/>
                    <w:snapToGrid w:val="0"/>
                    <w:jc w:val="center"/>
                    <w:rPr>
                      <w:szCs w:val="21"/>
                    </w:rPr>
                  </w:pPr>
                  <w:r>
                    <w:rPr>
                      <w:szCs w:val="21"/>
                    </w:rPr>
                    <w:t>昼间、夜间</w:t>
                  </w:r>
                </w:p>
              </w:tc>
              <w:tc>
                <w:tcPr>
                  <w:tcW w:w="368" w:type="pct"/>
                  <w:vAlign w:val="center"/>
                </w:tcPr>
                <w:p w14:paraId="1271EA43">
                  <w:pPr>
                    <w:adjustRightInd w:val="0"/>
                    <w:snapToGrid w:val="0"/>
                    <w:jc w:val="center"/>
                    <w:rPr>
                      <w:szCs w:val="21"/>
                    </w:rPr>
                  </w:pPr>
                  <w:r>
                    <w:rPr>
                      <w:szCs w:val="21"/>
                    </w:rPr>
                    <w:t>噪声</w:t>
                  </w:r>
                </w:p>
              </w:tc>
              <w:tc>
                <w:tcPr>
                  <w:tcW w:w="798" w:type="pct"/>
                  <w:vAlign w:val="center"/>
                </w:tcPr>
                <w:p w14:paraId="6B443D1B">
                  <w:pPr>
                    <w:adjustRightInd w:val="0"/>
                    <w:snapToGrid w:val="0"/>
                    <w:jc w:val="center"/>
                    <w:rPr>
                      <w:szCs w:val="21"/>
                    </w:rPr>
                  </w:pPr>
                  <w:r>
                    <w:rPr>
                      <w:szCs w:val="21"/>
                    </w:rPr>
                    <w:t>厂界四周</w:t>
                  </w:r>
                </w:p>
              </w:tc>
              <w:tc>
                <w:tcPr>
                  <w:tcW w:w="579" w:type="pct"/>
                  <w:vAlign w:val="center"/>
                </w:tcPr>
                <w:p w14:paraId="3C9106C9">
                  <w:pPr>
                    <w:adjustRightInd w:val="0"/>
                    <w:snapToGrid w:val="0"/>
                    <w:jc w:val="center"/>
                    <w:rPr>
                      <w:szCs w:val="21"/>
                    </w:rPr>
                  </w:pPr>
                  <w:r>
                    <w:rPr>
                      <w:szCs w:val="21"/>
                    </w:rPr>
                    <w:t>Leq（A）</w:t>
                  </w:r>
                </w:p>
              </w:tc>
              <w:tc>
                <w:tcPr>
                  <w:tcW w:w="537" w:type="pct"/>
                  <w:vAlign w:val="center"/>
                </w:tcPr>
                <w:p w14:paraId="008CC5DD">
                  <w:pPr>
                    <w:adjustRightInd w:val="0"/>
                    <w:snapToGrid w:val="0"/>
                    <w:jc w:val="center"/>
                    <w:rPr>
                      <w:szCs w:val="21"/>
                    </w:rPr>
                  </w:pPr>
                  <w:r>
                    <w:rPr>
                      <w:szCs w:val="21"/>
                    </w:rPr>
                    <w:t>每季度一次</w:t>
                  </w:r>
                </w:p>
              </w:tc>
              <w:tc>
                <w:tcPr>
                  <w:tcW w:w="1706" w:type="pct"/>
                  <w:vAlign w:val="center"/>
                </w:tcPr>
                <w:p w14:paraId="19B50135">
                  <w:pPr>
                    <w:adjustRightInd w:val="0"/>
                    <w:snapToGrid w:val="0"/>
                    <w:jc w:val="center"/>
                    <w:rPr>
                      <w:szCs w:val="21"/>
                    </w:rPr>
                  </w:pPr>
                  <w:r>
                    <w:rPr>
                      <w:szCs w:val="21"/>
                    </w:rPr>
                    <w:t>《工业企业厂界环境噪声排放标准》（GB12348-2008）3类</w:t>
                  </w:r>
                </w:p>
              </w:tc>
            </w:tr>
          </w:tbl>
          <w:p w14:paraId="0E1072EE">
            <w:pPr>
              <w:adjustRightInd w:val="0"/>
              <w:snapToGrid w:val="0"/>
              <w:spacing w:beforeLines="50" w:line="360" w:lineRule="auto"/>
              <w:rPr>
                <w:b/>
                <w:bCs/>
                <w:szCs w:val="21"/>
              </w:rPr>
            </w:pPr>
            <w:r>
              <w:rPr>
                <w:b/>
                <w:bCs/>
                <w:szCs w:val="21"/>
              </w:rPr>
              <w:t>4、固体废物环境影响分析</w:t>
            </w:r>
          </w:p>
          <w:p w14:paraId="764116F5">
            <w:pPr>
              <w:pStyle w:val="64"/>
              <w:adjustRightInd w:val="0"/>
              <w:snapToGrid w:val="0"/>
              <w:spacing w:line="360" w:lineRule="auto"/>
              <w:ind w:firstLine="422"/>
              <w:jc w:val="both"/>
              <w:rPr>
                <w:rFonts w:eastAsia="宋体"/>
                <w:b/>
                <w:bCs/>
                <w:sz w:val="21"/>
                <w:szCs w:val="21"/>
              </w:rPr>
            </w:pPr>
            <w:r>
              <w:rPr>
                <w:rFonts w:eastAsia="宋体"/>
                <w:b/>
                <w:bCs/>
                <w:sz w:val="21"/>
                <w:szCs w:val="21"/>
              </w:rPr>
              <w:t>（1）固废产生源强</w:t>
            </w:r>
          </w:p>
          <w:p w14:paraId="5F97912C">
            <w:pPr>
              <w:pStyle w:val="73"/>
              <w:snapToGrid w:val="0"/>
              <w:spacing w:after="0" w:line="360" w:lineRule="auto"/>
              <w:ind w:firstLine="420" w:firstLineChars="200"/>
              <w:rPr>
                <w:rFonts w:ascii="Times New Roman" w:hAnsi="Times New Roman" w:cs="Times New Roman"/>
                <w:bCs/>
                <w:color w:val="auto"/>
                <w:sz w:val="21"/>
                <w:szCs w:val="21"/>
              </w:rPr>
            </w:pPr>
            <w:r>
              <w:rPr>
                <w:rFonts w:ascii="Times New Roman" w:hAnsi="Times New Roman" w:cs="Times New Roman"/>
                <w:color w:val="auto"/>
                <w:sz w:val="21"/>
                <w:szCs w:val="21"/>
              </w:rPr>
              <w:t>本次扩建项目新增固废主要为生活垃圾、一般工业固废、危险废物。</w:t>
            </w:r>
          </w:p>
          <w:p w14:paraId="2FD7B359">
            <w:pPr>
              <w:adjustRightInd w:val="0"/>
              <w:snapToGrid w:val="0"/>
              <w:spacing w:line="360" w:lineRule="auto"/>
              <w:ind w:firstLine="420" w:firstLineChars="200"/>
              <w:rPr>
                <w:bCs/>
                <w:szCs w:val="21"/>
              </w:rPr>
            </w:pPr>
            <w:r>
              <w:rPr>
                <w:bCs/>
                <w:szCs w:val="21"/>
              </w:rPr>
              <w:t>①生活垃圾</w:t>
            </w:r>
          </w:p>
          <w:p w14:paraId="3D2043C4">
            <w:pPr>
              <w:adjustRightInd w:val="0"/>
              <w:snapToGrid w:val="0"/>
              <w:spacing w:line="360" w:lineRule="auto"/>
              <w:ind w:firstLine="420" w:firstLineChars="200"/>
              <w:rPr>
                <w:bCs/>
                <w:szCs w:val="21"/>
              </w:rPr>
            </w:pPr>
            <w:r>
              <w:rPr>
                <w:bCs/>
                <w:szCs w:val="21"/>
              </w:rPr>
              <w:t>本次扩建项目新增员工</w:t>
            </w:r>
            <w:r>
              <w:rPr>
                <w:rFonts w:hint="eastAsia"/>
                <w:bCs/>
                <w:szCs w:val="21"/>
              </w:rPr>
              <w:t>100</w:t>
            </w:r>
            <w:r>
              <w:rPr>
                <w:bCs/>
                <w:szCs w:val="21"/>
              </w:rPr>
              <w:t>人，人均产生生活垃圾以0.5kg/d计，则项目生活垃圾产生量为</w:t>
            </w:r>
            <w:r>
              <w:rPr>
                <w:rFonts w:hint="eastAsia"/>
                <w:bCs/>
                <w:szCs w:val="21"/>
              </w:rPr>
              <w:t>1</w:t>
            </w:r>
            <w:r>
              <w:rPr>
                <w:bCs/>
                <w:szCs w:val="21"/>
              </w:rPr>
              <w:t>5t/a，委托环卫部门定期清运处理。</w:t>
            </w:r>
          </w:p>
          <w:p w14:paraId="122744C5">
            <w:pPr>
              <w:adjustRightInd w:val="0"/>
              <w:snapToGrid w:val="0"/>
              <w:spacing w:line="360" w:lineRule="auto"/>
              <w:ind w:firstLine="420" w:firstLineChars="200"/>
              <w:rPr>
                <w:bCs/>
                <w:szCs w:val="21"/>
              </w:rPr>
            </w:pPr>
            <w:r>
              <w:rPr>
                <w:bCs/>
                <w:szCs w:val="21"/>
              </w:rPr>
              <w:t>②一般工业固废</w:t>
            </w:r>
          </w:p>
          <w:p w14:paraId="2BDC4F06">
            <w:pPr>
              <w:adjustRightInd w:val="0"/>
              <w:snapToGrid w:val="0"/>
              <w:spacing w:line="360" w:lineRule="auto"/>
              <w:ind w:firstLine="420" w:firstLineChars="200"/>
              <w:rPr>
                <w:rFonts w:hint="eastAsia"/>
                <w:bCs/>
                <w:szCs w:val="21"/>
              </w:rPr>
            </w:pPr>
            <w:r>
              <w:rPr>
                <w:rFonts w:hint="eastAsia"/>
                <w:bCs/>
                <w:szCs w:val="21"/>
              </w:rPr>
              <w:t>废胶料：挤出工序中产生残余的废胶料，根据厂家提供的资料，约为原料橡胶量的0.5%，则产生量为2.3t/a。全部废胶料收集后，</w:t>
            </w:r>
            <w:r>
              <w:rPr>
                <w:bCs/>
                <w:szCs w:val="21"/>
              </w:rPr>
              <w:t>统一收集后外售物资公司综合利用</w:t>
            </w:r>
            <w:r>
              <w:rPr>
                <w:rFonts w:hint="eastAsia"/>
                <w:bCs/>
                <w:szCs w:val="21"/>
              </w:rPr>
              <w:t>。</w:t>
            </w:r>
          </w:p>
          <w:p w14:paraId="5BA21321">
            <w:pPr>
              <w:adjustRightInd w:val="0"/>
              <w:snapToGrid w:val="0"/>
              <w:spacing w:line="360" w:lineRule="auto"/>
              <w:ind w:firstLine="420" w:firstLineChars="200"/>
              <w:rPr>
                <w:bCs/>
                <w:szCs w:val="21"/>
              </w:rPr>
            </w:pPr>
            <w:r>
              <w:rPr>
                <w:bCs/>
                <w:szCs w:val="21"/>
              </w:rPr>
              <w:t>废橡胶边角料：建设项目修整去毛边产生废橡胶边角料，产生的废橡胶边角料约为</w:t>
            </w:r>
            <w:r>
              <w:rPr>
                <w:rFonts w:hint="eastAsia"/>
                <w:bCs/>
                <w:szCs w:val="21"/>
              </w:rPr>
              <w:t>原料橡胶量的2%，则产生量为9</w:t>
            </w:r>
            <w:r>
              <w:rPr>
                <w:bCs/>
                <w:szCs w:val="21"/>
              </w:rPr>
              <w:t>t/a，</w:t>
            </w:r>
            <w:r>
              <w:rPr>
                <w:rFonts w:hint="eastAsia"/>
                <w:bCs/>
                <w:szCs w:val="21"/>
              </w:rPr>
              <w:t>四氟棒在切片过程中也会产生废边角料约0.3t/a，</w:t>
            </w:r>
            <w:r>
              <w:rPr>
                <w:bCs/>
                <w:szCs w:val="21"/>
              </w:rPr>
              <w:t>全部废边角料收集后，统一收集后外售物资公司综合利用。</w:t>
            </w:r>
          </w:p>
          <w:p w14:paraId="0C5820FE">
            <w:pPr>
              <w:adjustRightInd w:val="0"/>
              <w:snapToGrid w:val="0"/>
              <w:spacing w:line="360" w:lineRule="auto"/>
              <w:ind w:firstLine="420" w:firstLineChars="200"/>
              <w:rPr>
                <w:bCs/>
                <w:szCs w:val="21"/>
              </w:rPr>
            </w:pPr>
            <w:r>
              <w:rPr>
                <w:bCs/>
                <w:szCs w:val="21"/>
              </w:rPr>
              <w:t>废金属边角料：项目模具检修需进行简单机加工，过程将产生少量边角料，产生量约0.</w:t>
            </w:r>
            <w:r>
              <w:rPr>
                <w:rFonts w:hint="eastAsia"/>
                <w:bCs/>
                <w:szCs w:val="21"/>
              </w:rPr>
              <w:t>1</w:t>
            </w:r>
            <w:r>
              <w:rPr>
                <w:bCs/>
                <w:szCs w:val="21"/>
              </w:rPr>
              <w:t>t/a，</w:t>
            </w:r>
            <w:r>
              <w:rPr>
                <w:rFonts w:hint="eastAsia"/>
                <w:bCs/>
                <w:szCs w:val="21"/>
              </w:rPr>
              <w:t>本项目在抛丸、喷砂过程中会产生废铁砂及金属屑，产生量约0.4t/a。</w:t>
            </w:r>
            <w:r>
              <w:rPr>
                <w:bCs/>
                <w:szCs w:val="21"/>
              </w:rPr>
              <w:t>统一收集后外售物资公司综合利用。</w:t>
            </w:r>
          </w:p>
          <w:p w14:paraId="016DB149">
            <w:pPr>
              <w:adjustRightInd w:val="0"/>
              <w:snapToGrid w:val="0"/>
              <w:spacing w:line="360" w:lineRule="auto"/>
              <w:ind w:firstLine="420" w:firstLineChars="200"/>
              <w:rPr>
                <w:rFonts w:hint="eastAsia"/>
                <w:bCs/>
                <w:szCs w:val="21"/>
              </w:rPr>
            </w:pPr>
            <w:r>
              <w:rPr>
                <w:bCs/>
                <w:szCs w:val="21"/>
              </w:rPr>
              <w:t>除尘装置收集粉尘：</w:t>
            </w:r>
            <w:r>
              <w:rPr>
                <w:rFonts w:hint="eastAsia"/>
                <w:bCs/>
                <w:szCs w:val="21"/>
              </w:rPr>
              <w:t>项目配料、混炼工序产生少量粉尘，抛丸/喷砂工序产生的粉尘，产生的粉尘颗粒物通过除尘装置处理，除尘装置会截留大部分粉尘，根据工程分析，截留的粉尘约1.32t/a。</w:t>
            </w:r>
          </w:p>
          <w:p w14:paraId="0B18F133">
            <w:pPr>
              <w:pStyle w:val="23"/>
              <w:adjustRightInd w:val="0"/>
              <w:snapToGrid w:val="0"/>
              <w:spacing w:line="360" w:lineRule="auto"/>
              <w:ind w:firstLineChars="200"/>
              <w:rPr>
                <w:rFonts w:ascii="Times New Roman"/>
                <w:bCs/>
                <w:szCs w:val="21"/>
              </w:rPr>
            </w:pPr>
            <w:r>
              <w:rPr>
                <w:rFonts w:ascii="Times New Roman"/>
                <w:bCs/>
                <w:szCs w:val="21"/>
              </w:rPr>
              <w:t>③危险废物</w:t>
            </w:r>
          </w:p>
          <w:p w14:paraId="018052C7">
            <w:pPr>
              <w:pStyle w:val="21"/>
              <w:widowControl w:val="0"/>
              <w:autoSpaceDE w:val="0"/>
              <w:autoSpaceDN w:val="0"/>
              <w:spacing w:before="0" w:beforeAutospacing="0" w:after="0" w:afterAutospacing="0" w:line="360" w:lineRule="auto"/>
              <w:ind w:firstLine="420" w:firstLineChars="200"/>
              <w:jc w:val="both"/>
              <w:rPr>
                <w:rFonts w:hint="eastAsia" w:ascii="Times New Roman" w:hAnsi="Times New Roman"/>
                <w:bCs/>
                <w:kern w:val="2"/>
                <w:sz w:val="21"/>
                <w:szCs w:val="21"/>
              </w:rPr>
            </w:pPr>
            <w:r>
              <w:rPr>
                <w:rFonts w:ascii="Times New Roman" w:hAnsi="Times New Roman"/>
                <w:bCs/>
                <w:kern w:val="2"/>
                <w:sz w:val="21"/>
                <w:szCs w:val="21"/>
              </w:rPr>
              <w:t>废活性炭：项目新增两套二级活性炭吸附装置，并对现有活性炭吸附装置提升为二级活性炭地府装置。本项目建成后，碱喷淋+除雾+二级活性炭或者二级活性炭吸附装置用于处理混炼、挤出、硫化、二次硫化等工序产生的非甲烷总烃及硫化氢，故核算全厂活性炭用量。</w:t>
            </w:r>
          </w:p>
          <w:p w14:paraId="5F274DF3">
            <w:pPr>
              <w:pStyle w:val="21"/>
              <w:widowControl w:val="0"/>
              <w:autoSpaceDE w:val="0"/>
              <w:autoSpaceDN w:val="0"/>
              <w:spacing w:before="0" w:beforeAutospacing="0" w:after="0" w:afterAutospacing="0" w:line="360" w:lineRule="auto"/>
              <w:ind w:firstLine="420" w:firstLineChars="200"/>
              <w:jc w:val="both"/>
              <w:rPr>
                <w:rFonts w:hint="eastAsia" w:ascii="Times New Roman" w:hAnsi="Times New Roman"/>
                <w:bCs/>
                <w:kern w:val="2"/>
                <w:sz w:val="21"/>
                <w:szCs w:val="21"/>
              </w:rPr>
            </w:pPr>
            <w:r>
              <w:rPr>
                <w:rFonts w:ascii="Times New Roman" w:hAnsi="Times New Roman"/>
                <w:bCs/>
                <w:kern w:val="2"/>
                <w:sz w:val="21"/>
                <w:szCs w:val="21"/>
              </w:rPr>
              <w:t>根据废气源强核算，</w:t>
            </w:r>
            <w:r>
              <w:rPr>
                <w:rFonts w:hint="eastAsia" w:ascii="Times New Roman" w:hAnsi="Times New Roman"/>
                <w:bCs/>
                <w:kern w:val="2"/>
                <w:sz w:val="21"/>
                <w:szCs w:val="21"/>
              </w:rPr>
              <w:t>1#排气筒</w:t>
            </w:r>
            <w:r>
              <w:rPr>
                <w:rFonts w:ascii="Times New Roman" w:hAnsi="Times New Roman"/>
                <w:bCs/>
                <w:kern w:val="2"/>
                <w:sz w:val="21"/>
                <w:szCs w:val="21"/>
              </w:rPr>
              <w:t>二级活性炭吸附装置有机废气吸附量为</w:t>
            </w:r>
            <w:r>
              <w:rPr>
                <w:rFonts w:hint="eastAsia" w:ascii="Times New Roman" w:hAnsi="Times New Roman"/>
                <w:bCs/>
                <w:kern w:val="2"/>
                <w:sz w:val="21"/>
                <w:szCs w:val="21"/>
              </w:rPr>
              <w:t>2.143</w:t>
            </w:r>
            <w:r>
              <w:rPr>
                <w:rFonts w:ascii="Times New Roman" w:hAnsi="Times New Roman"/>
                <w:bCs/>
                <w:kern w:val="2"/>
                <w:sz w:val="21"/>
                <w:szCs w:val="21"/>
              </w:rPr>
              <w:t>t/a，硫化氢吸附量为</w:t>
            </w:r>
            <w:r>
              <w:rPr>
                <w:rFonts w:hint="eastAsia" w:ascii="Times New Roman" w:hAnsi="Times New Roman"/>
                <w:bCs/>
                <w:kern w:val="2"/>
                <w:sz w:val="21"/>
                <w:szCs w:val="21"/>
              </w:rPr>
              <w:t>0.161t/a</w:t>
            </w:r>
            <w:r>
              <w:rPr>
                <w:rFonts w:ascii="Times New Roman" w:hAnsi="Times New Roman"/>
                <w:bCs/>
                <w:kern w:val="2"/>
                <w:sz w:val="21"/>
                <w:szCs w:val="21"/>
              </w:rPr>
              <w:t>；</w:t>
            </w:r>
            <w:r>
              <w:rPr>
                <w:rFonts w:hint="eastAsia" w:ascii="Times New Roman" w:hAnsi="Times New Roman"/>
                <w:bCs/>
                <w:kern w:val="2"/>
                <w:sz w:val="21"/>
                <w:szCs w:val="21"/>
              </w:rPr>
              <w:t>2#排气筒</w:t>
            </w:r>
            <w:r>
              <w:rPr>
                <w:rFonts w:ascii="Times New Roman" w:hAnsi="Times New Roman"/>
                <w:bCs/>
                <w:kern w:val="2"/>
                <w:sz w:val="21"/>
                <w:szCs w:val="21"/>
              </w:rPr>
              <w:t>二级活性炭吸附装置有机废气吸附量为</w:t>
            </w:r>
            <w:r>
              <w:rPr>
                <w:rFonts w:hint="eastAsia" w:ascii="Times New Roman" w:hAnsi="Times New Roman"/>
                <w:bCs/>
                <w:kern w:val="2"/>
                <w:sz w:val="21"/>
                <w:szCs w:val="21"/>
              </w:rPr>
              <w:t>1.361</w:t>
            </w:r>
            <w:r>
              <w:rPr>
                <w:rFonts w:ascii="Times New Roman" w:hAnsi="Times New Roman"/>
                <w:bCs/>
                <w:kern w:val="2"/>
                <w:sz w:val="21"/>
                <w:szCs w:val="21"/>
              </w:rPr>
              <w:t>t/a，硫化氢吸附量为</w:t>
            </w:r>
            <w:r>
              <w:rPr>
                <w:rFonts w:hint="eastAsia" w:ascii="Times New Roman" w:hAnsi="Times New Roman"/>
                <w:bCs/>
                <w:kern w:val="2"/>
                <w:sz w:val="21"/>
                <w:szCs w:val="21"/>
              </w:rPr>
              <w:t>0.017t/a；3#排气筒</w:t>
            </w:r>
            <w:r>
              <w:rPr>
                <w:rFonts w:ascii="Times New Roman" w:hAnsi="Times New Roman"/>
                <w:bCs/>
                <w:kern w:val="2"/>
                <w:sz w:val="21"/>
                <w:szCs w:val="21"/>
              </w:rPr>
              <w:t>二级活性炭吸附装置有机废气吸附量为</w:t>
            </w:r>
            <w:r>
              <w:rPr>
                <w:rFonts w:hint="eastAsia" w:ascii="Times New Roman" w:hAnsi="Times New Roman"/>
                <w:bCs/>
                <w:kern w:val="2"/>
                <w:sz w:val="21"/>
                <w:szCs w:val="21"/>
              </w:rPr>
              <w:t>1.660</w:t>
            </w:r>
            <w:r>
              <w:rPr>
                <w:rFonts w:ascii="Times New Roman" w:hAnsi="Times New Roman"/>
                <w:bCs/>
                <w:kern w:val="2"/>
                <w:sz w:val="21"/>
                <w:szCs w:val="21"/>
              </w:rPr>
              <w:t>t/a，硫化氢吸附量为</w:t>
            </w:r>
            <w:r>
              <w:rPr>
                <w:rFonts w:hint="eastAsia" w:ascii="Times New Roman" w:hAnsi="Times New Roman"/>
                <w:bCs/>
                <w:kern w:val="2"/>
                <w:sz w:val="21"/>
                <w:szCs w:val="21"/>
              </w:rPr>
              <w:t>0.134t/a；6#排气筒</w:t>
            </w:r>
            <w:r>
              <w:rPr>
                <w:rFonts w:ascii="Times New Roman" w:hAnsi="Times New Roman"/>
                <w:bCs/>
                <w:kern w:val="2"/>
                <w:sz w:val="21"/>
                <w:szCs w:val="21"/>
              </w:rPr>
              <w:t>二级活性炭吸附装置有机废气吸附量为</w:t>
            </w:r>
            <w:r>
              <w:rPr>
                <w:rFonts w:hint="eastAsia" w:ascii="Times New Roman" w:hAnsi="Times New Roman"/>
                <w:bCs/>
                <w:kern w:val="2"/>
                <w:sz w:val="21"/>
                <w:szCs w:val="21"/>
              </w:rPr>
              <w:t>0.994</w:t>
            </w:r>
            <w:r>
              <w:rPr>
                <w:rFonts w:ascii="Times New Roman" w:hAnsi="Times New Roman"/>
                <w:bCs/>
                <w:kern w:val="2"/>
                <w:sz w:val="21"/>
                <w:szCs w:val="21"/>
              </w:rPr>
              <w:t>t/a；</w:t>
            </w:r>
            <w:r>
              <w:rPr>
                <w:rFonts w:hint="eastAsia" w:ascii="Times New Roman" w:hAnsi="Times New Roman"/>
                <w:bCs/>
                <w:kern w:val="2"/>
                <w:sz w:val="21"/>
                <w:szCs w:val="21"/>
              </w:rPr>
              <w:t>7#排气筒</w:t>
            </w:r>
            <w:r>
              <w:rPr>
                <w:rFonts w:ascii="Times New Roman" w:hAnsi="Times New Roman"/>
                <w:bCs/>
                <w:kern w:val="2"/>
                <w:sz w:val="21"/>
                <w:szCs w:val="21"/>
              </w:rPr>
              <w:t>二级活性炭吸附装置有机废气吸附量为</w:t>
            </w:r>
            <w:r>
              <w:rPr>
                <w:rFonts w:hint="eastAsia" w:ascii="Times New Roman" w:hAnsi="Times New Roman"/>
                <w:bCs/>
                <w:kern w:val="2"/>
                <w:sz w:val="21"/>
                <w:szCs w:val="21"/>
              </w:rPr>
              <w:t>1.843</w:t>
            </w:r>
            <w:r>
              <w:rPr>
                <w:rFonts w:ascii="Times New Roman" w:hAnsi="Times New Roman"/>
                <w:bCs/>
                <w:kern w:val="2"/>
                <w:sz w:val="21"/>
                <w:szCs w:val="21"/>
              </w:rPr>
              <w:t>t/a，硫化氢吸附量为</w:t>
            </w:r>
            <w:r>
              <w:rPr>
                <w:rFonts w:hint="eastAsia" w:ascii="Times New Roman" w:hAnsi="Times New Roman"/>
                <w:bCs/>
                <w:kern w:val="2"/>
                <w:sz w:val="21"/>
                <w:szCs w:val="21"/>
              </w:rPr>
              <w:t>0.044t/a；8#排气筒</w:t>
            </w:r>
            <w:r>
              <w:rPr>
                <w:rFonts w:ascii="Times New Roman" w:hAnsi="Times New Roman"/>
                <w:bCs/>
                <w:kern w:val="2"/>
                <w:sz w:val="21"/>
                <w:szCs w:val="21"/>
              </w:rPr>
              <w:t>二级活性炭吸附装置有机废气吸附量为</w:t>
            </w:r>
            <w:r>
              <w:rPr>
                <w:rFonts w:hint="eastAsia" w:ascii="Times New Roman" w:hAnsi="Times New Roman"/>
                <w:bCs/>
                <w:kern w:val="2"/>
                <w:sz w:val="21"/>
                <w:szCs w:val="21"/>
              </w:rPr>
              <w:t>1.151</w:t>
            </w:r>
            <w:r>
              <w:rPr>
                <w:rFonts w:ascii="Times New Roman" w:hAnsi="Times New Roman"/>
                <w:bCs/>
                <w:kern w:val="2"/>
                <w:sz w:val="21"/>
                <w:szCs w:val="21"/>
              </w:rPr>
              <w:t>t/a，硫化氢吸附量为</w:t>
            </w:r>
            <w:r>
              <w:rPr>
                <w:rFonts w:hint="eastAsia" w:ascii="Times New Roman" w:hAnsi="Times New Roman"/>
                <w:bCs/>
                <w:kern w:val="2"/>
                <w:sz w:val="21"/>
                <w:szCs w:val="21"/>
              </w:rPr>
              <w:t>0.039t/a；9#排气筒</w:t>
            </w:r>
            <w:r>
              <w:rPr>
                <w:rFonts w:ascii="Times New Roman" w:hAnsi="Times New Roman"/>
                <w:bCs/>
                <w:kern w:val="2"/>
                <w:sz w:val="21"/>
                <w:szCs w:val="21"/>
              </w:rPr>
              <w:t>二级活性炭吸附装置有机废气吸附量为</w:t>
            </w:r>
            <w:r>
              <w:rPr>
                <w:rFonts w:hint="eastAsia" w:ascii="Times New Roman" w:hAnsi="Times New Roman"/>
                <w:bCs/>
                <w:kern w:val="2"/>
                <w:sz w:val="21"/>
                <w:szCs w:val="21"/>
              </w:rPr>
              <w:t>2.565</w:t>
            </w:r>
            <w:r>
              <w:rPr>
                <w:rFonts w:ascii="Times New Roman" w:hAnsi="Times New Roman"/>
                <w:bCs/>
                <w:kern w:val="2"/>
                <w:sz w:val="21"/>
                <w:szCs w:val="21"/>
              </w:rPr>
              <w:t>t/a。</w:t>
            </w:r>
          </w:p>
          <w:p w14:paraId="3829EF82">
            <w:pPr>
              <w:pStyle w:val="21"/>
              <w:widowControl w:val="0"/>
              <w:autoSpaceDE w:val="0"/>
              <w:autoSpaceDN w:val="0"/>
              <w:spacing w:before="0" w:beforeAutospacing="0" w:after="0" w:afterAutospacing="0" w:line="360" w:lineRule="auto"/>
              <w:ind w:firstLine="420" w:firstLineChars="200"/>
              <w:jc w:val="both"/>
              <w:rPr>
                <w:rFonts w:hint="eastAsia" w:ascii="Times New Roman" w:hAnsi="Times New Roman"/>
                <w:kern w:val="2"/>
                <w:sz w:val="21"/>
                <w:szCs w:val="21"/>
              </w:rPr>
            </w:pPr>
            <w:r>
              <w:rPr>
                <w:rFonts w:ascii="Times New Roman" w:hAnsi="Times New Roman"/>
                <w:kern w:val="2"/>
                <w:sz w:val="21"/>
                <w:szCs w:val="21"/>
              </w:rPr>
              <w:t>根据《</w:t>
            </w:r>
            <w:bookmarkStart w:id="137" w:name="OLE_LINK4"/>
            <w:r>
              <w:rPr>
                <w:rFonts w:ascii="Times New Roman" w:hAnsi="Times New Roman"/>
                <w:kern w:val="2"/>
                <w:sz w:val="21"/>
                <w:szCs w:val="21"/>
              </w:rPr>
              <w:t>省生态环境厅关于深入开展涉VOCs治理重点工作核查的通知</w:t>
            </w:r>
            <w:bookmarkEnd w:id="137"/>
            <w:r>
              <w:rPr>
                <w:rFonts w:ascii="Times New Roman" w:hAnsi="Times New Roman"/>
                <w:kern w:val="2"/>
                <w:sz w:val="21"/>
                <w:szCs w:val="21"/>
              </w:rPr>
              <w:t>》（苏环办〔2022〕218号）：“年活性炭使用量不应低于VOCs产生量的5倍；活性炭更换周期一般不应超过3个月”，则</w:t>
            </w:r>
            <w:r>
              <w:rPr>
                <w:rFonts w:hint="eastAsia" w:ascii="Times New Roman" w:hAnsi="Times New Roman"/>
                <w:kern w:val="2"/>
                <w:sz w:val="21"/>
                <w:szCs w:val="21"/>
              </w:rPr>
              <w:t>1#排气筒</w:t>
            </w:r>
            <w:r>
              <w:rPr>
                <w:rFonts w:ascii="Times New Roman" w:hAnsi="Times New Roman"/>
                <w:kern w:val="2"/>
                <w:sz w:val="21"/>
                <w:szCs w:val="21"/>
              </w:rPr>
              <w:t>二级活性炭吸附装置活性炭装填量为1.</w:t>
            </w:r>
            <w:r>
              <w:rPr>
                <w:rFonts w:hint="eastAsia" w:ascii="Times New Roman" w:hAnsi="Times New Roman"/>
                <w:kern w:val="2"/>
                <w:sz w:val="21"/>
                <w:szCs w:val="21"/>
              </w:rPr>
              <w:t>92</w:t>
            </w:r>
            <w:r>
              <w:rPr>
                <w:rFonts w:ascii="Times New Roman" w:hAnsi="Times New Roman"/>
                <w:kern w:val="2"/>
                <w:sz w:val="21"/>
                <w:szCs w:val="21"/>
              </w:rPr>
              <w:t>t，活性炭需每两个月更换一次，活性炭产生量为</w:t>
            </w:r>
            <w:r>
              <w:rPr>
                <w:rFonts w:hint="eastAsia" w:ascii="Times New Roman" w:hAnsi="Times New Roman"/>
                <w:kern w:val="2"/>
                <w:sz w:val="21"/>
                <w:szCs w:val="21"/>
              </w:rPr>
              <w:t>13.824t/a；2#排气筒</w:t>
            </w:r>
            <w:r>
              <w:rPr>
                <w:rFonts w:ascii="Times New Roman" w:hAnsi="Times New Roman"/>
                <w:kern w:val="2"/>
                <w:sz w:val="21"/>
                <w:szCs w:val="21"/>
              </w:rPr>
              <w:t>二级活性炭吸附装置活性炭装填量为</w:t>
            </w:r>
            <w:r>
              <w:rPr>
                <w:rFonts w:hint="eastAsia" w:ascii="Times New Roman" w:hAnsi="Times New Roman"/>
                <w:kern w:val="2"/>
                <w:sz w:val="21"/>
                <w:szCs w:val="21"/>
              </w:rPr>
              <w:t>1.723</w:t>
            </w:r>
            <w:r>
              <w:rPr>
                <w:rFonts w:ascii="Times New Roman" w:hAnsi="Times New Roman"/>
                <w:kern w:val="2"/>
                <w:sz w:val="21"/>
                <w:szCs w:val="21"/>
              </w:rPr>
              <w:t>t，活性炭需每三个月更换一次，活性炭产生量为</w:t>
            </w:r>
            <w:r>
              <w:rPr>
                <w:rFonts w:hint="eastAsia" w:ascii="Times New Roman" w:hAnsi="Times New Roman"/>
                <w:kern w:val="2"/>
                <w:sz w:val="21"/>
                <w:szCs w:val="21"/>
              </w:rPr>
              <w:t>8.268t/a；3#排气筒</w:t>
            </w:r>
            <w:r>
              <w:rPr>
                <w:rFonts w:ascii="Times New Roman" w:hAnsi="Times New Roman"/>
                <w:kern w:val="2"/>
                <w:sz w:val="21"/>
                <w:szCs w:val="21"/>
              </w:rPr>
              <w:t>二级活性炭吸附装置活性炭装填量为</w:t>
            </w:r>
            <w:r>
              <w:rPr>
                <w:rFonts w:hint="eastAsia" w:ascii="Times New Roman" w:hAnsi="Times New Roman"/>
                <w:kern w:val="2"/>
                <w:sz w:val="21"/>
                <w:szCs w:val="21"/>
              </w:rPr>
              <w:t>1.495</w:t>
            </w:r>
            <w:r>
              <w:rPr>
                <w:rFonts w:ascii="Times New Roman" w:hAnsi="Times New Roman"/>
                <w:kern w:val="2"/>
                <w:sz w:val="21"/>
                <w:szCs w:val="21"/>
              </w:rPr>
              <w:t>t，活性炭需每两个月更换一次，活性炭产生量为</w:t>
            </w:r>
            <w:r>
              <w:rPr>
                <w:rFonts w:hint="eastAsia" w:ascii="Times New Roman" w:hAnsi="Times New Roman"/>
                <w:kern w:val="2"/>
                <w:sz w:val="21"/>
                <w:szCs w:val="21"/>
              </w:rPr>
              <w:t>10.761t/a；6#排气筒</w:t>
            </w:r>
            <w:r>
              <w:rPr>
                <w:rFonts w:ascii="Times New Roman" w:hAnsi="Times New Roman"/>
                <w:kern w:val="2"/>
                <w:sz w:val="21"/>
                <w:szCs w:val="21"/>
              </w:rPr>
              <w:t>二级活性炭吸附装置活性炭装填量为</w:t>
            </w:r>
            <w:r>
              <w:rPr>
                <w:rFonts w:hint="eastAsia" w:ascii="Times New Roman" w:hAnsi="Times New Roman"/>
                <w:kern w:val="2"/>
                <w:sz w:val="21"/>
                <w:szCs w:val="21"/>
              </w:rPr>
              <w:t>1.243</w:t>
            </w:r>
            <w:r>
              <w:rPr>
                <w:rFonts w:ascii="Times New Roman" w:hAnsi="Times New Roman"/>
                <w:kern w:val="2"/>
                <w:sz w:val="21"/>
                <w:szCs w:val="21"/>
              </w:rPr>
              <w:t>t，活性炭需每三个月更换一次，活性炭产生量为</w:t>
            </w:r>
            <w:r>
              <w:rPr>
                <w:rFonts w:hint="eastAsia" w:ascii="Times New Roman" w:hAnsi="Times New Roman"/>
                <w:kern w:val="2"/>
                <w:sz w:val="21"/>
                <w:szCs w:val="21"/>
              </w:rPr>
              <w:t>5.964t/a；7#排气筒</w:t>
            </w:r>
            <w:r>
              <w:rPr>
                <w:rFonts w:ascii="Times New Roman" w:hAnsi="Times New Roman"/>
                <w:kern w:val="2"/>
                <w:sz w:val="21"/>
                <w:szCs w:val="21"/>
              </w:rPr>
              <w:t>二级活性炭吸附装置活性炭装填量为</w:t>
            </w:r>
            <w:r>
              <w:rPr>
                <w:rFonts w:hint="eastAsia" w:ascii="Times New Roman" w:hAnsi="Times New Roman"/>
                <w:kern w:val="2"/>
                <w:sz w:val="21"/>
                <w:szCs w:val="21"/>
              </w:rPr>
              <w:t>1.573</w:t>
            </w:r>
            <w:r>
              <w:rPr>
                <w:rFonts w:ascii="Times New Roman" w:hAnsi="Times New Roman"/>
                <w:kern w:val="2"/>
                <w:sz w:val="21"/>
                <w:szCs w:val="21"/>
              </w:rPr>
              <w:t>t，活性炭需每两个月更换一次，活性炭产生量为</w:t>
            </w:r>
            <w:r>
              <w:rPr>
                <w:rFonts w:hint="eastAsia" w:ascii="Times New Roman" w:hAnsi="Times New Roman"/>
                <w:kern w:val="2"/>
                <w:sz w:val="21"/>
                <w:szCs w:val="21"/>
              </w:rPr>
              <w:t>11.322t/a；8#排气筒</w:t>
            </w:r>
            <w:r>
              <w:rPr>
                <w:rFonts w:ascii="Times New Roman" w:hAnsi="Times New Roman"/>
                <w:kern w:val="2"/>
                <w:sz w:val="21"/>
                <w:szCs w:val="21"/>
              </w:rPr>
              <w:t>二级活性炭吸附装置活性炭装填量为</w:t>
            </w:r>
            <w:r>
              <w:rPr>
                <w:rFonts w:hint="eastAsia" w:ascii="Times New Roman" w:hAnsi="Times New Roman"/>
                <w:kern w:val="2"/>
                <w:sz w:val="21"/>
                <w:szCs w:val="21"/>
              </w:rPr>
              <w:t>1.488</w:t>
            </w:r>
            <w:r>
              <w:rPr>
                <w:rFonts w:ascii="Times New Roman" w:hAnsi="Times New Roman"/>
                <w:kern w:val="2"/>
                <w:sz w:val="21"/>
                <w:szCs w:val="21"/>
              </w:rPr>
              <w:t>t，活性炭需每三个月更换一次，活性炭产生量为</w:t>
            </w:r>
            <w:r>
              <w:rPr>
                <w:rFonts w:hint="eastAsia" w:ascii="Times New Roman" w:hAnsi="Times New Roman"/>
                <w:kern w:val="2"/>
                <w:sz w:val="21"/>
                <w:szCs w:val="21"/>
              </w:rPr>
              <w:t>7.14t/a；9#排气筒</w:t>
            </w:r>
            <w:r>
              <w:rPr>
                <w:rFonts w:ascii="Times New Roman" w:hAnsi="Times New Roman"/>
                <w:kern w:val="2"/>
                <w:sz w:val="21"/>
                <w:szCs w:val="21"/>
              </w:rPr>
              <w:t>二级活性炭吸附装置活性炭装填量为</w:t>
            </w:r>
            <w:r>
              <w:rPr>
                <w:rFonts w:hint="eastAsia" w:ascii="Times New Roman" w:hAnsi="Times New Roman"/>
                <w:kern w:val="2"/>
                <w:sz w:val="21"/>
                <w:szCs w:val="21"/>
              </w:rPr>
              <w:t>2.138</w:t>
            </w:r>
            <w:r>
              <w:rPr>
                <w:rFonts w:ascii="Times New Roman" w:hAnsi="Times New Roman"/>
                <w:kern w:val="2"/>
                <w:sz w:val="21"/>
                <w:szCs w:val="21"/>
              </w:rPr>
              <w:t>t，活性炭需每两个月更换一次，活性炭产生量为</w:t>
            </w:r>
            <w:r>
              <w:rPr>
                <w:rFonts w:hint="eastAsia" w:ascii="Times New Roman" w:hAnsi="Times New Roman"/>
                <w:kern w:val="2"/>
                <w:sz w:val="21"/>
                <w:szCs w:val="21"/>
              </w:rPr>
              <w:t>15.39t/a。</w:t>
            </w:r>
          </w:p>
          <w:p w14:paraId="0E833EAA">
            <w:pPr>
              <w:pStyle w:val="21"/>
              <w:widowControl w:val="0"/>
              <w:autoSpaceDE w:val="0"/>
              <w:autoSpaceDN w:val="0"/>
              <w:spacing w:before="0" w:beforeAutospacing="0" w:after="0" w:afterAutospacing="0" w:line="360" w:lineRule="auto"/>
              <w:ind w:firstLine="420" w:firstLineChars="200"/>
              <w:jc w:val="both"/>
              <w:rPr>
                <w:rFonts w:ascii="Times New Roman" w:hAnsi="Times New Roman"/>
                <w:bCs/>
                <w:kern w:val="2"/>
                <w:sz w:val="21"/>
                <w:szCs w:val="21"/>
              </w:rPr>
            </w:pPr>
            <w:r>
              <w:rPr>
                <w:rFonts w:ascii="Times New Roman" w:hAnsi="Times New Roman"/>
                <w:bCs/>
                <w:kern w:val="2"/>
                <w:sz w:val="21"/>
                <w:szCs w:val="21"/>
              </w:rPr>
              <w:t>综上可得，全厂废活性炭总产生量为</w:t>
            </w:r>
            <w:r>
              <w:rPr>
                <w:rFonts w:hint="eastAsia" w:ascii="Times New Roman" w:hAnsi="Times New Roman"/>
                <w:bCs/>
                <w:kern w:val="2"/>
                <w:sz w:val="21"/>
                <w:szCs w:val="21"/>
              </w:rPr>
              <w:t>61.35</w:t>
            </w:r>
            <w:r>
              <w:rPr>
                <w:rFonts w:ascii="Times New Roman" w:hAnsi="Times New Roman"/>
                <w:bCs/>
                <w:kern w:val="2"/>
                <w:sz w:val="21"/>
                <w:szCs w:val="21"/>
              </w:rPr>
              <w:t>t/a，现有项目废活性炭量为</w:t>
            </w:r>
            <w:r>
              <w:rPr>
                <w:rFonts w:hint="eastAsia" w:ascii="Times New Roman" w:hAnsi="Times New Roman"/>
                <w:bCs/>
                <w:kern w:val="2"/>
                <w:sz w:val="21"/>
                <w:szCs w:val="21"/>
              </w:rPr>
              <w:t>45.6t/a，则本次新增废活性炭产生量为15.75t/a</w:t>
            </w:r>
            <w:r>
              <w:rPr>
                <w:rFonts w:ascii="Times New Roman" w:hAnsi="Times New Roman"/>
                <w:bCs/>
                <w:kern w:val="2"/>
                <w:sz w:val="21"/>
                <w:szCs w:val="21"/>
              </w:rPr>
              <w:t>，收集后定期委托有资质单位处置。</w:t>
            </w:r>
          </w:p>
          <w:p w14:paraId="2A00E059">
            <w:pPr>
              <w:pStyle w:val="21"/>
              <w:widowControl w:val="0"/>
              <w:autoSpaceDE w:val="0"/>
              <w:autoSpaceDN w:val="0"/>
              <w:spacing w:before="0" w:beforeAutospacing="0" w:after="0" w:afterAutospacing="0" w:line="360" w:lineRule="auto"/>
              <w:ind w:firstLine="420" w:firstLineChars="200"/>
              <w:jc w:val="both"/>
              <w:rPr>
                <w:rFonts w:ascii="Times New Roman" w:hAnsi="Times New Roman"/>
                <w:bCs/>
                <w:kern w:val="2"/>
                <w:sz w:val="21"/>
                <w:szCs w:val="21"/>
              </w:rPr>
            </w:pPr>
            <w:r>
              <w:rPr>
                <w:rFonts w:ascii="Times New Roman" w:hAnsi="Times New Roman"/>
                <w:bCs/>
                <w:kern w:val="2"/>
                <w:sz w:val="21"/>
                <w:szCs w:val="21"/>
              </w:rPr>
              <w:t>污泥：本次扩建项目新增模具清洗废水、清洗废水及喷淋塔废水经厂区污水处理设施处理后产生污泥，产生量约为污水量的</w:t>
            </w:r>
            <w:r>
              <w:rPr>
                <w:rFonts w:hint="eastAsia" w:ascii="Times New Roman" w:hAnsi="Times New Roman"/>
                <w:bCs/>
                <w:kern w:val="2"/>
                <w:sz w:val="21"/>
                <w:szCs w:val="21"/>
              </w:rPr>
              <w:t>0.5%，</w:t>
            </w:r>
            <w:r>
              <w:rPr>
                <w:rFonts w:ascii="Times New Roman" w:hAnsi="Times New Roman"/>
                <w:bCs/>
                <w:kern w:val="2"/>
                <w:sz w:val="21"/>
                <w:szCs w:val="21"/>
              </w:rPr>
              <w:t>为</w:t>
            </w:r>
            <w:r>
              <w:rPr>
                <w:rFonts w:hint="eastAsia" w:ascii="Times New Roman" w:hAnsi="Times New Roman"/>
                <w:bCs/>
                <w:kern w:val="2"/>
                <w:sz w:val="21"/>
                <w:szCs w:val="21"/>
              </w:rPr>
              <w:t>10.6</w:t>
            </w:r>
            <w:r>
              <w:rPr>
                <w:rFonts w:ascii="Times New Roman" w:hAnsi="Times New Roman"/>
                <w:bCs/>
                <w:kern w:val="2"/>
                <w:sz w:val="21"/>
                <w:szCs w:val="21"/>
              </w:rPr>
              <w:t>t/a，含水率约80%，收集后定期委托有资质单位处置。</w:t>
            </w:r>
          </w:p>
          <w:p w14:paraId="53222B1A">
            <w:pPr>
              <w:pStyle w:val="21"/>
              <w:widowControl w:val="0"/>
              <w:autoSpaceDE w:val="0"/>
              <w:autoSpaceDN w:val="0"/>
              <w:spacing w:before="0" w:beforeAutospacing="0" w:after="0" w:afterAutospacing="0" w:line="360" w:lineRule="auto"/>
              <w:ind w:firstLine="420" w:firstLineChars="200"/>
              <w:jc w:val="both"/>
              <w:rPr>
                <w:rFonts w:hint="eastAsia" w:ascii="Times New Roman" w:hAnsi="Times New Roman"/>
                <w:bCs/>
                <w:kern w:val="2"/>
                <w:sz w:val="21"/>
                <w:szCs w:val="21"/>
              </w:rPr>
            </w:pPr>
            <w:r>
              <w:rPr>
                <w:rFonts w:ascii="Times New Roman" w:hAnsi="Times New Roman"/>
                <w:bCs/>
                <w:kern w:val="2"/>
                <w:sz w:val="21"/>
                <w:szCs w:val="21"/>
              </w:rPr>
              <w:t>废包装桶：项目使用清洗剂、</w:t>
            </w:r>
            <w:r>
              <w:rPr>
                <w:rFonts w:hint="eastAsia" w:ascii="Times New Roman" w:hAnsi="Times New Roman"/>
                <w:bCs/>
                <w:kern w:val="2"/>
                <w:sz w:val="21"/>
                <w:szCs w:val="21"/>
                <w:highlight w:val="black"/>
                <w:lang w:val="en-US" w:eastAsia="zh-CN"/>
              </w:rPr>
              <w:t xml:space="preserve">     </w:t>
            </w:r>
            <w:r>
              <w:rPr>
                <w:rFonts w:ascii="Times New Roman" w:hAnsi="Times New Roman"/>
                <w:bCs/>
                <w:kern w:val="2"/>
                <w:sz w:val="21"/>
                <w:szCs w:val="21"/>
              </w:rPr>
              <w:t>、胶粘剂、切削液等液态原料采用桶装方式将产生废包装桶，产生量约</w:t>
            </w:r>
            <w:r>
              <w:rPr>
                <w:rFonts w:hint="eastAsia" w:ascii="Times New Roman" w:hAnsi="Times New Roman"/>
                <w:bCs/>
                <w:kern w:val="2"/>
                <w:sz w:val="21"/>
                <w:szCs w:val="21"/>
              </w:rPr>
              <w:t>0.1</w:t>
            </w:r>
            <w:r>
              <w:rPr>
                <w:rFonts w:ascii="Times New Roman" w:hAnsi="Times New Roman"/>
                <w:bCs/>
                <w:kern w:val="2"/>
                <w:sz w:val="21"/>
                <w:szCs w:val="21"/>
              </w:rPr>
              <w:t>t/a，收集后定期委托有资质单位处置。</w:t>
            </w:r>
          </w:p>
          <w:p w14:paraId="6FB9DF52">
            <w:pPr>
              <w:pStyle w:val="21"/>
              <w:widowControl w:val="0"/>
              <w:autoSpaceDE w:val="0"/>
              <w:autoSpaceDN w:val="0"/>
              <w:spacing w:before="0" w:beforeAutospacing="0" w:after="0" w:afterAutospacing="0" w:line="360" w:lineRule="auto"/>
              <w:ind w:firstLine="420" w:firstLineChars="200"/>
              <w:jc w:val="both"/>
              <w:rPr>
                <w:rFonts w:hint="eastAsia" w:ascii="Times New Roman" w:hAnsi="Times New Roman"/>
                <w:bCs/>
                <w:kern w:val="2"/>
                <w:sz w:val="21"/>
                <w:szCs w:val="21"/>
              </w:rPr>
            </w:pPr>
            <w:r>
              <w:rPr>
                <w:rFonts w:ascii="Times New Roman" w:hAnsi="Times New Roman"/>
                <w:bCs/>
                <w:kern w:val="2"/>
                <w:sz w:val="21"/>
                <w:szCs w:val="21"/>
              </w:rPr>
              <w:t>废胶黏剂：项目</w:t>
            </w:r>
            <w:r>
              <w:rPr>
                <w:rFonts w:hint="eastAsia" w:ascii="Times New Roman" w:hAnsi="Times New Roman"/>
                <w:bCs/>
                <w:kern w:val="2"/>
                <w:sz w:val="21"/>
                <w:szCs w:val="21"/>
              </w:rPr>
              <w:t>喷涂浸胶工序会产生一定的废胶黏剂，产生量为10%，则废胶黏剂产生量为0.2t/a，委托有资质单位处理。</w:t>
            </w:r>
          </w:p>
          <w:p w14:paraId="763894C9">
            <w:pPr>
              <w:pStyle w:val="21"/>
              <w:widowControl w:val="0"/>
              <w:autoSpaceDE w:val="0"/>
              <w:autoSpaceDN w:val="0"/>
              <w:spacing w:before="0" w:beforeAutospacing="0" w:after="0" w:afterAutospacing="0" w:line="360" w:lineRule="auto"/>
              <w:ind w:firstLine="420" w:firstLineChars="200"/>
              <w:jc w:val="both"/>
              <w:rPr>
                <w:rFonts w:ascii="Times New Roman" w:hAnsi="Times New Roman"/>
                <w:bCs/>
                <w:kern w:val="2"/>
                <w:sz w:val="21"/>
                <w:szCs w:val="21"/>
              </w:rPr>
            </w:pPr>
            <w:r>
              <w:rPr>
                <w:rFonts w:hint="eastAsia" w:ascii="Times New Roman" w:hAnsi="Times New Roman"/>
                <w:bCs/>
                <w:kern w:val="2"/>
                <w:sz w:val="21"/>
                <w:szCs w:val="21"/>
              </w:rPr>
              <w:t>蒸发器残渣：项目新增生产废水经厂内污水处理站处理后，蒸发后的蒸发残渣委托有资质单位处理，根据工程分析，年产生量为9.1t/a。</w:t>
            </w:r>
          </w:p>
          <w:p w14:paraId="77EFE194">
            <w:pPr>
              <w:pStyle w:val="21"/>
              <w:widowControl w:val="0"/>
              <w:autoSpaceDE w:val="0"/>
              <w:autoSpaceDN w:val="0"/>
              <w:spacing w:before="0" w:beforeAutospacing="0" w:after="0" w:afterAutospacing="0" w:line="360" w:lineRule="auto"/>
              <w:ind w:firstLine="420" w:firstLineChars="200"/>
              <w:jc w:val="both"/>
              <w:rPr>
                <w:rFonts w:ascii="Times New Roman" w:hAnsi="Times New Roman"/>
                <w:bCs/>
                <w:kern w:val="2"/>
                <w:sz w:val="21"/>
                <w:szCs w:val="21"/>
              </w:rPr>
            </w:pPr>
            <w:r>
              <w:rPr>
                <w:rFonts w:ascii="Times New Roman" w:hAnsi="Times New Roman"/>
                <w:bCs/>
                <w:kern w:val="2"/>
                <w:sz w:val="21"/>
                <w:szCs w:val="21"/>
              </w:rPr>
              <w:t>废切削液：项目模具检修、维护使用切削液湿法加工，切削液循环使用，每半年更换一次，每次更换量为0.7t/a，废切削液产生量为1.4t/a，收集后定期委托有资质单位处置。</w:t>
            </w:r>
          </w:p>
          <w:p w14:paraId="5CF79204">
            <w:pPr>
              <w:pStyle w:val="11"/>
              <w:spacing w:line="360" w:lineRule="auto"/>
              <w:ind w:left="0" w:leftChars="0" w:right="0" w:rightChars="0" w:firstLine="422"/>
              <w:rPr>
                <w:b/>
                <w:bCs/>
                <w:color w:val="auto"/>
                <w:sz w:val="21"/>
                <w:szCs w:val="21"/>
              </w:rPr>
            </w:pPr>
            <w:r>
              <w:rPr>
                <w:b/>
                <w:bCs/>
                <w:color w:val="auto"/>
                <w:sz w:val="21"/>
                <w:szCs w:val="21"/>
              </w:rPr>
              <w:t>①固体废物属性判定</w:t>
            </w:r>
          </w:p>
          <w:p w14:paraId="271D7270">
            <w:pPr>
              <w:pStyle w:val="11"/>
              <w:spacing w:line="360" w:lineRule="auto"/>
              <w:ind w:left="0" w:leftChars="0" w:right="0" w:rightChars="0" w:firstLine="420"/>
              <w:rPr>
                <w:color w:val="auto"/>
                <w:sz w:val="21"/>
                <w:szCs w:val="21"/>
              </w:rPr>
            </w:pPr>
            <w:r>
              <w:rPr>
                <w:color w:val="auto"/>
                <w:sz w:val="21"/>
                <w:szCs w:val="21"/>
              </w:rPr>
              <w:t>根据《固体废物鉴别标准 通则》（GB34330-2017）的规定，判定结果详见表4-26。</w:t>
            </w:r>
          </w:p>
          <w:p w14:paraId="62108A01">
            <w:pPr>
              <w:pStyle w:val="46"/>
              <w:spacing w:beforeLines="0" w:afterLines="0"/>
              <w:rPr>
                <w:rFonts w:eastAsia="宋体"/>
                <w:snapToGrid w:val="0"/>
                <w:sz w:val="21"/>
                <w:szCs w:val="21"/>
              </w:rPr>
            </w:pPr>
            <w:r>
              <w:rPr>
                <w:rFonts w:eastAsia="宋体"/>
                <w:snapToGrid w:val="0"/>
                <w:sz w:val="21"/>
                <w:szCs w:val="21"/>
              </w:rPr>
              <w:t>表4-26  项目固体废物产生情况及属性判断结果一览表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597"/>
              <w:gridCol w:w="1272"/>
              <w:gridCol w:w="1131"/>
              <w:gridCol w:w="726"/>
              <w:gridCol w:w="1376"/>
              <w:gridCol w:w="778"/>
              <w:gridCol w:w="937"/>
              <w:gridCol w:w="783"/>
              <w:gridCol w:w="945"/>
            </w:tblGrid>
            <w:tr w14:paraId="4583C8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Merge w:val="restart"/>
                  <w:vAlign w:val="center"/>
                </w:tcPr>
                <w:p w14:paraId="3C1CB6BB">
                  <w:pPr>
                    <w:pStyle w:val="62"/>
                    <w:adjustRightInd w:val="0"/>
                    <w:snapToGrid w:val="0"/>
                    <w:rPr>
                      <w:rFonts w:eastAsia="宋体"/>
                    </w:rPr>
                  </w:pPr>
                  <w:r>
                    <w:rPr>
                      <w:rFonts w:eastAsia="宋体"/>
                    </w:rPr>
                    <w:t>序号</w:t>
                  </w:r>
                </w:p>
              </w:tc>
              <w:tc>
                <w:tcPr>
                  <w:tcW w:w="744" w:type="pct"/>
                  <w:vMerge w:val="restart"/>
                  <w:vAlign w:val="center"/>
                </w:tcPr>
                <w:p w14:paraId="59D75D8D">
                  <w:pPr>
                    <w:pStyle w:val="62"/>
                    <w:adjustRightInd w:val="0"/>
                    <w:snapToGrid w:val="0"/>
                    <w:rPr>
                      <w:rFonts w:eastAsia="宋体"/>
                    </w:rPr>
                  </w:pPr>
                  <w:r>
                    <w:rPr>
                      <w:rFonts w:eastAsia="宋体"/>
                    </w:rPr>
                    <w:t>固体废物名称</w:t>
                  </w:r>
                </w:p>
              </w:tc>
              <w:tc>
                <w:tcPr>
                  <w:tcW w:w="662" w:type="pct"/>
                  <w:vMerge w:val="restart"/>
                  <w:vAlign w:val="center"/>
                </w:tcPr>
                <w:p w14:paraId="54FAF545">
                  <w:pPr>
                    <w:pStyle w:val="62"/>
                    <w:adjustRightInd w:val="0"/>
                    <w:snapToGrid w:val="0"/>
                    <w:rPr>
                      <w:rFonts w:eastAsia="宋体"/>
                    </w:rPr>
                  </w:pPr>
                  <w:r>
                    <w:rPr>
                      <w:rFonts w:eastAsia="宋体"/>
                    </w:rPr>
                    <w:t>产生工序</w:t>
                  </w:r>
                </w:p>
              </w:tc>
              <w:tc>
                <w:tcPr>
                  <w:tcW w:w="425" w:type="pct"/>
                  <w:vMerge w:val="restart"/>
                  <w:vAlign w:val="center"/>
                </w:tcPr>
                <w:p w14:paraId="5B79663C">
                  <w:pPr>
                    <w:pStyle w:val="62"/>
                    <w:adjustRightInd w:val="0"/>
                    <w:snapToGrid w:val="0"/>
                    <w:rPr>
                      <w:rFonts w:eastAsia="宋体"/>
                    </w:rPr>
                  </w:pPr>
                  <w:r>
                    <w:rPr>
                      <w:rFonts w:eastAsia="宋体"/>
                    </w:rPr>
                    <w:t>形态</w:t>
                  </w:r>
                </w:p>
              </w:tc>
              <w:tc>
                <w:tcPr>
                  <w:tcW w:w="805" w:type="pct"/>
                  <w:vMerge w:val="restart"/>
                  <w:vAlign w:val="center"/>
                </w:tcPr>
                <w:p w14:paraId="2B86349C">
                  <w:pPr>
                    <w:pStyle w:val="62"/>
                    <w:adjustRightInd w:val="0"/>
                    <w:snapToGrid w:val="0"/>
                    <w:rPr>
                      <w:rFonts w:eastAsia="宋体"/>
                    </w:rPr>
                  </w:pPr>
                  <w:r>
                    <w:rPr>
                      <w:rFonts w:eastAsia="宋体"/>
                    </w:rPr>
                    <w:t>主要成分</w:t>
                  </w:r>
                </w:p>
              </w:tc>
              <w:tc>
                <w:tcPr>
                  <w:tcW w:w="455" w:type="pct"/>
                  <w:vMerge w:val="restart"/>
                  <w:vAlign w:val="center"/>
                </w:tcPr>
                <w:p w14:paraId="7D8392AA">
                  <w:pPr>
                    <w:pStyle w:val="62"/>
                    <w:adjustRightInd w:val="0"/>
                    <w:snapToGrid w:val="0"/>
                    <w:rPr>
                      <w:rFonts w:eastAsia="宋体"/>
                    </w:rPr>
                  </w:pPr>
                  <w:r>
                    <w:rPr>
                      <w:rFonts w:eastAsia="宋体"/>
                    </w:rPr>
                    <w:t>预测产生量t/a</w:t>
                  </w:r>
                </w:p>
              </w:tc>
              <w:tc>
                <w:tcPr>
                  <w:tcW w:w="1559" w:type="pct"/>
                  <w:gridSpan w:val="3"/>
                  <w:vAlign w:val="center"/>
                </w:tcPr>
                <w:p w14:paraId="2657D006">
                  <w:pPr>
                    <w:pStyle w:val="62"/>
                    <w:adjustRightInd w:val="0"/>
                    <w:snapToGrid w:val="0"/>
                    <w:rPr>
                      <w:rFonts w:eastAsia="宋体"/>
                    </w:rPr>
                  </w:pPr>
                  <w:r>
                    <w:rPr>
                      <w:rFonts w:eastAsia="宋体"/>
                    </w:rPr>
                    <w:t>种类判断</w:t>
                  </w:r>
                </w:p>
              </w:tc>
            </w:tr>
            <w:tr w14:paraId="0D2569D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Merge w:val="continue"/>
                  <w:vAlign w:val="center"/>
                </w:tcPr>
                <w:p w14:paraId="385803DF">
                  <w:pPr>
                    <w:pStyle w:val="62"/>
                    <w:adjustRightInd w:val="0"/>
                    <w:snapToGrid w:val="0"/>
                    <w:rPr>
                      <w:rFonts w:eastAsia="宋体"/>
                    </w:rPr>
                  </w:pPr>
                </w:p>
              </w:tc>
              <w:tc>
                <w:tcPr>
                  <w:tcW w:w="744" w:type="pct"/>
                  <w:vMerge w:val="continue"/>
                  <w:vAlign w:val="center"/>
                </w:tcPr>
                <w:p w14:paraId="147CBD0E">
                  <w:pPr>
                    <w:pStyle w:val="62"/>
                    <w:adjustRightInd w:val="0"/>
                    <w:snapToGrid w:val="0"/>
                    <w:rPr>
                      <w:rFonts w:eastAsia="宋体"/>
                    </w:rPr>
                  </w:pPr>
                </w:p>
              </w:tc>
              <w:tc>
                <w:tcPr>
                  <w:tcW w:w="662" w:type="pct"/>
                  <w:vMerge w:val="continue"/>
                  <w:vAlign w:val="center"/>
                </w:tcPr>
                <w:p w14:paraId="5BFE5CB3">
                  <w:pPr>
                    <w:pStyle w:val="62"/>
                    <w:adjustRightInd w:val="0"/>
                    <w:snapToGrid w:val="0"/>
                    <w:rPr>
                      <w:rFonts w:eastAsia="宋体"/>
                    </w:rPr>
                  </w:pPr>
                </w:p>
              </w:tc>
              <w:tc>
                <w:tcPr>
                  <w:tcW w:w="425" w:type="pct"/>
                  <w:vMerge w:val="continue"/>
                  <w:vAlign w:val="center"/>
                </w:tcPr>
                <w:p w14:paraId="65F32926">
                  <w:pPr>
                    <w:pStyle w:val="62"/>
                    <w:adjustRightInd w:val="0"/>
                    <w:snapToGrid w:val="0"/>
                    <w:rPr>
                      <w:rFonts w:eastAsia="宋体"/>
                    </w:rPr>
                  </w:pPr>
                </w:p>
              </w:tc>
              <w:tc>
                <w:tcPr>
                  <w:tcW w:w="805" w:type="pct"/>
                  <w:vMerge w:val="continue"/>
                  <w:vAlign w:val="center"/>
                </w:tcPr>
                <w:p w14:paraId="35C7C544">
                  <w:pPr>
                    <w:pStyle w:val="62"/>
                    <w:adjustRightInd w:val="0"/>
                    <w:snapToGrid w:val="0"/>
                    <w:rPr>
                      <w:rFonts w:eastAsia="宋体"/>
                    </w:rPr>
                  </w:pPr>
                </w:p>
              </w:tc>
              <w:tc>
                <w:tcPr>
                  <w:tcW w:w="455" w:type="pct"/>
                  <w:vMerge w:val="continue"/>
                  <w:vAlign w:val="center"/>
                </w:tcPr>
                <w:p w14:paraId="58695613">
                  <w:pPr>
                    <w:pStyle w:val="62"/>
                    <w:adjustRightInd w:val="0"/>
                    <w:snapToGrid w:val="0"/>
                    <w:rPr>
                      <w:rFonts w:eastAsia="宋体"/>
                    </w:rPr>
                  </w:pPr>
                </w:p>
              </w:tc>
              <w:tc>
                <w:tcPr>
                  <w:tcW w:w="548" w:type="pct"/>
                  <w:vAlign w:val="center"/>
                </w:tcPr>
                <w:p w14:paraId="04EB0666">
                  <w:pPr>
                    <w:pStyle w:val="62"/>
                    <w:adjustRightInd w:val="0"/>
                    <w:snapToGrid w:val="0"/>
                    <w:rPr>
                      <w:rFonts w:eastAsia="宋体"/>
                    </w:rPr>
                  </w:pPr>
                  <w:r>
                    <w:rPr>
                      <w:rFonts w:eastAsia="宋体"/>
                    </w:rPr>
                    <w:t>固体废物</w:t>
                  </w:r>
                </w:p>
              </w:tc>
              <w:tc>
                <w:tcPr>
                  <w:tcW w:w="458" w:type="pct"/>
                  <w:vAlign w:val="center"/>
                </w:tcPr>
                <w:p w14:paraId="5AE5D7CC">
                  <w:pPr>
                    <w:pStyle w:val="62"/>
                    <w:adjustRightInd w:val="0"/>
                    <w:snapToGrid w:val="0"/>
                    <w:rPr>
                      <w:rFonts w:eastAsia="宋体"/>
                    </w:rPr>
                  </w:pPr>
                  <w:r>
                    <w:rPr>
                      <w:rFonts w:eastAsia="宋体"/>
                    </w:rPr>
                    <w:t>副产品</w:t>
                  </w:r>
                </w:p>
              </w:tc>
              <w:tc>
                <w:tcPr>
                  <w:tcW w:w="553" w:type="pct"/>
                  <w:vAlign w:val="center"/>
                </w:tcPr>
                <w:p w14:paraId="024F2C65">
                  <w:pPr>
                    <w:pStyle w:val="62"/>
                    <w:adjustRightInd w:val="0"/>
                    <w:snapToGrid w:val="0"/>
                    <w:rPr>
                      <w:rFonts w:eastAsia="宋体"/>
                    </w:rPr>
                  </w:pPr>
                  <w:r>
                    <w:rPr>
                      <w:rFonts w:eastAsia="宋体"/>
                    </w:rPr>
                    <w:t>判定依据</w:t>
                  </w:r>
                </w:p>
              </w:tc>
            </w:tr>
            <w:tr w14:paraId="570090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05BB278A">
                  <w:pPr>
                    <w:pStyle w:val="47"/>
                    <w:adjustRightInd w:val="0"/>
                    <w:snapToGrid w:val="0"/>
                    <w:rPr>
                      <w:rFonts w:eastAsia="宋体"/>
                    </w:rPr>
                  </w:pPr>
                  <w:r>
                    <w:rPr>
                      <w:rFonts w:eastAsia="宋体"/>
                    </w:rPr>
                    <w:t>1</w:t>
                  </w:r>
                </w:p>
              </w:tc>
              <w:tc>
                <w:tcPr>
                  <w:tcW w:w="744" w:type="pct"/>
                  <w:vAlign w:val="center"/>
                </w:tcPr>
                <w:p w14:paraId="7023FE1E">
                  <w:pPr>
                    <w:pStyle w:val="62"/>
                    <w:adjustRightInd w:val="0"/>
                    <w:snapToGrid w:val="0"/>
                    <w:rPr>
                      <w:rFonts w:eastAsia="宋体"/>
                      <w:b w:val="0"/>
                      <w:bCs/>
                    </w:rPr>
                  </w:pPr>
                  <w:r>
                    <w:rPr>
                      <w:rFonts w:eastAsia="宋体"/>
                      <w:b w:val="0"/>
                      <w:bCs/>
                    </w:rPr>
                    <w:t>生活垃圾</w:t>
                  </w:r>
                </w:p>
              </w:tc>
              <w:tc>
                <w:tcPr>
                  <w:tcW w:w="662" w:type="pct"/>
                  <w:vAlign w:val="center"/>
                </w:tcPr>
                <w:p w14:paraId="5E510817">
                  <w:pPr>
                    <w:pStyle w:val="62"/>
                    <w:adjustRightInd w:val="0"/>
                    <w:snapToGrid w:val="0"/>
                    <w:rPr>
                      <w:rFonts w:eastAsia="宋体"/>
                      <w:b w:val="0"/>
                      <w:bCs/>
                    </w:rPr>
                  </w:pPr>
                  <w:r>
                    <w:rPr>
                      <w:rFonts w:eastAsia="宋体"/>
                      <w:b w:val="0"/>
                      <w:bCs/>
                    </w:rPr>
                    <w:t>员工生活</w:t>
                  </w:r>
                </w:p>
              </w:tc>
              <w:tc>
                <w:tcPr>
                  <w:tcW w:w="425" w:type="pct"/>
                  <w:vAlign w:val="center"/>
                </w:tcPr>
                <w:p w14:paraId="7ED401D0">
                  <w:pPr>
                    <w:pStyle w:val="62"/>
                    <w:adjustRightInd w:val="0"/>
                    <w:snapToGrid w:val="0"/>
                    <w:rPr>
                      <w:rFonts w:eastAsia="宋体"/>
                      <w:b w:val="0"/>
                      <w:bCs/>
                    </w:rPr>
                  </w:pPr>
                  <w:r>
                    <w:rPr>
                      <w:rFonts w:eastAsia="宋体"/>
                      <w:b w:val="0"/>
                      <w:bCs/>
                    </w:rPr>
                    <w:t>固态</w:t>
                  </w:r>
                </w:p>
              </w:tc>
              <w:tc>
                <w:tcPr>
                  <w:tcW w:w="805" w:type="pct"/>
                  <w:vAlign w:val="center"/>
                </w:tcPr>
                <w:p w14:paraId="3842B6AA">
                  <w:pPr>
                    <w:pStyle w:val="62"/>
                    <w:adjustRightInd w:val="0"/>
                    <w:snapToGrid w:val="0"/>
                    <w:rPr>
                      <w:rFonts w:eastAsia="宋体"/>
                      <w:b w:val="0"/>
                      <w:bCs/>
                    </w:rPr>
                  </w:pPr>
                  <w:r>
                    <w:rPr>
                      <w:rFonts w:eastAsia="宋体"/>
                      <w:b w:val="0"/>
                      <w:bCs/>
                    </w:rPr>
                    <w:t>纸屑等</w:t>
                  </w:r>
                </w:p>
              </w:tc>
              <w:tc>
                <w:tcPr>
                  <w:tcW w:w="455" w:type="pct"/>
                  <w:vAlign w:val="center"/>
                </w:tcPr>
                <w:p w14:paraId="19BADAA7">
                  <w:pPr>
                    <w:pStyle w:val="62"/>
                    <w:adjustRightInd w:val="0"/>
                    <w:snapToGrid w:val="0"/>
                    <w:rPr>
                      <w:rFonts w:eastAsia="宋体"/>
                      <w:b w:val="0"/>
                      <w:bCs/>
                    </w:rPr>
                  </w:pPr>
                  <w:r>
                    <w:rPr>
                      <w:rFonts w:hint="eastAsia" w:eastAsia="宋体"/>
                      <w:b w:val="0"/>
                      <w:bCs/>
                    </w:rPr>
                    <w:t>15</w:t>
                  </w:r>
                </w:p>
              </w:tc>
              <w:tc>
                <w:tcPr>
                  <w:tcW w:w="548" w:type="pct"/>
                  <w:vAlign w:val="center"/>
                </w:tcPr>
                <w:p w14:paraId="071C32E2">
                  <w:pPr>
                    <w:adjustRightInd w:val="0"/>
                    <w:snapToGrid w:val="0"/>
                    <w:jc w:val="center"/>
                    <w:rPr>
                      <w:kern w:val="0"/>
                      <w:szCs w:val="21"/>
                    </w:rPr>
                  </w:pPr>
                  <w:r>
                    <w:rPr>
                      <w:kern w:val="0"/>
                      <w:szCs w:val="21"/>
                    </w:rPr>
                    <w:t>√</w:t>
                  </w:r>
                </w:p>
              </w:tc>
              <w:tc>
                <w:tcPr>
                  <w:tcW w:w="458" w:type="pct"/>
                  <w:vAlign w:val="center"/>
                </w:tcPr>
                <w:p w14:paraId="493E9CCF">
                  <w:pPr>
                    <w:adjustRightInd w:val="0"/>
                    <w:snapToGrid w:val="0"/>
                    <w:jc w:val="center"/>
                    <w:rPr>
                      <w:kern w:val="0"/>
                      <w:szCs w:val="21"/>
                    </w:rPr>
                  </w:pPr>
                  <w:r>
                    <w:rPr>
                      <w:kern w:val="0"/>
                      <w:szCs w:val="21"/>
                    </w:rPr>
                    <w:t>/</w:t>
                  </w:r>
                </w:p>
              </w:tc>
              <w:tc>
                <w:tcPr>
                  <w:tcW w:w="553" w:type="pct"/>
                  <w:vMerge w:val="restart"/>
                  <w:vAlign w:val="center"/>
                </w:tcPr>
                <w:p w14:paraId="1EF7ED8D">
                  <w:pPr>
                    <w:pStyle w:val="47"/>
                    <w:adjustRightInd w:val="0"/>
                    <w:snapToGrid w:val="0"/>
                    <w:rPr>
                      <w:rFonts w:eastAsia="宋体"/>
                      <w:kern w:val="0"/>
                    </w:rPr>
                  </w:pPr>
                  <w:r>
                    <w:rPr>
                      <w:rFonts w:eastAsia="宋体"/>
                    </w:rPr>
                    <w:t>《固体废物鉴别标准 通则》（GB34330-2017）</w:t>
                  </w:r>
                </w:p>
              </w:tc>
            </w:tr>
            <w:tr w14:paraId="1627AB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02B106B2">
                  <w:pPr>
                    <w:pStyle w:val="47"/>
                    <w:adjustRightInd w:val="0"/>
                    <w:snapToGrid w:val="0"/>
                    <w:rPr>
                      <w:rFonts w:eastAsia="宋体"/>
                    </w:rPr>
                  </w:pPr>
                  <w:r>
                    <w:rPr>
                      <w:rFonts w:eastAsia="宋体"/>
                    </w:rPr>
                    <w:t>2</w:t>
                  </w:r>
                </w:p>
              </w:tc>
              <w:tc>
                <w:tcPr>
                  <w:tcW w:w="744" w:type="pct"/>
                  <w:vAlign w:val="center"/>
                </w:tcPr>
                <w:p w14:paraId="090C8CF2">
                  <w:pPr>
                    <w:pStyle w:val="47"/>
                    <w:adjustRightInd w:val="0"/>
                    <w:snapToGrid w:val="0"/>
                    <w:rPr>
                      <w:rFonts w:eastAsia="宋体"/>
                      <w:kern w:val="0"/>
                    </w:rPr>
                  </w:pPr>
                  <w:r>
                    <w:rPr>
                      <w:rFonts w:hint="eastAsia" w:eastAsia="宋体"/>
                      <w:kern w:val="0"/>
                    </w:rPr>
                    <w:t>废胶料</w:t>
                  </w:r>
                </w:p>
              </w:tc>
              <w:tc>
                <w:tcPr>
                  <w:tcW w:w="662" w:type="pct"/>
                  <w:vAlign w:val="center"/>
                </w:tcPr>
                <w:p w14:paraId="73EA4EDD">
                  <w:pPr>
                    <w:pStyle w:val="47"/>
                    <w:adjustRightInd w:val="0"/>
                    <w:snapToGrid w:val="0"/>
                    <w:rPr>
                      <w:rFonts w:eastAsia="宋体"/>
                    </w:rPr>
                  </w:pPr>
                  <w:r>
                    <w:rPr>
                      <w:rFonts w:eastAsia="宋体"/>
                    </w:rPr>
                    <w:t>挤出</w:t>
                  </w:r>
                </w:p>
              </w:tc>
              <w:tc>
                <w:tcPr>
                  <w:tcW w:w="425" w:type="pct"/>
                  <w:vAlign w:val="center"/>
                </w:tcPr>
                <w:p w14:paraId="3642FB92">
                  <w:pPr>
                    <w:pStyle w:val="47"/>
                    <w:adjustRightInd w:val="0"/>
                    <w:snapToGrid w:val="0"/>
                    <w:rPr>
                      <w:rFonts w:eastAsia="宋体"/>
                      <w:kern w:val="0"/>
                    </w:rPr>
                  </w:pPr>
                  <w:r>
                    <w:rPr>
                      <w:rFonts w:eastAsia="宋体"/>
                      <w:kern w:val="0"/>
                    </w:rPr>
                    <w:t>固态</w:t>
                  </w:r>
                </w:p>
              </w:tc>
              <w:tc>
                <w:tcPr>
                  <w:tcW w:w="805" w:type="pct"/>
                  <w:vAlign w:val="center"/>
                </w:tcPr>
                <w:p w14:paraId="7CF3AF65">
                  <w:pPr>
                    <w:pStyle w:val="47"/>
                    <w:adjustRightInd w:val="0"/>
                    <w:snapToGrid w:val="0"/>
                    <w:rPr>
                      <w:rFonts w:eastAsia="宋体"/>
                      <w:kern w:val="0"/>
                    </w:rPr>
                  </w:pPr>
                  <w:r>
                    <w:rPr>
                      <w:rFonts w:eastAsia="宋体"/>
                      <w:kern w:val="0"/>
                    </w:rPr>
                    <w:t>各类橡胶</w:t>
                  </w:r>
                </w:p>
              </w:tc>
              <w:tc>
                <w:tcPr>
                  <w:tcW w:w="455" w:type="pct"/>
                  <w:vAlign w:val="center"/>
                </w:tcPr>
                <w:p w14:paraId="1EC4AA32">
                  <w:pPr>
                    <w:pStyle w:val="47"/>
                    <w:adjustRightInd w:val="0"/>
                    <w:snapToGrid w:val="0"/>
                    <w:rPr>
                      <w:rFonts w:eastAsia="宋体"/>
                      <w:kern w:val="0"/>
                    </w:rPr>
                  </w:pPr>
                  <w:r>
                    <w:rPr>
                      <w:rFonts w:hint="eastAsia" w:eastAsia="宋体"/>
                      <w:kern w:val="0"/>
                    </w:rPr>
                    <w:t>2.3</w:t>
                  </w:r>
                </w:p>
              </w:tc>
              <w:tc>
                <w:tcPr>
                  <w:tcW w:w="548" w:type="pct"/>
                  <w:vAlign w:val="center"/>
                </w:tcPr>
                <w:p w14:paraId="4E241E4A">
                  <w:pPr>
                    <w:adjustRightInd w:val="0"/>
                    <w:snapToGrid w:val="0"/>
                    <w:jc w:val="center"/>
                    <w:rPr>
                      <w:kern w:val="0"/>
                      <w:szCs w:val="21"/>
                    </w:rPr>
                  </w:pPr>
                  <w:r>
                    <w:rPr>
                      <w:kern w:val="0"/>
                      <w:szCs w:val="21"/>
                    </w:rPr>
                    <w:t>√</w:t>
                  </w:r>
                </w:p>
              </w:tc>
              <w:tc>
                <w:tcPr>
                  <w:tcW w:w="458" w:type="pct"/>
                  <w:vAlign w:val="center"/>
                </w:tcPr>
                <w:p w14:paraId="42FAA12C">
                  <w:pPr>
                    <w:adjustRightInd w:val="0"/>
                    <w:snapToGrid w:val="0"/>
                    <w:jc w:val="center"/>
                    <w:rPr>
                      <w:kern w:val="0"/>
                      <w:szCs w:val="21"/>
                    </w:rPr>
                  </w:pPr>
                  <w:r>
                    <w:rPr>
                      <w:kern w:val="0"/>
                      <w:szCs w:val="21"/>
                    </w:rPr>
                    <w:t>/</w:t>
                  </w:r>
                </w:p>
              </w:tc>
              <w:tc>
                <w:tcPr>
                  <w:tcW w:w="553" w:type="pct"/>
                  <w:vMerge w:val="continue"/>
                  <w:vAlign w:val="center"/>
                </w:tcPr>
                <w:p w14:paraId="17431D9E">
                  <w:pPr>
                    <w:pStyle w:val="47"/>
                    <w:adjustRightInd w:val="0"/>
                    <w:snapToGrid w:val="0"/>
                    <w:rPr>
                      <w:rFonts w:eastAsia="宋体"/>
                      <w:kern w:val="0"/>
                    </w:rPr>
                  </w:pPr>
                </w:p>
              </w:tc>
            </w:tr>
            <w:tr w14:paraId="0CB2E70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485C86A4">
                  <w:pPr>
                    <w:pStyle w:val="47"/>
                    <w:adjustRightInd w:val="0"/>
                    <w:snapToGrid w:val="0"/>
                    <w:rPr>
                      <w:rFonts w:eastAsia="宋体"/>
                    </w:rPr>
                  </w:pPr>
                  <w:r>
                    <w:rPr>
                      <w:rFonts w:hint="eastAsia" w:eastAsia="宋体"/>
                    </w:rPr>
                    <w:t>3</w:t>
                  </w:r>
                </w:p>
              </w:tc>
              <w:tc>
                <w:tcPr>
                  <w:tcW w:w="744" w:type="pct"/>
                  <w:vAlign w:val="center"/>
                </w:tcPr>
                <w:p w14:paraId="7F2A912C">
                  <w:pPr>
                    <w:pStyle w:val="47"/>
                    <w:adjustRightInd w:val="0"/>
                    <w:snapToGrid w:val="0"/>
                    <w:rPr>
                      <w:rFonts w:eastAsia="宋体"/>
                      <w:kern w:val="0"/>
                    </w:rPr>
                  </w:pPr>
                  <w:r>
                    <w:rPr>
                      <w:rFonts w:eastAsia="宋体"/>
                      <w:kern w:val="0"/>
                    </w:rPr>
                    <w:t>废橡胶边角料</w:t>
                  </w:r>
                </w:p>
              </w:tc>
              <w:tc>
                <w:tcPr>
                  <w:tcW w:w="662" w:type="pct"/>
                  <w:vAlign w:val="center"/>
                </w:tcPr>
                <w:p w14:paraId="112BA805">
                  <w:pPr>
                    <w:pStyle w:val="47"/>
                    <w:adjustRightInd w:val="0"/>
                    <w:snapToGrid w:val="0"/>
                    <w:rPr>
                      <w:rFonts w:eastAsia="宋体"/>
                    </w:rPr>
                  </w:pPr>
                  <w:r>
                    <w:rPr>
                      <w:rFonts w:eastAsia="宋体"/>
                    </w:rPr>
                    <w:t>修整</w:t>
                  </w:r>
                </w:p>
              </w:tc>
              <w:tc>
                <w:tcPr>
                  <w:tcW w:w="425" w:type="pct"/>
                  <w:vAlign w:val="center"/>
                </w:tcPr>
                <w:p w14:paraId="094D73B5">
                  <w:pPr>
                    <w:adjustRightInd w:val="0"/>
                    <w:snapToGrid w:val="0"/>
                    <w:jc w:val="center"/>
                    <w:rPr>
                      <w:kern w:val="0"/>
                      <w:szCs w:val="21"/>
                    </w:rPr>
                  </w:pPr>
                  <w:r>
                    <w:rPr>
                      <w:kern w:val="0"/>
                      <w:szCs w:val="21"/>
                    </w:rPr>
                    <w:t>固态</w:t>
                  </w:r>
                </w:p>
              </w:tc>
              <w:tc>
                <w:tcPr>
                  <w:tcW w:w="805" w:type="pct"/>
                  <w:vAlign w:val="center"/>
                </w:tcPr>
                <w:p w14:paraId="3AC90371">
                  <w:pPr>
                    <w:pStyle w:val="47"/>
                    <w:adjustRightInd w:val="0"/>
                    <w:snapToGrid w:val="0"/>
                    <w:rPr>
                      <w:rFonts w:eastAsia="宋体"/>
                      <w:kern w:val="0"/>
                    </w:rPr>
                  </w:pPr>
                  <w:r>
                    <w:rPr>
                      <w:rFonts w:eastAsia="宋体"/>
                      <w:kern w:val="0"/>
                    </w:rPr>
                    <w:t>各类橡胶、助剂等</w:t>
                  </w:r>
                </w:p>
              </w:tc>
              <w:tc>
                <w:tcPr>
                  <w:tcW w:w="455" w:type="pct"/>
                  <w:vAlign w:val="center"/>
                </w:tcPr>
                <w:p w14:paraId="54498D28">
                  <w:pPr>
                    <w:pStyle w:val="47"/>
                    <w:adjustRightInd w:val="0"/>
                    <w:snapToGrid w:val="0"/>
                    <w:rPr>
                      <w:rFonts w:eastAsia="宋体"/>
                      <w:kern w:val="0"/>
                    </w:rPr>
                  </w:pPr>
                  <w:r>
                    <w:rPr>
                      <w:rFonts w:hint="eastAsia" w:eastAsia="宋体"/>
                      <w:kern w:val="0"/>
                    </w:rPr>
                    <w:t>9.3</w:t>
                  </w:r>
                </w:p>
              </w:tc>
              <w:tc>
                <w:tcPr>
                  <w:tcW w:w="548" w:type="pct"/>
                  <w:vAlign w:val="center"/>
                </w:tcPr>
                <w:p w14:paraId="236A9E58">
                  <w:pPr>
                    <w:pStyle w:val="47"/>
                    <w:adjustRightInd w:val="0"/>
                    <w:snapToGrid w:val="0"/>
                    <w:rPr>
                      <w:rFonts w:eastAsia="宋体"/>
                      <w:kern w:val="0"/>
                    </w:rPr>
                  </w:pPr>
                  <w:r>
                    <w:rPr>
                      <w:rFonts w:eastAsia="宋体"/>
                      <w:kern w:val="0"/>
                    </w:rPr>
                    <w:t>√</w:t>
                  </w:r>
                </w:p>
              </w:tc>
              <w:tc>
                <w:tcPr>
                  <w:tcW w:w="458" w:type="pct"/>
                  <w:vAlign w:val="center"/>
                </w:tcPr>
                <w:p w14:paraId="6FC466A1">
                  <w:pPr>
                    <w:pStyle w:val="47"/>
                    <w:adjustRightInd w:val="0"/>
                    <w:snapToGrid w:val="0"/>
                    <w:rPr>
                      <w:rFonts w:eastAsia="宋体"/>
                      <w:kern w:val="0"/>
                    </w:rPr>
                  </w:pPr>
                  <w:r>
                    <w:rPr>
                      <w:rFonts w:eastAsia="宋体"/>
                      <w:kern w:val="0"/>
                    </w:rPr>
                    <w:t>/</w:t>
                  </w:r>
                </w:p>
              </w:tc>
              <w:tc>
                <w:tcPr>
                  <w:tcW w:w="553" w:type="pct"/>
                  <w:vMerge w:val="continue"/>
                  <w:vAlign w:val="center"/>
                </w:tcPr>
                <w:p w14:paraId="70F00345">
                  <w:pPr>
                    <w:pStyle w:val="47"/>
                    <w:adjustRightInd w:val="0"/>
                    <w:snapToGrid w:val="0"/>
                    <w:rPr>
                      <w:rFonts w:eastAsia="宋体"/>
                      <w:kern w:val="0"/>
                    </w:rPr>
                  </w:pPr>
                </w:p>
              </w:tc>
            </w:tr>
            <w:tr w14:paraId="23B0F12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52B0C39B">
                  <w:pPr>
                    <w:pStyle w:val="47"/>
                    <w:adjustRightInd w:val="0"/>
                    <w:snapToGrid w:val="0"/>
                    <w:rPr>
                      <w:rFonts w:eastAsia="宋体"/>
                    </w:rPr>
                  </w:pPr>
                  <w:r>
                    <w:rPr>
                      <w:rFonts w:hint="eastAsia" w:eastAsia="宋体"/>
                    </w:rPr>
                    <w:t>4</w:t>
                  </w:r>
                </w:p>
              </w:tc>
              <w:tc>
                <w:tcPr>
                  <w:tcW w:w="744" w:type="pct"/>
                  <w:vAlign w:val="center"/>
                </w:tcPr>
                <w:p w14:paraId="6930B134">
                  <w:pPr>
                    <w:pStyle w:val="47"/>
                    <w:adjustRightInd w:val="0"/>
                    <w:snapToGrid w:val="0"/>
                    <w:rPr>
                      <w:rFonts w:eastAsia="宋体"/>
                      <w:kern w:val="0"/>
                    </w:rPr>
                  </w:pPr>
                  <w:r>
                    <w:rPr>
                      <w:rFonts w:eastAsia="宋体"/>
                      <w:kern w:val="0"/>
                    </w:rPr>
                    <w:t>废金属边角料</w:t>
                  </w:r>
                </w:p>
              </w:tc>
              <w:tc>
                <w:tcPr>
                  <w:tcW w:w="662" w:type="pct"/>
                  <w:vAlign w:val="center"/>
                </w:tcPr>
                <w:p w14:paraId="02673B52">
                  <w:pPr>
                    <w:pStyle w:val="47"/>
                    <w:adjustRightInd w:val="0"/>
                    <w:snapToGrid w:val="0"/>
                    <w:rPr>
                      <w:rFonts w:eastAsia="宋体"/>
                    </w:rPr>
                  </w:pPr>
                  <w:r>
                    <w:rPr>
                      <w:rFonts w:eastAsia="宋体"/>
                    </w:rPr>
                    <w:t>机加工、抛丸、喷砂</w:t>
                  </w:r>
                </w:p>
              </w:tc>
              <w:tc>
                <w:tcPr>
                  <w:tcW w:w="425" w:type="pct"/>
                  <w:vAlign w:val="center"/>
                </w:tcPr>
                <w:p w14:paraId="3EF7DDED">
                  <w:pPr>
                    <w:adjustRightInd w:val="0"/>
                    <w:snapToGrid w:val="0"/>
                    <w:jc w:val="center"/>
                    <w:rPr>
                      <w:kern w:val="0"/>
                      <w:szCs w:val="21"/>
                    </w:rPr>
                  </w:pPr>
                  <w:r>
                    <w:rPr>
                      <w:kern w:val="0"/>
                      <w:szCs w:val="21"/>
                    </w:rPr>
                    <w:t>固态</w:t>
                  </w:r>
                </w:p>
              </w:tc>
              <w:tc>
                <w:tcPr>
                  <w:tcW w:w="805" w:type="pct"/>
                  <w:vAlign w:val="center"/>
                </w:tcPr>
                <w:p w14:paraId="32980961">
                  <w:pPr>
                    <w:pStyle w:val="47"/>
                    <w:adjustRightInd w:val="0"/>
                    <w:snapToGrid w:val="0"/>
                    <w:rPr>
                      <w:rFonts w:eastAsia="宋体"/>
                      <w:kern w:val="0"/>
                    </w:rPr>
                  </w:pPr>
                  <w:r>
                    <w:rPr>
                      <w:rFonts w:eastAsia="宋体"/>
                      <w:kern w:val="0"/>
                    </w:rPr>
                    <w:t>钢铁等</w:t>
                  </w:r>
                </w:p>
              </w:tc>
              <w:tc>
                <w:tcPr>
                  <w:tcW w:w="455" w:type="pct"/>
                  <w:vAlign w:val="center"/>
                </w:tcPr>
                <w:p w14:paraId="1C62FB94">
                  <w:pPr>
                    <w:pStyle w:val="47"/>
                    <w:adjustRightInd w:val="0"/>
                    <w:snapToGrid w:val="0"/>
                    <w:rPr>
                      <w:rFonts w:eastAsia="宋体"/>
                      <w:kern w:val="0"/>
                    </w:rPr>
                  </w:pPr>
                  <w:r>
                    <w:rPr>
                      <w:rFonts w:hint="eastAsia" w:eastAsia="宋体"/>
                      <w:kern w:val="0"/>
                    </w:rPr>
                    <w:t>0.5</w:t>
                  </w:r>
                </w:p>
              </w:tc>
              <w:tc>
                <w:tcPr>
                  <w:tcW w:w="548" w:type="pct"/>
                  <w:vAlign w:val="center"/>
                </w:tcPr>
                <w:p w14:paraId="2CA17224">
                  <w:pPr>
                    <w:pStyle w:val="47"/>
                    <w:adjustRightInd w:val="0"/>
                    <w:snapToGrid w:val="0"/>
                    <w:rPr>
                      <w:rFonts w:eastAsia="宋体"/>
                      <w:kern w:val="0"/>
                    </w:rPr>
                  </w:pPr>
                  <w:r>
                    <w:rPr>
                      <w:rFonts w:eastAsia="宋体"/>
                      <w:kern w:val="0"/>
                    </w:rPr>
                    <w:t>√</w:t>
                  </w:r>
                </w:p>
              </w:tc>
              <w:tc>
                <w:tcPr>
                  <w:tcW w:w="458" w:type="pct"/>
                  <w:vAlign w:val="center"/>
                </w:tcPr>
                <w:p w14:paraId="3DAB0164">
                  <w:pPr>
                    <w:pStyle w:val="47"/>
                    <w:adjustRightInd w:val="0"/>
                    <w:snapToGrid w:val="0"/>
                    <w:rPr>
                      <w:rFonts w:eastAsia="宋体"/>
                      <w:kern w:val="0"/>
                    </w:rPr>
                  </w:pPr>
                  <w:r>
                    <w:rPr>
                      <w:rFonts w:eastAsia="宋体"/>
                      <w:kern w:val="0"/>
                    </w:rPr>
                    <w:t>/</w:t>
                  </w:r>
                </w:p>
              </w:tc>
              <w:tc>
                <w:tcPr>
                  <w:tcW w:w="553" w:type="pct"/>
                  <w:vMerge w:val="continue"/>
                  <w:vAlign w:val="center"/>
                </w:tcPr>
                <w:p w14:paraId="7D7A4E5B">
                  <w:pPr>
                    <w:pStyle w:val="47"/>
                    <w:adjustRightInd w:val="0"/>
                    <w:snapToGrid w:val="0"/>
                    <w:rPr>
                      <w:rFonts w:eastAsia="宋体"/>
                      <w:kern w:val="0"/>
                    </w:rPr>
                  </w:pPr>
                </w:p>
              </w:tc>
            </w:tr>
            <w:tr w14:paraId="26E8D97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46FA202E">
                  <w:pPr>
                    <w:pStyle w:val="47"/>
                    <w:adjustRightInd w:val="0"/>
                    <w:snapToGrid w:val="0"/>
                    <w:rPr>
                      <w:rFonts w:eastAsia="宋体"/>
                    </w:rPr>
                  </w:pPr>
                  <w:r>
                    <w:rPr>
                      <w:rFonts w:hint="eastAsia" w:eastAsia="宋体"/>
                    </w:rPr>
                    <w:t>5</w:t>
                  </w:r>
                </w:p>
              </w:tc>
              <w:tc>
                <w:tcPr>
                  <w:tcW w:w="744" w:type="pct"/>
                  <w:vAlign w:val="center"/>
                </w:tcPr>
                <w:p w14:paraId="4C296A51">
                  <w:pPr>
                    <w:pStyle w:val="47"/>
                    <w:adjustRightInd w:val="0"/>
                    <w:snapToGrid w:val="0"/>
                    <w:rPr>
                      <w:rFonts w:eastAsia="宋体"/>
                      <w:kern w:val="0"/>
                    </w:rPr>
                  </w:pPr>
                  <w:r>
                    <w:rPr>
                      <w:rFonts w:eastAsia="宋体"/>
                      <w:kern w:val="0"/>
                    </w:rPr>
                    <w:t>收集粉尘</w:t>
                  </w:r>
                </w:p>
              </w:tc>
              <w:tc>
                <w:tcPr>
                  <w:tcW w:w="662" w:type="pct"/>
                  <w:vAlign w:val="center"/>
                </w:tcPr>
                <w:p w14:paraId="4EF7042D">
                  <w:pPr>
                    <w:pStyle w:val="47"/>
                    <w:adjustRightInd w:val="0"/>
                    <w:snapToGrid w:val="0"/>
                    <w:rPr>
                      <w:rFonts w:eastAsia="宋体"/>
                    </w:rPr>
                  </w:pPr>
                  <w:r>
                    <w:rPr>
                      <w:rFonts w:eastAsia="宋体"/>
                    </w:rPr>
                    <w:t>废气处理</w:t>
                  </w:r>
                </w:p>
              </w:tc>
              <w:tc>
                <w:tcPr>
                  <w:tcW w:w="425" w:type="pct"/>
                  <w:vAlign w:val="center"/>
                </w:tcPr>
                <w:p w14:paraId="10F57266">
                  <w:pPr>
                    <w:adjustRightInd w:val="0"/>
                    <w:snapToGrid w:val="0"/>
                    <w:jc w:val="center"/>
                    <w:rPr>
                      <w:kern w:val="0"/>
                      <w:szCs w:val="21"/>
                    </w:rPr>
                  </w:pPr>
                  <w:r>
                    <w:rPr>
                      <w:kern w:val="0"/>
                      <w:szCs w:val="21"/>
                    </w:rPr>
                    <w:t>固态</w:t>
                  </w:r>
                </w:p>
              </w:tc>
              <w:tc>
                <w:tcPr>
                  <w:tcW w:w="805" w:type="pct"/>
                  <w:vAlign w:val="center"/>
                </w:tcPr>
                <w:p w14:paraId="52074FFF">
                  <w:pPr>
                    <w:pStyle w:val="47"/>
                    <w:adjustRightInd w:val="0"/>
                    <w:snapToGrid w:val="0"/>
                    <w:rPr>
                      <w:rFonts w:eastAsia="宋体"/>
                      <w:kern w:val="0"/>
                    </w:rPr>
                  </w:pPr>
                  <w:r>
                    <w:rPr>
                      <w:rFonts w:eastAsia="宋体"/>
                      <w:kern w:val="0"/>
                    </w:rPr>
                    <w:t>金属粉尘、炭黑尘等</w:t>
                  </w:r>
                </w:p>
              </w:tc>
              <w:tc>
                <w:tcPr>
                  <w:tcW w:w="455" w:type="pct"/>
                  <w:vAlign w:val="center"/>
                </w:tcPr>
                <w:p w14:paraId="10D3DE2C">
                  <w:pPr>
                    <w:pStyle w:val="47"/>
                    <w:adjustRightInd w:val="0"/>
                    <w:snapToGrid w:val="0"/>
                    <w:rPr>
                      <w:rFonts w:eastAsia="宋体"/>
                      <w:kern w:val="0"/>
                    </w:rPr>
                  </w:pPr>
                  <w:r>
                    <w:rPr>
                      <w:rFonts w:hint="eastAsia" w:eastAsia="宋体"/>
                      <w:kern w:val="0"/>
                    </w:rPr>
                    <w:t>1.32</w:t>
                  </w:r>
                </w:p>
              </w:tc>
              <w:tc>
                <w:tcPr>
                  <w:tcW w:w="548" w:type="pct"/>
                  <w:vAlign w:val="center"/>
                </w:tcPr>
                <w:p w14:paraId="4B57B690">
                  <w:pPr>
                    <w:pStyle w:val="47"/>
                    <w:adjustRightInd w:val="0"/>
                    <w:snapToGrid w:val="0"/>
                    <w:rPr>
                      <w:rFonts w:eastAsia="宋体"/>
                      <w:kern w:val="0"/>
                    </w:rPr>
                  </w:pPr>
                  <w:r>
                    <w:rPr>
                      <w:rFonts w:eastAsia="宋体"/>
                      <w:kern w:val="0"/>
                    </w:rPr>
                    <w:t>√</w:t>
                  </w:r>
                </w:p>
              </w:tc>
              <w:tc>
                <w:tcPr>
                  <w:tcW w:w="458" w:type="pct"/>
                  <w:vAlign w:val="center"/>
                </w:tcPr>
                <w:p w14:paraId="44F200D1">
                  <w:pPr>
                    <w:pStyle w:val="47"/>
                    <w:adjustRightInd w:val="0"/>
                    <w:snapToGrid w:val="0"/>
                    <w:rPr>
                      <w:rFonts w:eastAsia="宋体"/>
                      <w:kern w:val="0"/>
                    </w:rPr>
                  </w:pPr>
                  <w:r>
                    <w:rPr>
                      <w:rFonts w:eastAsia="宋体"/>
                      <w:kern w:val="0"/>
                    </w:rPr>
                    <w:t>/</w:t>
                  </w:r>
                </w:p>
              </w:tc>
              <w:tc>
                <w:tcPr>
                  <w:tcW w:w="553" w:type="pct"/>
                  <w:vMerge w:val="continue"/>
                  <w:vAlign w:val="center"/>
                </w:tcPr>
                <w:p w14:paraId="7F6EA719">
                  <w:pPr>
                    <w:pStyle w:val="47"/>
                    <w:adjustRightInd w:val="0"/>
                    <w:snapToGrid w:val="0"/>
                    <w:rPr>
                      <w:rFonts w:eastAsia="宋体"/>
                      <w:kern w:val="0"/>
                    </w:rPr>
                  </w:pPr>
                </w:p>
              </w:tc>
            </w:tr>
            <w:tr w14:paraId="7E86D7C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7DF43D3D">
                  <w:pPr>
                    <w:pStyle w:val="47"/>
                    <w:adjustRightInd w:val="0"/>
                    <w:snapToGrid w:val="0"/>
                    <w:rPr>
                      <w:rFonts w:eastAsia="宋体"/>
                    </w:rPr>
                  </w:pPr>
                  <w:r>
                    <w:rPr>
                      <w:rFonts w:eastAsia="宋体"/>
                    </w:rPr>
                    <w:t>6</w:t>
                  </w:r>
                </w:p>
              </w:tc>
              <w:tc>
                <w:tcPr>
                  <w:tcW w:w="744" w:type="pct"/>
                  <w:vAlign w:val="center"/>
                </w:tcPr>
                <w:p w14:paraId="49BAC5E6">
                  <w:pPr>
                    <w:pStyle w:val="47"/>
                    <w:adjustRightInd w:val="0"/>
                    <w:snapToGrid w:val="0"/>
                    <w:rPr>
                      <w:rFonts w:eastAsia="宋体"/>
                      <w:kern w:val="0"/>
                    </w:rPr>
                  </w:pPr>
                  <w:r>
                    <w:rPr>
                      <w:rFonts w:eastAsia="宋体"/>
                      <w:kern w:val="0"/>
                    </w:rPr>
                    <w:t>废活性炭</w:t>
                  </w:r>
                </w:p>
              </w:tc>
              <w:tc>
                <w:tcPr>
                  <w:tcW w:w="662" w:type="pct"/>
                  <w:vAlign w:val="center"/>
                </w:tcPr>
                <w:p w14:paraId="6AB412C3">
                  <w:pPr>
                    <w:pStyle w:val="47"/>
                    <w:adjustRightInd w:val="0"/>
                    <w:snapToGrid w:val="0"/>
                    <w:rPr>
                      <w:rFonts w:eastAsia="宋体"/>
                    </w:rPr>
                  </w:pPr>
                  <w:r>
                    <w:rPr>
                      <w:rFonts w:eastAsia="宋体"/>
                    </w:rPr>
                    <w:t>废气处理</w:t>
                  </w:r>
                </w:p>
              </w:tc>
              <w:tc>
                <w:tcPr>
                  <w:tcW w:w="425" w:type="pct"/>
                  <w:vAlign w:val="center"/>
                </w:tcPr>
                <w:p w14:paraId="28500521">
                  <w:pPr>
                    <w:adjustRightInd w:val="0"/>
                    <w:snapToGrid w:val="0"/>
                    <w:jc w:val="center"/>
                    <w:rPr>
                      <w:kern w:val="0"/>
                      <w:szCs w:val="21"/>
                    </w:rPr>
                  </w:pPr>
                  <w:r>
                    <w:rPr>
                      <w:kern w:val="0"/>
                      <w:szCs w:val="21"/>
                    </w:rPr>
                    <w:t>固态</w:t>
                  </w:r>
                </w:p>
              </w:tc>
              <w:tc>
                <w:tcPr>
                  <w:tcW w:w="805" w:type="pct"/>
                  <w:vAlign w:val="center"/>
                </w:tcPr>
                <w:p w14:paraId="0AF82904">
                  <w:pPr>
                    <w:pStyle w:val="47"/>
                    <w:adjustRightInd w:val="0"/>
                    <w:snapToGrid w:val="0"/>
                    <w:rPr>
                      <w:rFonts w:eastAsia="宋体"/>
                      <w:kern w:val="0"/>
                    </w:rPr>
                  </w:pPr>
                  <w:r>
                    <w:rPr>
                      <w:rFonts w:eastAsia="宋体"/>
                      <w:kern w:val="0"/>
                    </w:rPr>
                    <w:t>有机废气、活性炭</w:t>
                  </w:r>
                </w:p>
              </w:tc>
              <w:tc>
                <w:tcPr>
                  <w:tcW w:w="455" w:type="pct"/>
                  <w:vAlign w:val="center"/>
                </w:tcPr>
                <w:p w14:paraId="3AC07D6C">
                  <w:pPr>
                    <w:pStyle w:val="47"/>
                    <w:adjustRightInd w:val="0"/>
                    <w:snapToGrid w:val="0"/>
                    <w:rPr>
                      <w:rFonts w:eastAsia="宋体"/>
                      <w:kern w:val="0"/>
                    </w:rPr>
                  </w:pPr>
                  <w:r>
                    <w:rPr>
                      <w:rFonts w:hint="eastAsia" w:eastAsia="宋体"/>
                      <w:kern w:val="0"/>
                    </w:rPr>
                    <w:t>15.75</w:t>
                  </w:r>
                </w:p>
              </w:tc>
              <w:tc>
                <w:tcPr>
                  <w:tcW w:w="548" w:type="pct"/>
                  <w:vAlign w:val="center"/>
                </w:tcPr>
                <w:p w14:paraId="1B4B40E4">
                  <w:pPr>
                    <w:pStyle w:val="47"/>
                    <w:adjustRightInd w:val="0"/>
                    <w:snapToGrid w:val="0"/>
                    <w:rPr>
                      <w:rFonts w:eastAsia="宋体"/>
                      <w:kern w:val="0"/>
                    </w:rPr>
                  </w:pPr>
                  <w:r>
                    <w:rPr>
                      <w:rFonts w:eastAsia="宋体"/>
                      <w:kern w:val="0"/>
                    </w:rPr>
                    <w:t>√</w:t>
                  </w:r>
                </w:p>
              </w:tc>
              <w:tc>
                <w:tcPr>
                  <w:tcW w:w="458" w:type="pct"/>
                  <w:vAlign w:val="center"/>
                </w:tcPr>
                <w:p w14:paraId="15582492">
                  <w:pPr>
                    <w:pStyle w:val="47"/>
                    <w:adjustRightInd w:val="0"/>
                    <w:snapToGrid w:val="0"/>
                    <w:rPr>
                      <w:rFonts w:eastAsia="宋体"/>
                      <w:kern w:val="0"/>
                    </w:rPr>
                  </w:pPr>
                  <w:r>
                    <w:rPr>
                      <w:rFonts w:eastAsia="宋体"/>
                      <w:kern w:val="0"/>
                    </w:rPr>
                    <w:t>/</w:t>
                  </w:r>
                </w:p>
              </w:tc>
              <w:tc>
                <w:tcPr>
                  <w:tcW w:w="553" w:type="pct"/>
                  <w:vMerge w:val="continue"/>
                  <w:vAlign w:val="center"/>
                </w:tcPr>
                <w:p w14:paraId="7190B9C4">
                  <w:pPr>
                    <w:pStyle w:val="47"/>
                    <w:adjustRightInd w:val="0"/>
                    <w:snapToGrid w:val="0"/>
                    <w:rPr>
                      <w:rFonts w:eastAsia="宋体"/>
                      <w:kern w:val="0"/>
                    </w:rPr>
                  </w:pPr>
                </w:p>
              </w:tc>
            </w:tr>
            <w:tr w14:paraId="75CFE64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1909A128">
                  <w:pPr>
                    <w:pStyle w:val="47"/>
                    <w:adjustRightInd w:val="0"/>
                    <w:snapToGrid w:val="0"/>
                    <w:rPr>
                      <w:rFonts w:eastAsia="宋体"/>
                    </w:rPr>
                  </w:pPr>
                  <w:r>
                    <w:rPr>
                      <w:rFonts w:eastAsia="宋体"/>
                    </w:rPr>
                    <w:t>7</w:t>
                  </w:r>
                </w:p>
              </w:tc>
              <w:tc>
                <w:tcPr>
                  <w:tcW w:w="744" w:type="pct"/>
                  <w:vAlign w:val="center"/>
                </w:tcPr>
                <w:p w14:paraId="2CAD213A">
                  <w:pPr>
                    <w:pStyle w:val="47"/>
                    <w:adjustRightInd w:val="0"/>
                    <w:snapToGrid w:val="0"/>
                    <w:rPr>
                      <w:rFonts w:eastAsia="宋体"/>
                      <w:kern w:val="0"/>
                    </w:rPr>
                  </w:pPr>
                  <w:r>
                    <w:rPr>
                      <w:rFonts w:eastAsia="宋体"/>
                      <w:kern w:val="0"/>
                    </w:rPr>
                    <w:t>污泥</w:t>
                  </w:r>
                </w:p>
              </w:tc>
              <w:tc>
                <w:tcPr>
                  <w:tcW w:w="662" w:type="pct"/>
                  <w:vAlign w:val="center"/>
                </w:tcPr>
                <w:p w14:paraId="39000578">
                  <w:pPr>
                    <w:pStyle w:val="47"/>
                    <w:adjustRightInd w:val="0"/>
                    <w:snapToGrid w:val="0"/>
                    <w:rPr>
                      <w:rFonts w:eastAsia="宋体"/>
                    </w:rPr>
                  </w:pPr>
                  <w:r>
                    <w:rPr>
                      <w:rFonts w:eastAsia="宋体"/>
                    </w:rPr>
                    <w:t>废水处理</w:t>
                  </w:r>
                </w:p>
              </w:tc>
              <w:tc>
                <w:tcPr>
                  <w:tcW w:w="425" w:type="pct"/>
                  <w:vAlign w:val="center"/>
                </w:tcPr>
                <w:p w14:paraId="5DDD728C">
                  <w:pPr>
                    <w:adjustRightInd w:val="0"/>
                    <w:snapToGrid w:val="0"/>
                    <w:jc w:val="center"/>
                    <w:rPr>
                      <w:kern w:val="0"/>
                      <w:szCs w:val="21"/>
                    </w:rPr>
                  </w:pPr>
                  <w:r>
                    <w:rPr>
                      <w:kern w:val="0"/>
                      <w:szCs w:val="21"/>
                    </w:rPr>
                    <w:t>半固态</w:t>
                  </w:r>
                </w:p>
              </w:tc>
              <w:tc>
                <w:tcPr>
                  <w:tcW w:w="805" w:type="pct"/>
                  <w:vAlign w:val="center"/>
                </w:tcPr>
                <w:p w14:paraId="370F0670">
                  <w:pPr>
                    <w:pStyle w:val="47"/>
                    <w:adjustRightInd w:val="0"/>
                    <w:snapToGrid w:val="0"/>
                    <w:rPr>
                      <w:rFonts w:eastAsia="宋体"/>
                      <w:kern w:val="0"/>
                    </w:rPr>
                  </w:pPr>
                  <w:r>
                    <w:rPr>
                      <w:rFonts w:eastAsia="宋体"/>
                      <w:kern w:val="0"/>
                    </w:rPr>
                    <w:t>污泥</w:t>
                  </w:r>
                </w:p>
              </w:tc>
              <w:tc>
                <w:tcPr>
                  <w:tcW w:w="455" w:type="pct"/>
                  <w:vAlign w:val="center"/>
                </w:tcPr>
                <w:p w14:paraId="6E69FFEE">
                  <w:pPr>
                    <w:pStyle w:val="47"/>
                    <w:adjustRightInd w:val="0"/>
                    <w:snapToGrid w:val="0"/>
                    <w:rPr>
                      <w:rFonts w:eastAsia="宋体"/>
                      <w:kern w:val="0"/>
                    </w:rPr>
                  </w:pPr>
                  <w:r>
                    <w:rPr>
                      <w:rFonts w:hint="eastAsia" w:eastAsia="宋体"/>
                      <w:kern w:val="0"/>
                    </w:rPr>
                    <w:t>10.6</w:t>
                  </w:r>
                </w:p>
              </w:tc>
              <w:tc>
                <w:tcPr>
                  <w:tcW w:w="548" w:type="pct"/>
                  <w:vAlign w:val="center"/>
                </w:tcPr>
                <w:p w14:paraId="28EFD79D">
                  <w:pPr>
                    <w:pStyle w:val="47"/>
                    <w:adjustRightInd w:val="0"/>
                    <w:snapToGrid w:val="0"/>
                    <w:rPr>
                      <w:rFonts w:eastAsia="宋体"/>
                      <w:kern w:val="0"/>
                    </w:rPr>
                  </w:pPr>
                  <w:r>
                    <w:rPr>
                      <w:rFonts w:eastAsia="宋体"/>
                      <w:kern w:val="0"/>
                    </w:rPr>
                    <w:t>√</w:t>
                  </w:r>
                </w:p>
              </w:tc>
              <w:tc>
                <w:tcPr>
                  <w:tcW w:w="458" w:type="pct"/>
                  <w:vAlign w:val="center"/>
                </w:tcPr>
                <w:p w14:paraId="0001D2E8">
                  <w:pPr>
                    <w:pStyle w:val="47"/>
                    <w:adjustRightInd w:val="0"/>
                    <w:snapToGrid w:val="0"/>
                    <w:rPr>
                      <w:rFonts w:eastAsia="宋体"/>
                      <w:kern w:val="0"/>
                    </w:rPr>
                  </w:pPr>
                  <w:r>
                    <w:rPr>
                      <w:rFonts w:eastAsia="宋体"/>
                      <w:kern w:val="0"/>
                    </w:rPr>
                    <w:t>/</w:t>
                  </w:r>
                </w:p>
              </w:tc>
              <w:tc>
                <w:tcPr>
                  <w:tcW w:w="553" w:type="pct"/>
                  <w:vMerge w:val="continue"/>
                  <w:vAlign w:val="center"/>
                </w:tcPr>
                <w:p w14:paraId="55967026">
                  <w:pPr>
                    <w:pStyle w:val="47"/>
                    <w:adjustRightInd w:val="0"/>
                    <w:snapToGrid w:val="0"/>
                    <w:rPr>
                      <w:rFonts w:eastAsia="宋体"/>
                      <w:kern w:val="0"/>
                    </w:rPr>
                  </w:pPr>
                </w:p>
              </w:tc>
            </w:tr>
            <w:tr w14:paraId="42F9B8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557F10BD">
                  <w:pPr>
                    <w:pStyle w:val="47"/>
                    <w:adjustRightInd w:val="0"/>
                    <w:snapToGrid w:val="0"/>
                    <w:rPr>
                      <w:rFonts w:eastAsia="宋体"/>
                    </w:rPr>
                  </w:pPr>
                  <w:r>
                    <w:rPr>
                      <w:rFonts w:eastAsia="宋体"/>
                    </w:rPr>
                    <w:t>8</w:t>
                  </w:r>
                </w:p>
              </w:tc>
              <w:tc>
                <w:tcPr>
                  <w:tcW w:w="744" w:type="pct"/>
                  <w:vAlign w:val="center"/>
                </w:tcPr>
                <w:p w14:paraId="1C7CA6E5">
                  <w:pPr>
                    <w:pStyle w:val="47"/>
                    <w:adjustRightInd w:val="0"/>
                    <w:snapToGrid w:val="0"/>
                    <w:rPr>
                      <w:rFonts w:eastAsia="宋体"/>
                      <w:kern w:val="0"/>
                    </w:rPr>
                  </w:pPr>
                  <w:r>
                    <w:rPr>
                      <w:rFonts w:eastAsia="宋体"/>
                      <w:kern w:val="0"/>
                    </w:rPr>
                    <w:t>废包装桶</w:t>
                  </w:r>
                </w:p>
              </w:tc>
              <w:tc>
                <w:tcPr>
                  <w:tcW w:w="662" w:type="pct"/>
                  <w:vAlign w:val="center"/>
                </w:tcPr>
                <w:p w14:paraId="6A58BCBB">
                  <w:pPr>
                    <w:pStyle w:val="47"/>
                    <w:adjustRightInd w:val="0"/>
                    <w:snapToGrid w:val="0"/>
                    <w:rPr>
                      <w:rFonts w:eastAsia="宋体"/>
                    </w:rPr>
                  </w:pPr>
                  <w:r>
                    <w:rPr>
                      <w:rFonts w:eastAsia="宋体"/>
                    </w:rPr>
                    <w:t>原辅料贮存</w:t>
                  </w:r>
                </w:p>
              </w:tc>
              <w:tc>
                <w:tcPr>
                  <w:tcW w:w="425" w:type="pct"/>
                  <w:vAlign w:val="center"/>
                </w:tcPr>
                <w:p w14:paraId="6CAEA153">
                  <w:pPr>
                    <w:adjustRightInd w:val="0"/>
                    <w:snapToGrid w:val="0"/>
                    <w:jc w:val="center"/>
                    <w:rPr>
                      <w:kern w:val="0"/>
                      <w:szCs w:val="21"/>
                    </w:rPr>
                  </w:pPr>
                  <w:r>
                    <w:rPr>
                      <w:kern w:val="0"/>
                      <w:szCs w:val="21"/>
                    </w:rPr>
                    <w:t>固态</w:t>
                  </w:r>
                </w:p>
              </w:tc>
              <w:tc>
                <w:tcPr>
                  <w:tcW w:w="805" w:type="pct"/>
                  <w:vAlign w:val="center"/>
                </w:tcPr>
                <w:p w14:paraId="6457F779">
                  <w:pPr>
                    <w:pStyle w:val="47"/>
                    <w:adjustRightInd w:val="0"/>
                    <w:snapToGrid w:val="0"/>
                    <w:rPr>
                      <w:rFonts w:eastAsia="宋体"/>
                      <w:kern w:val="0"/>
                    </w:rPr>
                  </w:pPr>
                  <w:r>
                    <w:rPr>
                      <w:rFonts w:eastAsia="宋体"/>
                      <w:kern w:val="0"/>
                    </w:rPr>
                    <w:t>清洗剂、胶粘剂、切削液等</w:t>
                  </w:r>
                </w:p>
              </w:tc>
              <w:tc>
                <w:tcPr>
                  <w:tcW w:w="455" w:type="pct"/>
                  <w:vAlign w:val="center"/>
                </w:tcPr>
                <w:p w14:paraId="58120BD6">
                  <w:pPr>
                    <w:pStyle w:val="47"/>
                    <w:adjustRightInd w:val="0"/>
                    <w:snapToGrid w:val="0"/>
                    <w:rPr>
                      <w:rFonts w:eastAsia="宋体"/>
                      <w:kern w:val="0"/>
                    </w:rPr>
                  </w:pPr>
                  <w:r>
                    <w:rPr>
                      <w:rFonts w:hint="eastAsia" w:eastAsia="宋体"/>
                      <w:kern w:val="0"/>
                    </w:rPr>
                    <w:t>0.1</w:t>
                  </w:r>
                </w:p>
              </w:tc>
              <w:tc>
                <w:tcPr>
                  <w:tcW w:w="548" w:type="pct"/>
                  <w:vAlign w:val="center"/>
                </w:tcPr>
                <w:p w14:paraId="284911FD">
                  <w:pPr>
                    <w:pStyle w:val="47"/>
                    <w:adjustRightInd w:val="0"/>
                    <w:snapToGrid w:val="0"/>
                    <w:rPr>
                      <w:rFonts w:eastAsia="宋体"/>
                      <w:kern w:val="0"/>
                    </w:rPr>
                  </w:pPr>
                  <w:r>
                    <w:rPr>
                      <w:rFonts w:eastAsia="宋体"/>
                      <w:kern w:val="0"/>
                    </w:rPr>
                    <w:t>√</w:t>
                  </w:r>
                </w:p>
              </w:tc>
              <w:tc>
                <w:tcPr>
                  <w:tcW w:w="458" w:type="pct"/>
                  <w:vAlign w:val="center"/>
                </w:tcPr>
                <w:p w14:paraId="03869F8A">
                  <w:pPr>
                    <w:pStyle w:val="47"/>
                    <w:adjustRightInd w:val="0"/>
                    <w:snapToGrid w:val="0"/>
                    <w:rPr>
                      <w:rFonts w:eastAsia="宋体"/>
                      <w:kern w:val="0"/>
                    </w:rPr>
                  </w:pPr>
                  <w:r>
                    <w:rPr>
                      <w:rFonts w:eastAsia="宋体"/>
                      <w:kern w:val="0"/>
                    </w:rPr>
                    <w:t>/</w:t>
                  </w:r>
                </w:p>
              </w:tc>
              <w:tc>
                <w:tcPr>
                  <w:tcW w:w="553" w:type="pct"/>
                  <w:vMerge w:val="continue"/>
                  <w:vAlign w:val="center"/>
                </w:tcPr>
                <w:p w14:paraId="55B01763">
                  <w:pPr>
                    <w:pStyle w:val="47"/>
                    <w:adjustRightInd w:val="0"/>
                    <w:snapToGrid w:val="0"/>
                    <w:rPr>
                      <w:rFonts w:eastAsia="宋体"/>
                      <w:kern w:val="0"/>
                    </w:rPr>
                  </w:pPr>
                </w:p>
              </w:tc>
            </w:tr>
            <w:tr w14:paraId="7B8CE40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605143A4">
                  <w:pPr>
                    <w:pStyle w:val="47"/>
                    <w:adjustRightInd w:val="0"/>
                    <w:snapToGrid w:val="0"/>
                    <w:rPr>
                      <w:rFonts w:eastAsia="宋体"/>
                    </w:rPr>
                  </w:pPr>
                  <w:r>
                    <w:rPr>
                      <w:rFonts w:eastAsia="宋体"/>
                    </w:rPr>
                    <w:t>9</w:t>
                  </w:r>
                </w:p>
              </w:tc>
              <w:tc>
                <w:tcPr>
                  <w:tcW w:w="744" w:type="pct"/>
                  <w:vAlign w:val="center"/>
                </w:tcPr>
                <w:p w14:paraId="5303B4A1">
                  <w:pPr>
                    <w:pStyle w:val="47"/>
                    <w:adjustRightInd w:val="0"/>
                    <w:snapToGrid w:val="0"/>
                    <w:rPr>
                      <w:rFonts w:eastAsia="宋体"/>
                      <w:kern w:val="0"/>
                    </w:rPr>
                  </w:pPr>
                  <w:r>
                    <w:rPr>
                      <w:rFonts w:eastAsia="宋体"/>
                      <w:kern w:val="0"/>
                    </w:rPr>
                    <w:t>废胶黏剂</w:t>
                  </w:r>
                </w:p>
              </w:tc>
              <w:tc>
                <w:tcPr>
                  <w:tcW w:w="662" w:type="pct"/>
                  <w:vAlign w:val="center"/>
                </w:tcPr>
                <w:p w14:paraId="5AC31F36">
                  <w:pPr>
                    <w:pStyle w:val="47"/>
                    <w:adjustRightInd w:val="0"/>
                    <w:snapToGrid w:val="0"/>
                    <w:rPr>
                      <w:rFonts w:eastAsia="宋体"/>
                    </w:rPr>
                  </w:pPr>
                  <w:r>
                    <w:rPr>
                      <w:rFonts w:eastAsia="宋体"/>
                    </w:rPr>
                    <w:t>喷涂浸胶</w:t>
                  </w:r>
                </w:p>
              </w:tc>
              <w:tc>
                <w:tcPr>
                  <w:tcW w:w="425" w:type="pct"/>
                  <w:vAlign w:val="center"/>
                </w:tcPr>
                <w:p w14:paraId="404290D9">
                  <w:pPr>
                    <w:adjustRightInd w:val="0"/>
                    <w:snapToGrid w:val="0"/>
                    <w:jc w:val="center"/>
                    <w:rPr>
                      <w:kern w:val="0"/>
                      <w:szCs w:val="21"/>
                    </w:rPr>
                  </w:pPr>
                  <w:r>
                    <w:rPr>
                      <w:kern w:val="0"/>
                      <w:szCs w:val="21"/>
                    </w:rPr>
                    <w:t>液态</w:t>
                  </w:r>
                </w:p>
              </w:tc>
              <w:tc>
                <w:tcPr>
                  <w:tcW w:w="805" w:type="pct"/>
                  <w:vAlign w:val="center"/>
                </w:tcPr>
                <w:p w14:paraId="7C890724">
                  <w:pPr>
                    <w:pStyle w:val="47"/>
                    <w:adjustRightInd w:val="0"/>
                    <w:snapToGrid w:val="0"/>
                    <w:rPr>
                      <w:rFonts w:eastAsia="宋体"/>
                      <w:kern w:val="0"/>
                    </w:rPr>
                  </w:pPr>
                  <w:r>
                    <w:rPr>
                      <w:rFonts w:eastAsia="宋体"/>
                      <w:kern w:val="0"/>
                    </w:rPr>
                    <w:t>胶粘剂</w:t>
                  </w:r>
                </w:p>
              </w:tc>
              <w:tc>
                <w:tcPr>
                  <w:tcW w:w="455" w:type="pct"/>
                  <w:vAlign w:val="center"/>
                </w:tcPr>
                <w:p w14:paraId="00A002A4">
                  <w:pPr>
                    <w:pStyle w:val="47"/>
                    <w:adjustRightInd w:val="0"/>
                    <w:snapToGrid w:val="0"/>
                    <w:rPr>
                      <w:rFonts w:eastAsia="宋体"/>
                      <w:kern w:val="0"/>
                    </w:rPr>
                  </w:pPr>
                  <w:r>
                    <w:rPr>
                      <w:rFonts w:hint="eastAsia" w:eastAsia="宋体"/>
                      <w:kern w:val="0"/>
                    </w:rPr>
                    <w:t>0.2</w:t>
                  </w:r>
                </w:p>
              </w:tc>
              <w:tc>
                <w:tcPr>
                  <w:tcW w:w="548" w:type="pct"/>
                  <w:vAlign w:val="center"/>
                </w:tcPr>
                <w:p w14:paraId="4BCC6A24">
                  <w:pPr>
                    <w:pStyle w:val="47"/>
                    <w:adjustRightInd w:val="0"/>
                    <w:snapToGrid w:val="0"/>
                    <w:rPr>
                      <w:rFonts w:eastAsia="宋体"/>
                      <w:kern w:val="0"/>
                    </w:rPr>
                  </w:pPr>
                  <w:r>
                    <w:rPr>
                      <w:rFonts w:eastAsia="宋体"/>
                      <w:kern w:val="0"/>
                    </w:rPr>
                    <w:t>√</w:t>
                  </w:r>
                </w:p>
              </w:tc>
              <w:tc>
                <w:tcPr>
                  <w:tcW w:w="458" w:type="pct"/>
                  <w:vAlign w:val="center"/>
                </w:tcPr>
                <w:p w14:paraId="37578F57">
                  <w:pPr>
                    <w:pStyle w:val="47"/>
                    <w:adjustRightInd w:val="0"/>
                    <w:snapToGrid w:val="0"/>
                    <w:rPr>
                      <w:rFonts w:eastAsia="宋体"/>
                      <w:kern w:val="0"/>
                    </w:rPr>
                  </w:pPr>
                  <w:r>
                    <w:rPr>
                      <w:rFonts w:eastAsia="宋体"/>
                      <w:kern w:val="0"/>
                    </w:rPr>
                    <w:t>/</w:t>
                  </w:r>
                </w:p>
              </w:tc>
              <w:tc>
                <w:tcPr>
                  <w:tcW w:w="553" w:type="pct"/>
                  <w:vMerge w:val="continue"/>
                  <w:vAlign w:val="center"/>
                </w:tcPr>
                <w:p w14:paraId="54537945">
                  <w:pPr>
                    <w:pStyle w:val="47"/>
                    <w:adjustRightInd w:val="0"/>
                    <w:snapToGrid w:val="0"/>
                    <w:rPr>
                      <w:rFonts w:eastAsia="宋体"/>
                      <w:kern w:val="0"/>
                    </w:rPr>
                  </w:pPr>
                </w:p>
              </w:tc>
            </w:tr>
            <w:tr w14:paraId="6FDC0B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3BBAB9E5">
                  <w:pPr>
                    <w:pStyle w:val="47"/>
                    <w:adjustRightInd w:val="0"/>
                    <w:snapToGrid w:val="0"/>
                    <w:rPr>
                      <w:rFonts w:eastAsia="宋体"/>
                    </w:rPr>
                  </w:pPr>
                  <w:r>
                    <w:rPr>
                      <w:rFonts w:eastAsia="宋体"/>
                    </w:rPr>
                    <w:t>10</w:t>
                  </w:r>
                </w:p>
              </w:tc>
              <w:tc>
                <w:tcPr>
                  <w:tcW w:w="744" w:type="pct"/>
                  <w:vAlign w:val="center"/>
                </w:tcPr>
                <w:p w14:paraId="6DA29E81">
                  <w:pPr>
                    <w:pStyle w:val="47"/>
                    <w:adjustRightInd w:val="0"/>
                    <w:snapToGrid w:val="0"/>
                    <w:rPr>
                      <w:rFonts w:eastAsia="宋体"/>
                      <w:kern w:val="0"/>
                    </w:rPr>
                  </w:pPr>
                  <w:r>
                    <w:rPr>
                      <w:rFonts w:eastAsia="宋体"/>
                      <w:kern w:val="0"/>
                    </w:rPr>
                    <w:t>废切削液</w:t>
                  </w:r>
                </w:p>
              </w:tc>
              <w:tc>
                <w:tcPr>
                  <w:tcW w:w="662" w:type="pct"/>
                  <w:vAlign w:val="center"/>
                </w:tcPr>
                <w:p w14:paraId="3ABBCDBC">
                  <w:pPr>
                    <w:pStyle w:val="47"/>
                    <w:adjustRightInd w:val="0"/>
                    <w:snapToGrid w:val="0"/>
                    <w:rPr>
                      <w:rFonts w:eastAsia="宋体"/>
                    </w:rPr>
                  </w:pPr>
                  <w:r>
                    <w:rPr>
                      <w:rFonts w:eastAsia="宋体"/>
                    </w:rPr>
                    <w:t>模具检修、维护</w:t>
                  </w:r>
                </w:p>
              </w:tc>
              <w:tc>
                <w:tcPr>
                  <w:tcW w:w="425" w:type="pct"/>
                  <w:vAlign w:val="center"/>
                </w:tcPr>
                <w:p w14:paraId="22D9179C">
                  <w:pPr>
                    <w:adjustRightInd w:val="0"/>
                    <w:snapToGrid w:val="0"/>
                    <w:jc w:val="center"/>
                    <w:rPr>
                      <w:kern w:val="0"/>
                      <w:szCs w:val="21"/>
                    </w:rPr>
                  </w:pPr>
                  <w:r>
                    <w:rPr>
                      <w:kern w:val="0"/>
                      <w:szCs w:val="21"/>
                    </w:rPr>
                    <w:t>液态</w:t>
                  </w:r>
                </w:p>
              </w:tc>
              <w:tc>
                <w:tcPr>
                  <w:tcW w:w="805" w:type="pct"/>
                  <w:vAlign w:val="center"/>
                </w:tcPr>
                <w:p w14:paraId="5D58B65B">
                  <w:pPr>
                    <w:pStyle w:val="47"/>
                    <w:adjustRightInd w:val="0"/>
                    <w:snapToGrid w:val="0"/>
                    <w:rPr>
                      <w:rFonts w:eastAsia="宋体"/>
                      <w:kern w:val="0"/>
                    </w:rPr>
                  </w:pPr>
                  <w:r>
                    <w:rPr>
                      <w:rFonts w:eastAsia="宋体"/>
                      <w:kern w:val="0"/>
                    </w:rPr>
                    <w:t>切削液、水</w:t>
                  </w:r>
                </w:p>
              </w:tc>
              <w:tc>
                <w:tcPr>
                  <w:tcW w:w="455" w:type="pct"/>
                  <w:vAlign w:val="center"/>
                </w:tcPr>
                <w:p w14:paraId="6933E4A7">
                  <w:pPr>
                    <w:pStyle w:val="47"/>
                    <w:adjustRightInd w:val="0"/>
                    <w:snapToGrid w:val="0"/>
                    <w:rPr>
                      <w:rFonts w:eastAsia="宋体"/>
                      <w:kern w:val="0"/>
                    </w:rPr>
                  </w:pPr>
                  <w:r>
                    <w:rPr>
                      <w:rFonts w:eastAsia="宋体"/>
                      <w:kern w:val="0"/>
                    </w:rPr>
                    <w:t>1.4</w:t>
                  </w:r>
                </w:p>
              </w:tc>
              <w:tc>
                <w:tcPr>
                  <w:tcW w:w="548" w:type="pct"/>
                  <w:vAlign w:val="center"/>
                </w:tcPr>
                <w:p w14:paraId="7A6A97CC">
                  <w:pPr>
                    <w:pStyle w:val="47"/>
                    <w:adjustRightInd w:val="0"/>
                    <w:snapToGrid w:val="0"/>
                    <w:rPr>
                      <w:rFonts w:eastAsia="宋体"/>
                      <w:kern w:val="0"/>
                    </w:rPr>
                  </w:pPr>
                  <w:r>
                    <w:rPr>
                      <w:rFonts w:eastAsia="宋体"/>
                      <w:kern w:val="0"/>
                    </w:rPr>
                    <w:t>√</w:t>
                  </w:r>
                </w:p>
              </w:tc>
              <w:tc>
                <w:tcPr>
                  <w:tcW w:w="458" w:type="pct"/>
                  <w:vAlign w:val="center"/>
                </w:tcPr>
                <w:p w14:paraId="3B4CE142">
                  <w:pPr>
                    <w:pStyle w:val="47"/>
                    <w:adjustRightInd w:val="0"/>
                    <w:snapToGrid w:val="0"/>
                    <w:rPr>
                      <w:rFonts w:eastAsia="宋体"/>
                      <w:kern w:val="0"/>
                    </w:rPr>
                  </w:pPr>
                  <w:r>
                    <w:rPr>
                      <w:rFonts w:eastAsia="宋体"/>
                      <w:kern w:val="0"/>
                    </w:rPr>
                    <w:t>/</w:t>
                  </w:r>
                </w:p>
              </w:tc>
              <w:tc>
                <w:tcPr>
                  <w:tcW w:w="553" w:type="pct"/>
                  <w:vMerge w:val="continue"/>
                  <w:vAlign w:val="center"/>
                </w:tcPr>
                <w:p w14:paraId="6D9B753F">
                  <w:pPr>
                    <w:pStyle w:val="47"/>
                    <w:adjustRightInd w:val="0"/>
                    <w:snapToGrid w:val="0"/>
                    <w:rPr>
                      <w:rFonts w:eastAsia="宋体"/>
                      <w:kern w:val="0"/>
                    </w:rPr>
                  </w:pPr>
                </w:p>
              </w:tc>
            </w:tr>
            <w:tr w14:paraId="126F93E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349" w:type="pct"/>
                  <w:vAlign w:val="center"/>
                </w:tcPr>
                <w:p w14:paraId="28EA4D1D">
                  <w:pPr>
                    <w:pStyle w:val="47"/>
                    <w:adjustRightInd w:val="0"/>
                    <w:snapToGrid w:val="0"/>
                    <w:rPr>
                      <w:rFonts w:eastAsia="宋体"/>
                    </w:rPr>
                  </w:pPr>
                  <w:r>
                    <w:rPr>
                      <w:rFonts w:eastAsia="宋体"/>
                    </w:rPr>
                    <w:t>11</w:t>
                  </w:r>
                </w:p>
              </w:tc>
              <w:tc>
                <w:tcPr>
                  <w:tcW w:w="744" w:type="pct"/>
                  <w:vAlign w:val="center"/>
                </w:tcPr>
                <w:p w14:paraId="2575095F">
                  <w:pPr>
                    <w:pStyle w:val="47"/>
                    <w:adjustRightInd w:val="0"/>
                    <w:snapToGrid w:val="0"/>
                    <w:rPr>
                      <w:rFonts w:eastAsia="宋体"/>
                      <w:kern w:val="0"/>
                    </w:rPr>
                  </w:pPr>
                  <w:r>
                    <w:rPr>
                      <w:rFonts w:eastAsia="宋体"/>
                      <w:kern w:val="0"/>
                    </w:rPr>
                    <w:t>蒸发器残渣</w:t>
                  </w:r>
                </w:p>
              </w:tc>
              <w:tc>
                <w:tcPr>
                  <w:tcW w:w="662" w:type="pct"/>
                  <w:vAlign w:val="center"/>
                </w:tcPr>
                <w:p w14:paraId="59C6EEAC">
                  <w:pPr>
                    <w:pStyle w:val="47"/>
                    <w:adjustRightInd w:val="0"/>
                    <w:snapToGrid w:val="0"/>
                    <w:rPr>
                      <w:rFonts w:eastAsia="宋体"/>
                    </w:rPr>
                  </w:pPr>
                  <w:r>
                    <w:rPr>
                      <w:rFonts w:eastAsia="宋体"/>
                    </w:rPr>
                    <w:t>废水处理</w:t>
                  </w:r>
                </w:p>
              </w:tc>
              <w:tc>
                <w:tcPr>
                  <w:tcW w:w="425" w:type="pct"/>
                  <w:vAlign w:val="center"/>
                </w:tcPr>
                <w:p w14:paraId="269202BE">
                  <w:pPr>
                    <w:adjustRightInd w:val="0"/>
                    <w:snapToGrid w:val="0"/>
                    <w:jc w:val="center"/>
                    <w:rPr>
                      <w:kern w:val="0"/>
                      <w:szCs w:val="21"/>
                    </w:rPr>
                  </w:pPr>
                  <w:r>
                    <w:rPr>
                      <w:kern w:val="0"/>
                      <w:szCs w:val="21"/>
                    </w:rPr>
                    <w:t>半固态</w:t>
                  </w:r>
                </w:p>
              </w:tc>
              <w:tc>
                <w:tcPr>
                  <w:tcW w:w="805" w:type="pct"/>
                  <w:vAlign w:val="center"/>
                </w:tcPr>
                <w:p w14:paraId="1DB9CA94">
                  <w:pPr>
                    <w:pStyle w:val="47"/>
                    <w:adjustRightInd w:val="0"/>
                    <w:snapToGrid w:val="0"/>
                    <w:rPr>
                      <w:rFonts w:eastAsia="宋体"/>
                      <w:kern w:val="0"/>
                    </w:rPr>
                  </w:pPr>
                  <w:r>
                    <w:rPr>
                      <w:rFonts w:hint="eastAsia" w:eastAsia="宋体"/>
                      <w:kern w:val="0"/>
                      <w:lang w:val="en-US" w:eastAsia="zh-CN"/>
                    </w:rPr>
                    <w:t>有机物</w:t>
                  </w:r>
                  <w:r>
                    <w:rPr>
                      <w:rFonts w:eastAsia="宋体"/>
                      <w:kern w:val="0"/>
                    </w:rPr>
                    <w:t>等</w:t>
                  </w:r>
                </w:p>
              </w:tc>
              <w:tc>
                <w:tcPr>
                  <w:tcW w:w="455" w:type="pct"/>
                  <w:vAlign w:val="center"/>
                </w:tcPr>
                <w:p w14:paraId="21D1B810">
                  <w:pPr>
                    <w:pStyle w:val="47"/>
                    <w:adjustRightInd w:val="0"/>
                    <w:snapToGrid w:val="0"/>
                    <w:rPr>
                      <w:rFonts w:eastAsia="宋体"/>
                      <w:kern w:val="0"/>
                    </w:rPr>
                  </w:pPr>
                  <w:r>
                    <w:rPr>
                      <w:rFonts w:hint="eastAsia" w:eastAsia="宋体"/>
                      <w:kern w:val="0"/>
                    </w:rPr>
                    <w:t>9.1</w:t>
                  </w:r>
                </w:p>
              </w:tc>
              <w:tc>
                <w:tcPr>
                  <w:tcW w:w="548" w:type="pct"/>
                  <w:vAlign w:val="center"/>
                </w:tcPr>
                <w:p w14:paraId="7602C0EB">
                  <w:pPr>
                    <w:pStyle w:val="47"/>
                    <w:adjustRightInd w:val="0"/>
                    <w:snapToGrid w:val="0"/>
                    <w:rPr>
                      <w:rFonts w:eastAsia="宋体"/>
                      <w:kern w:val="0"/>
                    </w:rPr>
                  </w:pPr>
                  <w:r>
                    <w:rPr>
                      <w:rFonts w:eastAsia="宋体"/>
                      <w:kern w:val="0"/>
                    </w:rPr>
                    <w:t>√</w:t>
                  </w:r>
                </w:p>
              </w:tc>
              <w:tc>
                <w:tcPr>
                  <w:tcW w:w="458" w:type="pct"/>
                  <w:vAlign w:val="center"/>
                </w:tcPr>
                <w:p w14:paraId="31EAA4A4">
                  <w:pPr>
                    <w:pStyle w:val="47"/>
                    <w:adjustRightInd w:val="0"/>
                    <w:snapToGrid w:val="0"/>
                    <w:rPr>
                      <w:rFonts w:eastAsia="宋体"/>
                      <w:kern w:val="0"/>
                    </w:rPr>
                  </w:pPr>
                  <w:r>
                    <w:rPr>
                      <w:rFonts w:eastAsia="宋体"/>
                      <w:kern w:val="0"/>
                    </w:rPr>
                    <w:t>/</w:t>
                  </w:r>
                </w:p>
              </w:tc>
              <w:tc>
                <w:tcPr>
                  <w:tcW w:w="553" w:type="pct"/>
                  <w:vMerge w:val="continue"/>
                  <w:vAlign w:val="center"/>
                </w:tcPr>
                <w:p w14:paraId="14830E87">
                  <w:pPr>
                    <w:pStyle w:val="47"/>
                    <w:adjustRightInd w:val="0"/>
                    <w:snapToGrid w:val="0"/>
                    <w:rPr>
                      <w:rFonts w:eastAsia="宋体"/>
                      <w:kern w:val="0"/>
                    </w:rPr>
                  </w:pPr>
                </w:p>
              </w:tc>
            </w:tr>
          </w:tbl>
          <w:p w14:paraId="4CD56D33">
            <w:pPr>
              <w:pStyle w:val="64"/>
              <w:adjustRightInd w:val="0"/>
              <w:snapToGrid w:val="0"/>
              <w:spacing w:beforeLines="50" w:line="360" w:lineRule="auto"/>
              <w:ind w:firstLine="422"/>
              <w:jc w:val="both"/>
              <w:rPr>
                <w:rFonts w:eastAsia="宋体"/>
                <w:b/>
                <w:bCs/>
                <w:sz w:val="21"/>
                <w:szCs w:val="21"/>
              </w:rPr>
            </w:pPr>
            <w:r>
              <w:rPr>
                <w:rFonts w:eastAsia="宋体"/>
                <w:b/>
                <w:bCs/>
                <w:sz w:val="21"/>
                <w:szCs w:val="21"/>
              </w:rPr>
              <w:t>②固废属性判定</w:t>
            </w:r>
          </w:p>
          <w:p w14:paraId="3C159732">
            <w:pPr>
              <w:adjustRightInd w:val="0"/>
              <w:snapToGrid w:val="0"/>
              <w:spacing w:line="360" w:lineRule="auto"/>
              <w:ind w:firstLine="420" w:firstLineChars="200"/>
              <w:rPr>
                <w:szCs w:val="21"/>
              </w:rPr>
            </w:pPr>
            <w:r>
              <w:rPr>
                <w:szCs w:val="21"/>
              </w:rPr>
              <w:t>根据《国家危险废物名录》（2025年版）及《危险废物鉴别标准 通则》（GB5058.7-2019），判定扩建项目产生的固体废物是否属于危险废物。扩建项目固体废物产生源强汇总见表4-27。</w:t>
            </w:r>
          </w:p>
          <w:p w14:paraId="573955B8">
            <w:pPr>
              <w:pStyle w:val="46"/>
              <w:spacing w:beforeLines="0" w:afterLines="0"/>
              <w:rPr>
                <w:rFonts w:eastAsia="宋体"/>
                <w:snapToGrid w:val="0"/>
                <w:sz w:val="21"/>
                <w:szCs w:val="21"/>
              </w:rPr>
            </w:pPr>
          </w:p>
          <w:p w14:paraId="7B49918E">
            <w:pPr>
              <w:pStyle w:val="46"/>
              <w:spacing w:beforeLines="0" w:afterLines="0"/>
              <w:rPr>
                <w:rFonts w:eastAsia="宋体"/>
                <w:snapToGrid w:val="0"/>
                <w:sz w:val="21"/>
                <w:szCs w:val="21"/>
              </w:rPr>
            </w:pPr>
            <w:r>
              <w:rPr>
                <w:rFonts w:eastAsia="宋体"/>
                <w:snapToGrid w:val="0"/>
                <w:sz w:val="21"/>
                <w:szCs w:val="21"/>
              </w:rPr>
              <w:t>表4-27  项目固体废物产生源强汇总表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5"/>
              <w:gridCol w:w="1366"/>
              <w:gridCol w:w="465"/>
              <w:gridCol w:w="1114"/>
              <w:gridCol w:w="643"/>
              <w:gridCol w:w="1078"/>
              <w:gridCol w:w="755"/>
              <w:gridCol w:w="624"/>
              <w:gridCol w:w="1160"/>
              <w:gridCol w:w="755"/>
            </w:tblGrid>
            <w:tr w14:paraId="678A4B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2C719451">
                  <w:pPr>
                    <w:pStyle w:val="62"/>
                    <w:adjustRightInd w:val="0"/>
                    <w:snapToGrid w:val="0"/>
                    <w:rPr>
                      <w:rFonts w:eastAsia="宋体"/>
                    </w:rPr>
                  </w:pPr>
                  <w:r>
                    <w:rPr>
                      <w:rFonts w:eastAsia="宋体"/>
                    </w:rPr>
                    <w:t>序号</w:t>
                  </w:r>
                </w:p>
              </w:tc>
              <w:tc>
                <w:tcPr>
                  <w:tcW w:w="799" w:type="pct"/>
                  <w:vAlign w:val="center"/>
                </w:tcPr>
                <w:p w14:paraId="19747A4F">
                  <w:pPr>
                    <w:pStyle w:val="62"/>
                    <w:adjustRightInd w:val="0"/>
                    <w:snapToGrid w:val="0"/>
                    <w:rPr>
                      <w:rFonts w:eastAsia="宋体"/>
                    </w:rPr>
                  </w:pPr>
                  <w:r>
                    <w:rPr>
                      <w:rFonts w:eastAsia="宋体"/>
                    </w:rPr>
                    <w:t>固废名称</w:t>
                  </w:r>
                </w:p>
              </w:tc>
              <w:tc>
                <w:tcPr>
                  <w:tcW w:w="272" w:type="pct"/>
                  <w:vAlign w:val="center"/>
                </w:tcPr>
                <w:p w14:paraId="5709ED19">
                  <w:pPr>
                    <w:pStyle w:val="62"/>
                    <w:adjustRightInd w:val="0"/>
                    <w:snapToGrid w:val="0"/>
                    <w:rPr>
                      <w:rFonts w:eastAsia="宋体"/>
                    </w:rPr>
                  </w:pPr>
                  <w:r>
                    <w:rPr>
                      <w:rFonts w:eastAsia="宋体"/>
                    </w:rPr>
                    <w:t>属性</w:t>
                  </w:r>
                </w:p>
              </w:tc>
              <w:tc>
                <w:tcPr>
                  <w:tcW w:w="652" w:type="pct"/>
                  <w:vAlign w:val="center"/>
                </w:tcPr>
                <w:p w14:paraId="3D7D59E8">
                  <w:pPr>
                    <w:pStyle w:val="62"/>
                    <w:adjustRightInd w:val="0"/>
                    <w:snapToGrid w:val="0"/>
                    <w:rPr>
                      <w:rFonts w:eastAsia="宋体"/>
                    </w:rPr>
                  </w:pPr>
                  <w:r>
                    <w:rPr>
                      <w:rFonts w:eastAsia="宋体"/>
                    </w:rPr>
                    <w:t>产生工序</w:t>
                  </w:r>
                </w:p>
              </w:tc>
              <w:tc>
                <w:tcPr>
                  <w:tcW w:w="376" w:type="pct"/>
                  <w:vAlign w:val="center"/>
                </w:tcPr>
                <w:p w14:paraId="0A9FAD10">
                  <w:pPr>
                    <w:pStyle w:val="62"/>
                    <w:adjustRightInd w:val="0"/>
                    <w:snapToGrid w:val="0"/>
                    <w:rPr>
                      <w:rFonts w:eastAsia="宋体"/>
                    </w:rPr>
                  </w:pPr>
                  <w:r>
                    <w:rPr>
                      <w:rFonts w:eastAsia="宋体"/>
                    </w:rPr>
                    <w:t>形态</w:t>
                  </w:r>
                </w:p>
              </w:tc>
              <w:tc>
                <w:tcPr>
                  <w:tcW w:w="631" w:type="pct"/>
                  <w:vAlign w:val="center"/>
                </w:tcPr>
                <w:p w14:paraId="4F122423">
                  <w:pPr>
                    <w:pStyle w:val="62"/>
                    <w:adjustRightInd w:val="0"/>
                    <w:snapToGrid w:val="0"/>
                    <w:rPr>
                      <w:rFonts w:eastAsia="宋体"/>
                    </w:rPr>
                  </w:pPr>
                  <w:r>
                    <w:rPr>
                      <w:rFonts w:eastAsia="宋体"/>
                    </w:rPr>
                    <w:t>主要成分</w:t>
                  </w:r>
                </w:p>
              </w:tc>
              <w:tc>
                <w:tcPr>
                  <w:tcW w:w="442" w:type="pct"/>
                  <w:vAlign w:val="center"/>
                </w:tcPr>
                <w:p w14:paraId="2021F2BD">
                  <w:pPr>
                    <w:pStyle w:val="62"/>
                    <w:adjustRightInd w:val="0"/>
                    <w:snapToGrid w:val="0"/>
                    <w:rPr>
                      <w:rFonts w:eastAsia="宋体"/>
                    </w:rPr>
                  </w:pPr>
                  <w:r>
                    <w:rPr>
                      <w:rFonts w:eastAsia="宋体"/>
                    </w:rPr>
                    <w:t>危险特性</w:t>
                  </w:r>
                </w:p>
              </w:tc>
              <w:tc>
                <w:tcPr>
                  <w:tcW w:w="365" w:type="pct"/>
                  <w:vAlign w:val="center"/>
                </w:tcPr>
                <w:p w14:paraId="3447F66A">
                  <w:pPr>
                    <w:pStyle w:val="62"/>
                    <w:adjustRightInd w:val="0"/>
                    <w:snapToGrid w:val="0"/>
                    <w:rPr>
                      <w:rFonts w:eastAsia="宋体"/>
                    </w:rPr>
                  </w:pPr>
                  <w:r>
                    <w:rPr>
                      <w:rFonts w:eastAsia="宋体"/>
                    </w:rPr>
                    <w:t>废物类别</w:t>
                  </w:r>
                </w:p>
              </w:tc>
              <w:tc>
                <w:tcPr>
                  <w:tcW w:w="679" w:type="pct"/>
                  <w:vAlign w:val="center"/>
                </w:tcPr>
                <w:p w14:paraId="73AF086C">
                  <w:pPr>
                    <w:pStyle w:val="62"/>
                    <w:adjustRightInd w:val="0"/>
                    <w:snapToGrid w:val="0"/>
                    <w:rPr>
                      <w:rFonts w:eastAsia="宋体"/>
                    </w:rPr>
                  </w:pPr>
                  <w:r>
                    <w:rPr>
                      <w:rFonts w:eastAsia="宋体"/>
                    </w:rPr>
                    <w:t>废物代码</w:t>
                  </w:r>
                </w:p>
              </w:tc>
              <w:tc>
                <w:tcPr>
                  <w:tcW w:w="442" w:type="pct"/>
                  <w:vAlign w:val="center"/>
                </w:tcPr>
                <w:p w14:paraId="29FF6B0D">
                  <w:pPr>
                    <w:pStyle w:val="62"/>
                    <w:adjustRightInd w:val="0"/>
                    <w:snapToGrid w:val="0"/>
                    <w:rPr>
                      <w:rFonts w:eastAsia="宋体"/>
                    </w:rPr>
                  </w:pPr>
                  <w:r>
                    <w:rPr>
                      <w:rFonts w:eastAsia="宋体"/>
                    </w:rPr>
                    <w:t>产生量（t/a）</w:t>
                  </w:r>
                </w:p>
              </w:tc>
            </w:tr>
            <w:tr w14:paraId="5463B8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515CBBF3">
                  <w:pPr>
                    <w:pStyle w:val="47"/>
                    <w:adjustRightInd w:val="0"/>
                    <w:snapToGrid w:val="0"/>
                    <w:rPr>
                      <w:rFonts w:eastAsia="宋体"/>
                    </w:rPr>
                  </w:pPr>
                  <w:r>
                    <w:rPr>
                      <w:rFonts w:eastAsia="宋体"/>
                    </w:rPr>
                    <w:t>1</w:t>
                  </w:r>
                </w:p>
              </w:tc>
              <w:tc>
                <w:tcPr>
                  <w:tcW w:w="799" w:type="pct"/>
                  <w:vAlign w:val="center"/>
                </w:tcPr>
                <w:p w14:paraId="2038E682">
                  <w:pPr>
                    <w:pStyle w:val="62"/>
                    <w:adjustRightInd w:val="0"/>
                    <w:snapToGrid w:val="0"/>
                    <w:rPr>
                      <w:rFonts w:eastAsia="宋体"/>
                      <w:b w:val="0"/>
                      <w:bCs/>
                    </w:rPr>
                  </w:pPr>
                  <w:r>
                    <w:rPr>
                      <w:rFonts w:eastAsia="宋体"/>
                      <w:b w:val="0"/>
                      <w:bCs/>
                    </w:rPr>
                    <w:t>生活垃圾</w:t>
                  </w:r>
                </w:p>
              </w:tc>
              <w:tc>
                <w:tcPr>
                  <w:tcW w:w="272" w:type="pct"/>
                  <w:vAlign w:val="center"/>
                </w:tcPr>
                <w:p w14:paraId="5977577F">
                  <w:pPr>
                    <w:pStyle w:val="62"/>
                    <w:adjustRightInd w:val="0"/>
                    <w:snapToGrid w:val="0"/>
                    <w:rPr>
                      <w:rFonts w:eastAsia="宋体"/>
                      <w:b w:val="0"/>
                      <w:bCs/>
                    </w:rPr>
                  </w:pPr>
                  <w:r>
                    <w:rPr>
                      <w:rFonts w:eastAsia="宋体"/>
                      <w:b w:val="0"/>
                      <w:bCs/>
                    </w:rPr>
                    <w:t>--</w:t>
                  </w:r>
                </w:p>
              </w:tc>
              <w:tc>
                <w:tcPr>
                  <w:tcW w:w="652" w:type="pct"/>
                  <w:vAlign w:val="center"/>
                </w:tcPr>
                <w:p w14:paraId="6C73F440">
                  <w:pPr>
                    <w:pStyle w:val="62"/>
                    <w:adjustRightInd w:val="0"/>
                    <w:snapToGrid w:val="0"/>
                    <w:rPr>
                      <w:rFonts w:eastAsia="宋体"/>
                      <w:b w:val="0"/>
                      <w:bCs/>
                    </w:rPr>
                  </w:pPr>
                  <w:r>
                    <w:rPr>
                      <w:rFonts w:eastAsia="宋体"/>
                      <w:b w:val="0"/>
                      <w:bCs/>
                    </w:rPr>
                    <w:t>员工生活</w:t>
                  </w:r>
                </w:p>
              </w:tc>
              <w:tc>
                <w:tcPr>
                  <w:tcW w:w="376" w:type="pct"/>
                  <w:vAlign w:val="center"/>
                </w:tcPr>
                <w:p w14:paraId="1A2841EB">
                  <w:pPr>
                    <w:pStyle w:val="62"/>
                    <w:adjustRightInd w:val="0"/>
                    <w:snapToGrid w:val="0"/>
                    <w:rPr>
                      <w:rFonts w:eastAsia="宋体"/>
                      <w:b w:val="0"/>
                      <w:bCs/>
                    </w:rPr>
                  </w:pPr>
                  <w:r>
                    <w:rPr>
                      <w:rFonts w:eastAsia="宋体"/>
                      <w:b w:val="0"/>
                      <w:bCs/>
                    </w:rPr>
                    <w:t>固态</w:t>
                  </w:r>
                </w:p>
              </w:tc>
              <w:tc>
                <w:tcPr>
                  <w:tcW w:w="631" w:type="pct"/>
                  <w:vAlign w:val="center"/>
                </w:tcPr>
                <w:p w14:paraId="402FC1CC">
                  <w:pPr>
                    <w:pStyle w:val="62"/>
                    <w:adjustRightInd w:val="0"/>
                    <w:snapToGrid w:val="0"/>
                    <w:rPr>
                      <w:rFonts w:eastAsia="宋体"/>
                      <w:b w:val="0"/>
                      <w:bCs/>
                    </w:rPr>
                  </w:pPr>
                  <w:r>
                    <w:rPr>
                      <w:rFonts w:eastAsia="宋体"/>
                      <w:b w:val="0"/>
                      <w:bCs/>
                    </w:rPr>
                    <w:t>纸屑等</w:t>
                  </w:r>
                </w:p>
              </w:tc>
              <w:tc>
                <w:tcPr>
                  <w:tcW w:w="442" w:type="pct"/>
                  <w:vAlign w:val="center"/>
                </w:tcPr>
                <w:p w14:paraId="1F29C0D2">
                  <w:pPr>
                    <w:pStyle w:val="62"/>
                    <w:adjustRightInd w:val="0"/>
                    <w:snapToGrid w:val="0"/>
                    <w:rPr>
                      <w:rFonts w:eastAsia="宋体"/>
                      <w:b w:val="0"/>
                      <w:bCs/>
                    </w:rPr>
                  </w:pPr>
                  <w:r>
                    <w:rPr>
                      <w:rFonts w:eastAsia="宋体"/>
                      <w:b w:val="0"/>
                      <w:bCs/>
                    </w:rPr>
                    <w:t>--</w:t>
                  </w:r>
                </w:p>
              </w:tc>
              <w:tc>
                <w:tcPr>
                  <w:tcW w:w="365" w:type="pct"/>
                  <w:vAlign w:val="center"/>
                </w:tcPr>
                <w:p w14:paraId="754E550F">
                  <w:pPr>
                    <w:pStyle w:val="62"/>
                    <w:adjustRightInd w:val="0"/>
                    <w:snapToGrid w:val="0"/>
                    <w:rPr>
                      <w:rFonts w:eastAsia="宋体"/>
                      <w:b w:val="0"/>
                      <w:bCs/>
                    </w:rPr>
                  </w:pPr>
                  <w:r>
                    <w:rPr>
                      <w:rFonts w:eastAsia="宋体"/>
                      <w:b w:val="0"/>
                      <w:bCs/>
                    </w:rPr>
                    <w:t>SW64</w:t>
                  </w:r>
                </w:p>
              </w:tc>
              <w:tc>
                <w:tcPr>
                  <w:tcW w:w="679" w:type="pct"/>
                  <w:vAlign w:val="center"/>
                </w:tcPr>
                <w:p w14:paraId="5AD72E1D">
                  <w:pPr>
                    <w:pStyle w:val="62"/>
                    <w:adjustRightInd w:val="0"/>
                    <w:snapToGrid w:val="0"/>
                    <w:rPr>
                      <w:rFonts w:eastAsia="宋体"/>
                      <w:b w:val="0"/>
                      <w:bCs/>
                    </w:rPr>
                  </w:pPr>
                  <w:r>
                    <w:rPr>
                      <w:rFonts w:eastAsia="宋体"/>
                      <w:b w:val="0"/>
                      <w:bCs/>
                    </w:rPr>
                    <w:t>900-099-S64</w:t>
                  </w:r>
                </w:p>
              </w:tc>
              <w:tc>
                <w:tcPr>
                  <w:tcW w:w="442" w:type="pct"/>
                  <w:vAlign w:val="center"/>
                </w:tcPr>
                <w:p w14:paraId="2E0601A3">
                  <w:pPr>
                    <w:pStyle w:val="62"/>
                    <w:adjustRightInd w:val="0"/>
                    <w:snapToGrid w:val="0"/>
                    <w:rPr>
                      <w:rFonts w:eastAsia="宋体"/>
                      <w:b w:val="0"/>
                      <w:bCs/>
                    </w:rPr>
                  </w:pPr>
                  <w:r>
                    <w:rPr>
                      <w:rFonts w:hint="eastAsia" w:eastAsia="宋体"/>
                      <w:b w:val="0"/>
                      <w:bCs/>
                    </w:rPr>
                    <w:t>15</w:t>
                  </w:r>
                </w:p>
              </w:tc>
            </w:tr>
            <w:tr w14:paraId="1673FB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5DC9E90E">
                  <w:pPr>
                    <w:pStyle w:val="47"/>
                    <w:adjustRightInd w:val="0"/>
                    <w:snapToGrid w:val="0"/>
                    <w:rPr>
                      <w:rFonts w:eastAsia="宋体"/>
                    </w:rPr>
                  </w:pPr>
                  <w:r>
                    <w:rPr>
                      <w:rFonts w:eastAsia="宋体"/>
                    </w:rPr>
                    <w:t>2</w:t>
                  </w:r>
                </w:p>
              </w:tc>
              <w:tc>
                <w:tcPr>
                  <w:tcW w:w="799" w:type="pct"/>
                  <w:vAlign w:val="center"/>
                </w:tcPr>
                <w:p w14:paraId="30D2A9A9">
                  <w:pPr>
                    <w:pStyle w:val="47"/>
                    <w:adjustRightInd w:val="0"/>
                    <w:snapToGrid w:val="0"/>
                    <w:rPr>
                      <w:rFonts w:eastAsia="宋体"/>
                      <w:kern w:val="0"/>
                    </w:rPr>
                  </w:pPr>
                  <w:r>
                    <w:rPr>
                      <w:rFonts w:hint="eastAsia" w:eastAsia="宋体"/>
                      <w:kern w:val="0"/>
                    </w:rPr>
                    <w:t>废胶料</w:t>
                  </w:r>
                </w:p>
              </w:tc>
              <w:tc>
                <w:tcPr>
                  <w:tcW w:w="272" w:type="pct"/>
                  <w:vMerge w:val="restart"/>
                  <w:vAlign w:val="center"/>
                </w:tcPr>
                <w:p w14:paraId="311C96FA">
                  <w:pPr>
                    <w:pStyle w:val="47"/>
                    <w:adjustRightInd w:val="0"/>
                    <w:snapToGrid w:val="0"/>
                    <w:rPr>
                      <w:rFonts w:eastAsia="宋体"/>
                      <w:kern w:val="0"/>
                    </w:rPr>
                  </w:pPr>
                  <w:r>
                    <w:rPr>
                      <w:rFonts w:eastAsia="宋体"/>
                      <w:kern w:val="0"/>
                    </w:rPr>
                    <w:t>一般固废</w:t>
                  </w:r>
                </w:p>
              </w:tc>
              <w:tc>
                <w:tcPr>
                  <w:tcW w:w="652" w:type="pct"/>
                  <w:vAlign w:val="center"/>
                </w:tcPr>
                <w:p w14:paraId="766EEB97">
                  <w:pPr>
                    <w:pStyle w:val="47"/>
                    <w:adjustRightInd w:val="0"/>
                    <w:snapToGrid w:val="0"/>
                    <w:rPr>
                      <w:rFonts w:eastAsia="宋体"/>
                    </w:rPr>
                  </w:pPr>
                  <w:r>
                    <w:rPr>
                      <w:rFonts w:eastAsia="宋体"/>
                    </w:rPr>
                    <w:t>挤出</w:t>
                  </w:r>
                </w:p>
              </w:tc>
              <w:tc>
                <w:tcPr>
                  <w:tcW w:w="376" w:type="pct"/>
                  <w:vAlign w:val="center"/>
                </w:tcPr>
                <w:p w14:paraId="76837AE7">
                  <w:pPr>
                    <w:pStyle w:val="47"/>
                    <w:adjustRightInd w:val="0"/>
                    <w:snapToGrid w:val="0"/>
                    <w:rPr>
                      <w:rFonts w:eastAsia="宋体"/>
                      <w:kern w:val="0"/>
                    </w:rPr>
                  </w:pPr>
                  <w:r>
                    <w:rPr>
                      <w:rFonts w:eastAsia="宋体"/>
                      <w:kern w:val="0"/>
                    </w:rPr>
                    <w:t>固态</w:t>
                  </w:r>
                </w:p>
              </w:tc>
              <w:tc>
                <w:tcPr>
                  <w:tcW w:w="631" w:type="pct"/>
                  <w:vAlign w:val="center"/>
                </w:tcPr>
                <w:p w14:paraId="5E17B03C">
                  <w:pPr>
                    <w:pStyle w:val="47"/>
                    <w:adjustRightInd w:val="0"/>
                    <w:snapToGrid w:val="0"/>
                    <w:rPr>
                      <w:rFonts w:eastAsia="宋体"/>
                      <w:kern w:val="0"/>
                    </w:rPr>
                  </w:pPr>
                  <w:r>
                    <w:rPr>
                      <w:rFonts w:eastAsia="宋体"/>
                      <w:kern w:val="0"/>
                    </w:rPr>
                    <w:t>各类橡胶</w:t>
                  </w:r>
                </w:p>
              </w:tc>
              <w:tc>
                <w:tcPr>
                  <w:tcW w:w="442" w:type="pct"/>
                  <w:vAlign w:val="center"/>
                </w:tcPr>
                <w:p w14:paraId="588869D9">
                  <w:pPr>
                    <w:adjustRightInd w:val="0"/>
                    <w:snapToGrid w:val="0"/>
                    <w:jc w:val="center"/>
                    <w:rPr>
                      <w:kern w:val="0"/>
                      <w:szCs w:val="21"/>
                    </w:rPr>
                  </w:pPr>
                  <w:r>
                    <w:rPr>
                      <w:kern w:val="0"/>
                      <w:szCs w:val="21"/>
                    </w:rPr>
                    <w:t>--</w:t>
                  </w:r>
                </w:p>
              </w:tc>
              <w:tc>
                <w:tcPr>
                  <w:tcW w:w="365" w:type="pct"/>
                  <w:vAlign w:val="center"/>
                </w:tcPr>
                <w:p w14:paraId="326127A7">
                  <w:pPr>
                    <w:adjustRightInd w:val="0"/>
                    <w:snapToGrid w:val="0"/>
                    <w:jc w:val="center"/>
                    <w:rPr>
                      <w:kern w:val="0"/>
                      <w:szCs w:val="21"/>
                    </w:rPr>
                  </w:pPr>
                  <w:r>
                    <w:rPr>
                      <w:kern w:val="0"/>
                      <w:szCs w:val="21"/>
                    </w:rPr>
                    <w:t>SW17</w:t>
                  </w:r>
                </w:p>
              </w:tc>
              <w:tc>
                <w:tcPr>
                  <w:tcW w:w="679" w:type="pct"/>
                  <w:vAlign w:val="center"/>
                </w:tcPr>
                <w:p w14:paraId="54D26147">
                  <w:pPr>
                    <w:adjustRightInd w:val="0"/>
                    <w:snapToGrid w:val="0"/>
                    <w:jc w:val="center"/>
                    <w:rPr>
                      <w:kern w:val="0"/>
                      <w:szCs w:val="21"/>
                    </w:rPr>
                  </w:pPr>
                  <w:r>
                    <w:rPr>
                      <w:kern w:val="0"/>
                      <w:szCs w:val="21"/>
                    </w:rPr>
                    <w:t>900-006-S17</w:t>
                  </w:r>
                </w:p>
              </w:tc>
              <w:tc>
                <w:tcPr>
                  <w:tcW w:w="442" w:type="pct"/>
                  <w:vAlign w:val="center"/>
                </w:tcPr>
                <w:p w14:paraId="5DF4EE33">
                  <w:pPr>
                    <w:pStyle w:val="47"/>
                    <w:adjustRightInd w:val="0"/>
                    <w:snapToGrid w:val="0"/>
                    <w:rPr>
                      <w:rFonts w:eastAsia="宋体"/>
                      <w:kern w:val="0"/>
                    </w:rPr>
                  </w:pPr>
                  <w:r>
                    <w:rPr>
                      <w:rFonts w:hint="eastAsia" w:eastAsia="宋体"/>
                      <w:kern w:val="0"/>
                    </w:rPr>
                    <w:t>2.3</w:t>
                  </w:r>
                </w:p>
              </w:tc>
            </w:tr>
            <w:tr w14:paraId="1B8EFA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2D512FA2">
                  <w:pPr>
                    <w:pStyle w:val="47"/>
                    <w:adjustRightInd w:val="0"/>
                    <w:snapToGrid w:val="0"/>
                    <w:rPr>
                      <w:rFonts w:eastAsia="宋体"/>
                    </w:rPr>
                  </w:pPr>
                  <w:r>
                    <w:rPr>
                      <w:rFonts w:hint="eastAsia" w:eastAsia="宋体"/>
                    </w:rPr>
                    <w:t>3</w:t>
                  </w:r>
                </w:p>
              </w:tc>
              <w:tc>
                <w:tcPr>
                  <w:tcW w:w="799" w:type="pct"/>
                  <w:vAlign w:val="center"/>
                </w:tcPr>
                <w:p w14:paraId="00B1CC43">
                  <w:pPr>
                    <w:pStyle w:val="47"/>
                    <w:adjustRightInd w:val="0"/>
                    <w:snapToGrid w:val="0"/>
                    <w:rPr>
                      <w:rFonts w:eastAsia="宋体"/>
                      <w:kern w:val="0"/>
                    </w:rPr>
                  </w:pPr>
                  <w:r>
                    <w:rPr>
                      <w:rFonts w:eastAsia="宋体"/>
                      <w:kern w:val="0"/>
                    </w:rPr>
                    <w:t>废橡胶边角料</w:t>
                  </w:r>
                </w:p>
              </w:tc>
              <w:tc>
                <w:tcPr>
                  <w:tcW w:w="272" w:type="pct"/>
                  <w:vMerge w:val="continue"/>
                  <w:vAlign w:val="center"/>
                </w:tcPr>
                <w:p w14:paraId="0F3AB2E8">
                  <w:pPr>
                    <w:pStyle w:val="47"/>
                    <w:adjustRightInd w:val="0"/>
                    <w:snapToGrid w:val="0"/>
                    <w:rPr>
                      <w:rFonts w:eastAsia="宋体"/>
                      <w:kern w:val="0"/>
                    </w:rPr>
                  </w:pPr>
                </w:p>
              </w:tc>
              <w:tc>
                <w:tcPr>
                  <w:tcW w:w="652" w:type="pct"/>
                  <w:vAlign w:val="center"/>
                </w:tcPr>
                <w:p w14:paraId="58A29BE6">
                  <w:pPr>
                    <w:pStyle w:val="47"/>
                    <w:adjustRightInd w:val="0"/>
                    <w:snapToGrid w:val="0"/>
                    <w:rPr>
                      <w:rFonts w:eastAsia="宋体"/>
                    </w:rPr>
                  </w:pPr>
                  <w:r>
                    <w:rPr>
                      <w:rFonts w:eastAsia="宋体"/>
                    </w:rPr>
                    <w:t>修整</w:t>
                  </w:r>
                </w:p>
              </w:tc>
              <w:tc>
                <w:tcPr>
                  <w:tcW w:w="376" w:type="pct"/>
                  <w:vAlign w:val="center"/>
                </w:tcPr>
                <w:p w14:paraId="292B9DEF">
                  <w:pPr>
                    <w:adjustRightInd w:val="0"/>
                    <w:snapToGrid w:val="0"/>
                    <w:jc w:val="center"/>
                    <w:rPr>
                      <w:kern w:val="0"/>
                      <w:szCs w:val="21"/>
                    </w:rPr>
                  </w:pPr>
                  <w:r>
                    <w:rPr>
                      <w:kern w:val="0"/>
                      <w:szCs w:val="21"/>
                    </w:rPr>
                    <w:t>固态</w:t>
                  </w:r>
                </w:p>
              </w:tc>
              <w:tc>
                <w:tcPr>
                  <w:tcW w:w="631" w:type="pct"/>
                  <w:vAlign w:val="center"/>
                </w:tcPr>
                <w:p w14:paraId="047FEA71">
                  <w:pPr>
                    <w:pStyle w:val="47"/>
                    <w:adjustRightInd w:val="0"/>
                    <w:snapToGrid w:val="0"/>
                    <w:rPr>
                      <w:rFonts w:eastAsia="宋体"/>
                      <w:kern w:val="0"/>
                    </w:rPr>
                  </w:pPr>
                  <w:r>
                    <w:rPr>
                      <w:rFonts w:eastAsia="宋体"/>
                      <w:kern w:val="0"/>
                    </w:rPr>
                    <w:t>各类橡胶、助剂等</w:t>
                  </w:r>
                </w:p>
              </w:tc>
              <w:tc>
                <w:tcPr>
                  <w:tcW w:w="442" w:type="pct"/>
                  <w:vAlign w:val="center"/>
                </w:tcPr>
                <w:p w14:paraId="197FC2E3">
                  <w:pPr>
                    <w:adjustRightInd w:val="0"/>
                    <w:snapToGrid w:val="0"/>
                    <w:jc w:val="center"/>
                    <w:rPr>
                      <w:szCs w:val="21"/>
                    </w:rPr>
                  </w:pPr>
                  <w:r>
                    <w:rPr>
                      <w:szCs w:val="21"/>
                    </w:rPr>
                    <w:t>--</w:t>
                  </w:r>
                </w:p>
              </w:tc>
              <w:tc>
                <w:tcPr>
                  <w:tcW w:w="365" w:type="pct"/>
                  <w:vAlign w:val="center"/>
                </w:tcPr>
                <w:p w14:paraId="7C2E7274">
                  <w:pPr>
                    <w:adjustRightInd w:val="0"/>
                    <w:snapToGrid w:val="0"/>
                    <w:jc w:val="center"/>
                    <w:rPr>
                      <w:szCs w:val="21"/>
                    </w:rPr>
                  </w:pPr>
                  <w:r>
                    <w:rPr>
                      <w:kern w:val="0"/>
                      <w:szCs w:val="21"/>
                    </w:rPr>
                    <w:t>SW17</w:t>
                  </w:r>
                </w:p>
              </w:tc>
              <w:tc>
                <w:tcPr>
                  <w:tcW w:w="679" w:type="pct"/>
                  <w:vAlign w:val="center"/>
                </w:tcPr>
                <w:p w14:paraId="78F5B704">
                  <w:pPr>
                    <w:adjustRightInd w:val="0"/>
                    <w:snapToGrid w:val="0"/>
                    <w:jc w:val="center"/>
                    <w:rPr>
                      <w:szCs w:val="21"/>
                    </w:rPr>
                  </w:pPr>
                  <w:r>
                    <w:rPr>
                      <w:kern w:val="0"/>
                      <w:szCs w:val="21"/>
                    </w:rPr>
                    <w:t>900-006-S17</w:t>
                  </w:r>
                </w:p>
              </w:tc>
              <w:tc>
                <w:tcPr>
                  <w:tcW w:w="442" w:type="pct"/>
                  <w:vAlign w:val="center"/>
                </w:tcPr>
                <w:p w14:paraId="357C0A1B">
                  <w:pPr>
                    <w:pStyle w:val="47"/>
                    <w:adjustRightInd w:val="0"/>
                    <w:snapToGrid w:val="0"/>
                    <w:rPr>
                      <w:rFonts w:eastAsia="宋体"/>
                      <w:kern w:val="0"/>
                    </w:rPr>
                  </w:pPr>
                  <w:r>
                    <w:rPr>
                      <w:rFonts w:hint="eastAsia" w:eastAsia="宋体"/>
                      <w:kern w:val="0"/>
                    </w:rPr>
                    <w:t>9.3</w:t>
                  </w:r>
                </w:p>
              </w:tc>
            </w:tr>
            <w:tr w14:paraId="7B8201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54948A19">
                  <w:pPr>
                    <w:pStyle w:val="47"/>
                    <w:adjustRightInd w:val="0"/>
                    <w:snapToGrid w:val="0"/>
                    <w:rPr>
                      <w:rFonts w:eastAsia="宋体"/>
                    </w:rPr>
                  </w:pPr>
                  <w:r>
                    <w:rPr>
                      <w:rFonts w:hint="eastAsia" w:eastAsia="宋体"/>
                    </w:rPr>
                    <w:t>4</w:t>
                  </w:r>
                </w:p>
              </w:tc>
              <w:tc>
                <w:tcPr>
                  <w:tcW w:w="799" w:type="pct"/>
                  <w:vAlign w:val="center"/>
                </w:tcPr>
                <w:p w14:paraId="519282F2">
                  <w:pPr>
                    <w:pStyle w:val="47"/>
                    <w:adjustRightInd w:val="0"/>
                    <w:snapToGrid w:val="0"/>
                    <w:rPr>
                      <w:rFonts w:eastAsia="宋体"/>
                      <w:kern w:val="0"/>
                    </w:rPr>
                  </w:pPr>
                  <w:r>
                    <w:rPr>
                      <w:rFonts w:eastAsia="宋体"/>
                      <w:kern w:val="0"/>
                    </w:rPr>
                    <w:t>废金属边角料</w:t>
                  </w:r>
                </w:p>
              </w:tc>
              <w:tc>
                <w:tcPr>
                  <w:tcW w:w="272" w:type="pct"/>
                  <w:vMerge w:val="continue"/>
                  <w:vAlign w:val="center"/>
                </w:tcPr>
                <w:p w14:paraId="7B9DDD14">
                  <w:pPr>
                    <w:pStyle w:val="47"/>
                    <w:adjustRightInd w:val="0"/>
                    <w:snapToGrid w:val="0"/>
                    <w:rPr>
                      <w:rFonts w:eastAsia="宋体"/>
                      <w:kern w:val="0"/>
                    </w:rPr>
                  </w:pPr>
                </w:p>
              </w:tc>
              <w:tc>
                <w:tcPr>
                  <w:tcW w:w="652" w:type="pct"/>
                  <w:vAlign w:val="center"/>
                </w:tcPr>
                <w:p w14:paraId="2B8A57A3">
                  <w:pPr>
                    <w:pStyle w:val="47"/>
                    <w:adjustRightInd w:val="0"/>
                    <w:snapToGrid w:val="0"/>
                    <w:rPr>
                      <w:rFonts w:eastAsia="宋体"/>
                    </w:rPr>
                  </w:pPr>
                  <w:r>
                    <w:rPr>
                      <w:rFonts w:eastAsia="宋体"/>
                    </w:rPr>
                    <w:t>机加工、抛丸、喷砂</w:t>
                  </w:r>
                </w:p>
              </w:tc>
              <w:tc>
                <w:tcPr>
                  <w:tcW w:w="376" w:type="pct"/>
                  <w:vAlign w:val="center"/>
                </w:tcPr>
                <w:p w14:paraId="37AB699B">
                  <w:pPr>
                    <w:adjustRightInd w:val="0"/>
                    <w:snapToGrid w:val="0"/>
                    <w:jc w:val="center"/>
                    <w:rPr>
                      <w:kern w:val="0"/>
                      <w:szCs w:val="21"/>
                    </w:rPr>
                  </w:pPr>
                  <w:r>
                    <w:rPr>
                      <w:kern w:val="0"/>
                      <w:szCs w:val="21"/>
                    </w:rPr>
                    <w:t>固态</w:t>
                  </w:r>
                </w:p>
              </w:tc>
              <w:tc>
                <w:tcPr>
                  <w:tcW w:w="631" w:type="pct"/>
                  <w:vAlign w:val="center"/>
                </w:tcPr>
                <w:p w14:paraId="67502A11">
                  <w:pPr>
                    <w:pStyle w:val="47"/>
                    <w:adjustRightInd w:val="0"/>
                    <w:snapToGrid w:val="0"/>
                    <w:rPr>
                      <w:rFonts w:eastAsia="宋体"/>
                      <w:kern w:val="0"/>
                    </w:rPr>
                  </w:pPr>
                  <w:r>
                    <w:rPr>
                      <w:rFonts w:eastAsia="宋体"/>
                      <w:kern w:val="0"/>
                    </w:rPr>
                    <w:t>钢铁等</w:t>
                  </w:r>
                </w:p>
              </w:tc>
              <w:tc>
                <w:tcPr>
                  <w:tcW w:w="442" w:type="pct"/>
                  <w:vAlign w:val="center"/>
                </w:tcPr>
                <w:p w14:paraId="59D8A2FF">
                  <w:pPr>
                    <w:adjustRightInd w:val="0"/>
                    <w:snapToGrid w:val="0"/>
                    <w:jc w:val="center"/>
                    <w:rPr>
                      <w:szCs w:val="21"/>
                    </w:rPr>
                  </w:pPr>
                  <w:r>
                    <w:rPr>
                      <w:szCs w:val="21"/>
                    </w:rPr>
                    <w:t>--</w:t>
                  </w:r>
                </w:p>
              </w:tc>
              <w:tc>
                <w:tcPr>
                  <w:tcW w:w="365" w:type="pct"/>
                  <w:vAlign w:val="center"/>
                </w:tcPr>
                <w:p w14:paraId="1EF81689">
                  <w:pPr>
                    <w:adjustRightInd w:val="0"/>
                    <w:snapToGrid w:val="0"/>
                    <w:jc w:val="center"/>
                    <w:rPr>
                      <w:szCs w:val="21"/>
                    </w:rPr>
                  </w:pPr>
                  <w:r>
                    <w:rPr>
                      <w:szCs w:val="21"/>
                    </w:rPr>
                    <w:t>SW17</w:t>
                  </w:r>
                </w:p>
              </w:tc>
              <w:tc>
                <w:tcPr>
                  <w:tcW w:w="679" w:type="pct"/>
                  <w:vAlign w:val="center"/>
                </w:tcPr>
                <w:p w14:paraId="6BBAC756">
                  <w:pPr>
                    <w:adjustRightInd w:val="0"/>
                    <w:snapToGrid w:val="0"/>
                    <w:jc w:val="center"/>
                    <w:rPr>
                      <w:szCs w:val="21"/>
                    </w:rPr>
                  </w:pPr>
                  <w:r>
                    <w:rPr>
                      <w:szCs w:val="21"/>
                    </w:rPr>
                    <w:t>900-001-S17</w:t>
                  </w:r>
                </w:p>
              </w:tc>
              <w:tc>
                <w:tcPr>
                  <w:tcW w:w="442" w:type="pct"/>
                  <w:vAlign w:val="center"/>
                </w:tcPr>
                <w:p w14:paraId="6C0E988C">
                  <w:pPr>
                    <w:pStyle w:val="47"/>
                    <w:adjustRightInd w:val="0"/>
                    <w:snapToGrid w:val="0"/>
                    <w:rPr>
                      <w:rFonts w:eastAsia="宋体"/>
                      <w:kern w:val="0"/>
                    </w:rPr>
                  </w:pPr>
                  <w:r>
                    <w:rPr>
                      <w:rFonts w:eastAsia="宋体"/>
                      <w:kern w:val="0"/>
                    </w:rPr>
                    <w:t>0.5</w:t>
                  </w:r>
                </w:p>
              </w:tc>
            </w:tr>
            <w:tr w14:paraId="583D1A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743AF3CC">
                  <w:pPr>
                    <w:pStyle w:val="47"/>
                    <w:adjustRightInd w:val="0"/>
                    <w:snapToGrid w:val="0"/>
                    <w:rPr>
                      <w:rFonts w:eastAsia="宋体"/>
                    </w:rPr>
                  </w:pPr>
                  <w:r>
                    <w:rPr>
                      <w:rFonts w:hint="eastAsia" w:eastAsia="宋体"/>
                    </w:rPr>
                    <w:t>5</w:t>
                  </w:r>
                </w:p>
              </w:tc>
              <w:tc>
                <w:tcPr>
                  <w:tcW w:w="799" w:type="pct"/>
                  <w:vAlign w:val="center"/>
                </w:tcPr>
                <w:p w14:paraId="4434F9EB">
                  <w:pPr>
                    <w:pStyle w:val="47"/>
                    <w:adjustRightInd w:val="0"/>
                    <w:snapToGrid w:val="0"/>
                    <w:rPr>
                      <w:rFonts w:eastAsia="宋体"/>
                      <w:kern w:val="0"/>
                    </w:rPr>
                  </w:pPr>
                  <w:r>
                    <w:rPr>
                      <w:rFonts w:eastAsia="宋体"/>
                      <w:kern w:val="0"/>
                    </w:rPr>
                    <w:t>收集粉尘</w:t>
                  </w:r>
                </w:p>
              </w:tc>
              <w:tc>
                <w:tcPr>
                  <w:tcW w:w="272" w:type="pct"/>
                  <w:vMerge w:val="continue"/>
                  <w:vAlign w:val="center"/>
                </w:tcPr>
                <w:p w14:paraId="61231147">
                  <w:pPr>
                    <w:pStyle w:val="47"/>
                    <w:adjustRightInd w:val="0"/>
                    <w:snapToGrid w:val="0"/>
                    <w:rPr>
                      <w:rFonts w:eastAsia="宋体"/>
                      <w:kern w:val="0"/>
                    </w:rPr>
                  </w:pPr>
                </w:p>
              </w:tc>
              <w:tc>
                <w:tcPr>
                  <w:tcW w:w="652" w:type="pct"/>
                  <w:vAlign w:val="center"/>
                </w:tcPr>
                <w:p w14:paraId="5AAF5B7D">
                  <w:pPr>
                    <w:pStyle w:val="47"/>
                    <w:adjustRightInd w:val="0"/>
                    <w:snapToGrid w:val="0"/>
                    <w:rPr>
                      <w:rFonts w:eastAsia="宋体"/>
                    </w:rPr>
                  </w:pPr>
                  <w:r>
                    <w:rPr>
                      <w:rFonts w:eastAsia="宋体"/>
                    </w:rPr>
                    <w:t>废气处理</w:t>
                  </w:r>
                </w:p>
              </w:tc>
              <w:tc>
                <w:tcPr>
                  <w:tcW w:w="376" w:type="pct"/>
                  <w:vAlign w:val="center"/>
                </w:tcPr>
                <w:p w14:paraId="758DF9BF">
                  <w:pPr>
                    <w:adjustRightInd w:val="0"/>
                    <w:snapToGrid w:val="0"/>
                    <w:jc w:val="center"/>
                    <w:rPr>
                      <w:kern w:val="0"/>
                      <w:szCs w:val="21"/>
                    </w:rPr>
                  </w:pPr>
                  <w:r>
                    <w:rPr>
                      <w:kern w:val="0"/>
                      <w:szCs w:val="21"/>
                    </w:rPr>
                    <w:t>固态</w:t>
                  </w:r>
                </w:p>
              </w:tc>
              <w:tc>
                <w:tcPr>
                  <w:tcW w:w="631" w:type="pct"/>
                  <w:vAlign w:val="center"/>
                </w:tcPr>
                <w:p w14:paraId="05ACA27C">
                  <w:pPr>
                    <w:pStyle w:val="47"/>
                    <w:adjustRightInd w:val="0"/>
                    <w:snapToGrid w:val="0"/>
                    <w:rPr>
                      <w:rFonts w:eastAsia="宋体"/>
                      <w:kern w:val="0"/>
                    </w:rPr>
                  </w:pPr>
                  <w:r>
                    <w:rPr>
                      <w:rFonts w:eastAsia="宋体"/>
                      <w:kern w:val="0"/>
                    </w:rPr>
                    <w:t>金属粉尘、炭黑尘等</w:t>
                  </w:r>
                </w:p>
              </w:tc>
              <w:tc>
                <w:tcPr>
                  <w:tcW w:w="442" w:type="pct"/>
                  <w:vAlign w:val="center"/>
                </w:tcPr>
                <w:p w14:paraId="4256E646">
                  <w:pPr>
                    <w:adjustRightInd w:val="0"/>
                    <w:snapToGrid w:val="0"/>
                    <w:jc w:val="center"/>
                    <w:rPr>
                      <w:szCs w:val="21"/>
                    </w:rPr>
                  </w:pPr>
                  <w:r>
                    <w:rPr>
                      <w:szCs w:val="21"/>
                    </w:rPr>
                    <w:t>--</w:t>
                  </w:r>
                </w:p>
              </w:tc>
              <w:tc>
                <w:tcPr>
                  <w:tcW w:w="365" w:type="pct"/>
                  <w:vAlign w:val="center"/>
                </w:tcPr>
                <w:p w14:paraId="03C44D33">
                  <w:pPr>
                    <w:adjustRightInd w:val="0"/>
                    <w:snapToGrid w:val="0"/>
                    <w:jc w:val="center"/>
                    <w:rPr>
                      <w:szCs w:val="21"/>
                    </w:rPr>
                  </w:pPr>
                  <w:r>
                    <w:rPr>
                      <w:szCs w:val="21"/>
                    </w:rPr>
                    <w:t>SW59</w:t>
                  </w:r>
                </w:p>
              </w:tc>
              <w:tc>
                <w:tcPr>
                  <w:tcW w:w="679" w:type="pct"/>
                  <w:vAlign w:val="center"/>
                </w:tcPr>
                <w:p w14:paraId="14D7585E">
                  <w:pPr>
                    <w:adjustRightInd w:val="0"/>
                    <w:snapToGrid w:val="0"/>
                    <w:jc w:val="center"/>
                    <w:rPr>
                      <w:szCs w:val="21"/>
                    </w:rPr>
                  </w:pPr>
                  <w:r>
                    <w:rPr>
                      <w:szCs w:val="21"/>
                    </w:rPr>
                    <w:t>900-099-S59</w:t>
                  </w:r>
                </w:p>
              </w:tc>
              <w:tc>
                <w:tcPr>
                  <w:tcW w:w="442" w:type="pct"/>
                  <w:vAlign w:val="center"/>
                </w:tcPr>
                <w:p w14:paraId="3CFED4A1">
                  <w:pPr>
                    <w:pStyle w:val="47"/>
                    <w:adjustRightInd w:val="0"/>
                    <w:snapToGrid w:val="0"/>
                    <w:rPr>
                      <w:rFonts w:eastAsia="宋体"/>
                      <w:kern w:val="0"/>
                    </w:rPr>
                  </w:pPr>
                  <w:r>
                    <w:rPr>
                      <w:rFonts w:hint="eastAsia" w:eastAsia="宋体"/>
                      <w:kern w:val="0"/>
                    </w:rPr>
                    <w:t>1.32</w:t>
                  </w:r>
                </w:p>
              </w:tc>
            </w:tr>
            <w:tr w14:paraId="2D9F13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6D3D9346">
                  <w:pPr>
                    <w:pStyle w:val="47"/>
                    <w:adjustRightInd w:val="0"/>
                    <w:snapToGrid w:val="0"/>
                    <w:rPr>
                      <w:rFonts w:eastAsia="宋体"/>
                    </w:rPr>
                  </w:pPr>
                  <w:r>
                    <w:rPr>
                      <w:rFonts w:eastAsia="宋体"/>
                    </w:rPr>
                    <w:t>6</w:t>
                  </w:r>
                </w:p>
              </w:tc>
              <w:tc>
                <w:tcPr>
                  <w:tcW w:w="799" w:type="pct"/>
                  <w:vAlign w:val="center"/>
                </w:tcPr>
                <w:p w14:paraId="730093A6">
                  <w:pPr>
                    <w:pStyle w:val="47"/>
                    <w:adjustRightInd w:val="0"/>
                    <w:snapToGrid w:val="0"/>
                    <w:rPr>
                      <w:rFonts w:eastAsia="宋体"/>
                      <w:kern w:val="0"/>
                    </w:rPr>
                  </w:pPr>
                  <w:r>
                    <w:rPr>
                      <w:rFonts w:eastAsia="宋体"/>
                      <w:kern w:val="0"/>
                    </w:rPr>
                    <w:t>废活性炭</w:t>
                  </w:r>
                </w:p>
              </w:tc>
              <w:tc>
                <w:tcPr>
                  <w:tcW w:w="272" w:type="pct"/>
                  <w:vMerge w:val="restart"/>
                  <w:vAlign w:val="center"/>
                </w:tcPr>
                <w:p w14:paraId="196FFF62">
                  <w:pPr>
                    <w:pStyle w:val="47"/>
                    <w:adjustRightInd w:val="0"/>
                    <w:snapToGrid w:val="0"/>
                    <w:rPr>
                      <w:rFonts w:eastAsia="宋体"/>
                      <w:kern w:val="0"/>
                    </w:rPr>
                  </w:pPr>
                  <w:r>
                    <w:rPr>
                      <w:rFonts w:eastAsia="宋体"/>
                      <w:kern w:val="0"/>
                    </w:rPr>
                    <w:t>危险废物</w:t>
                  </w:r>
                </w:p>
              </w:tc>
              <w:tc>
                <w:tcPr>
                  <w:tcW w:w="652" w:type="pct"/>
                  <w:vAlign w:val="center"/>
                </w:tcPr>
                <w:p w14:paraId="7DCB8D1D">
                  <w:pPr>
                    <w:pStyle w:val="47"/>
                    <w:adjustRightInd w:val="0"/>
                    <w:snapToGrid w:val="0"/>
                    <w:rPr>
                      <w:rFonts w:eastAsia="宋体"/>
                    </w:rPr>
                  </w:pPr>
                  <w:r>
                    <w:rPr>
                      <w:rFonts w:eastAsia="宋体"/>
                    </w:rPr>
                    <w:t>废气处理</w:t>
                  </w:r>
                </w:p>
              </w:tc>
              <w:tc>
                <w:tcPr>
                  <w:tcW w:w="376" w:type="pct"/>
                  <w:vAlign w:val="center"/>
                </w:tcPr>
                <w:p w14:paraId="61AD1C92">
                  <w:pPr>
                    <w:adjustRightInd w:val="0"/>
                    <w:snapToGrid w:val="0"/>
                    <w:jc w:val="center"/>
                    <w:rPr>
                      <w:kern w:val="0"/>
                      <w:szCs w:val="21"/>
                    </w:rPr>
                  </w:pPr>
                  <w:r>
                    <w:rPr>
                      <w:kern w:val="0"/>
                      <w:szCs w:val="21"/>
                    </w:rPr>
                    <w:t>固态</w:t>
                  </w:r>
                </w:p>
              </w:tc>
              <w:tc>
                <w:tcPr>
                  <w:tcW w:w="631" w:type="pct"/>
                  <w:vAlign w:val="center"/>
                </w:tcPr>
                <w:p w14:paraId="44737871">
                  <w:pPr>
                    <w:pStyle w:val="47"/>
                    <w:adjustRightInd w:val="0"/>
                    <w:snapToGrid w:val="0"/>
                    <w:rPr>
                      <w:rFonts w:eastAsia="宋体"/>
                      <w:kern w:val="0"/>
                    </w:rPr>
                  </w:pPr>
                  <w:r>
                    <w:rPr>
                      <w:rFonts w:eastAsia="宋体"/>
                      <w:kern w:val="0"/>
                    </w:rPr>
                    <w:t>有机废气、活性炭</w:t>
                  </w:r>
                </w:p>
              </w:tc>
              <w:tc>
                <w:tcPr>
                  <w:tcW w:w="442" w:type="pct"/>
                  <w:vAlign w:val="center"/>
                </w:tcPr>
                <w:p w14:paraId="117E0CA9">
                  <w:pPr>
                    <w:adjustRightInd w:val="0"/>
                    <w:snapToGrid w:val="0"/>
                    <w:jc w:val="center"/>
                    <w:rPr>
                      <w:szCs w:val="21"/>
                    </w:rPr>
                  </w:pPr>
                  <w:r>
                    <w:rPr>
                      <w:szCs w:val="21"/>
                    </w:rPr>
                    <w:t>T</w:t>
                  </w:r>
                </w:p>
              </w:tc>
              <w:tc>
                <w:tcPr>
                  <w:tcW w:w="365" w:type="pct"/>
                  <w:vAlign w:val="center"/>
                </w:tcPr>
                <w:p w14:paraId="2290E1CD">
                  <w:pPr>
                    <w:adjustRightInd w:val="0"/>
                    <w:snapToGrid w:val="0"/>
                    <w:jc w:val="center"/>
                    <w:rPr>
                      <w:szCs w:val="21"/>
                    </w:rPr>
                  </w:pPr>
                  <w:r>
                    <w:rPr>
                      <w:szCs w:val="21"/>
                    </w:rPr>
                    <w:t>HW49</w:t>
                  </w:r>
                </w:p>
              </w:tc>
              <w:tc>
                <w:tcPr>
                  <w:tcW w:w="679" w:type="pct"/>
                  <w:vAlign w:val="center"/>
                </w:tcPr>
                <w:p w14:paraId="7A2C35C0">
                  <w:pPr>
                    <w:adjustRightInd w:val="0"/>
                    <w:snapToGrid w:val="0"/>
                    <w:jc w:val="center"/>
                    <w:rPr>
                      <w:szCs w:val="21"/>
                    </w:rPr>
                  </w:pPr>
                  <w:r>
                    <w:rPr>
                      <w:szCs w:val="21"/>
                    </w:rPr>
                    <w:t>900-039-49</w:t>
                  </w:r>
                </w:p>
              </w:tc>
              <w:tc>
                <w:tcPr>
                  <w:tcW w:w="442" w:type="pct"/>
                  <w:vAlign w:val="center"/>
                </w:tcPr>
                <w:p w14:paraId="7D854AE5">
                  <w:pPr>
                    <w:pStyle w:val="47"/>
                    <w:adjustRightInd w:val="0"/>
                    <w:snapToGrid w:val="0"/>
                    <w:rPr>
                      <w:rFonts w:eastAsia="宋体"/>
                      <w:kern w:val="0"/>
                    </w:rPr>
                  </w:pPr>
                  <w:r>
                    <w:rPr>
                      <w:rFonts w:hint="eastAsia" w:eastAsia="宋体"/>
                      <w:kern w:val="0"/>
                    </w:rPr>
                    <w:t>15.75</w:t>
                  </w:r>
                </w:p>
              </w:tc>
            </w:tr>
            <w:tr w14:paraId="1D49EE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69C622DC">
                  <w:pPr>
                    <w:pStyle w:val="47"/>
                    <w:adjustRightInd w:val="0"/>
                    <w:snapToGrid w:val="0"/>
                    <w:rPr>
                      <w:rFonts w:eastAsia="宋体"/>
                    </w:rPr>
                  </w:pPr>
                  <w:r>
                    <w:rPr>
                      <w:rFonts w:eastAsia="宋体"/>
                    </w:rPr>
                    <w:t>7</w:t>
                  </w:r>
                </w:p>
              </w:tc>
              <w:tc>
                <w:tcPr>
                  <w:tcW w:w="799" w:type="pct"/>
                  <w:vAlign w:val="center"/>
                </w:tcPr>
                <w:p w14:paraId="204CB998">
                  <w:pPr>
                    <w:pStyle w:val="47"/>
                    <w:adjustRightInd w:val="0"/>
                    <w:snapToGrid w:val="0"/>
                    <w:rPr>
                      <w:rFonts w:eastAsia="宋体"/>
                      <w:kern w:val="0"/>
                    </w:rPr>
                  </w:pPr>
                  <w:r>
                    <w:rPr>
                      <w:rFonts w:eastAsia="宋体"/>
                      <w:kern w:val="0"/>
                    </w:rPr>
                    <w:t>污泥</w:t>
                  </w:r>
                </w:p>
              </w:tc>
              <w:tc>
                <w:tcPr>
                  <w:tcW w:w="272" w:type="pct"/>
                  <w:vMerge w:val="continue"/>
                  <w:vAlign w:val="center"/>
                </w:tcPr>
                <w:p w14:paraId="1BB104DF">
                  <w:pPr>
                    <w:pStyle w:val="47"/>
                    <w:adjustRightInd w:val="0"/>
                    <w:snapToGrid w:val="0"/>
                    <w:rPr>
                      <w:rFonts w:eastAsia="宋体"/>
                      <w:kern w:val="0"/>
                    </w:rPr>
                  </w:pPr>
                </w:p>
              </w:tc>
              <w:tc>
                <w:tcPr>
                  <w:tcW w:w="652" w:type="pct"/>
                  <w:vAlign w:val="center"/>
                </w:tcPr>
                <w:p w14:paraId="6DC08039">
                  <w:pPr>
                    <w:pStyle w:val="47"/>
                    <w:adjustRightInd w:val="0"/>
                    <w:snapToGrid w:val="0"/>
                    <w:rPr>
                      <w:rFonts w:eastAsia="宋体"/>
                    </w:rPr>
                  </w:pPr>
                  <w:r>
                    <w:rPr>
                      <w:rFonts w:eastAsia="宋体"/>
                    </w:rPr>
                    <w:t>废水处理</w:t>
                  </w:r>
                </w:p>
              </w:tc>
              <w:tc>
                <w:tcPr>
                  <w:tcW w:w="376" w:type="pct"/>
                  <w:vAlign w:val="center"/>
                </w:tcPr>
                <w:p w14:paraId="3A2E9A2D">
                  <w:pPr>
                    <w:adjustRightInd w:val="0"/>
                    <w:snapToGrid w:val="0"/>
                    <w:jc w:val="center"/>
                    <w:rPr>
                      <w:kern w:val="0"/>
                      <w:szCs w:val="21"/>
                    </w:rPr>
                  </w:pPr>
                  <w:r>
                    <w:rPr>
                      <w:kern w:val="0"/>
                      <w:szCs w:val="21"/>
                    </w:rPr>
                    <w:t>半固态</w:t>
                  </w:r>
                </w:p>
              </w:tc>
              <w:tc>
                <w:tcPr>
                  <w:tcW w:w="631" w:type="pct"/>
                  <w:vAlign w:val="center"/>
                </w:tcPr>
                <w:p w14:paraId="6B09B6FB">
                  <w:pPr>
                    <w:pStyle w:val="47"/>
                    <w:adjustRightInd w:val="0"/>
                    <w:snapToGrid w:val="0"/>
                    <w:rPr>
                      <w:rFonts w:eastAsia="宋体"/>
                      <w:kern w:val="0"/>
                    </w:rPr>
                  </w:pPr>
                  <w:r>
                    <w:rPr>
                      <w:rFonts w:eastAsia="宋体"/>
                      <w:kern w:val="0"/>
                    </w:rPr>
                    <w:t>污泥</w:t>
                  </w:r>
                </w:p>
              </w:tc>
              <w:tc>
                <w:tcPr>
                  <w:tcW w:w="442" w:type="pct"/>
                  <w:vAlign w:val="center"/>
                </w:tcPr>
                <w:p w14:paraId="7866217E">
                  <w:pPr>
                    <w:adjustRightInd w:val="0"/>
                    <w:snapToGrid w:val="0"/>
                    <w:jc w:val="center"/>
                    <w:rPr>
                      <w:szCs w:val="21"/>
                    </w:rPr>
                  </w:pPr>
                  <w:r>
                    <w:rPr>
                      <w:szCs w:val="21"/>
                    </w:rPr>
                    <w:t>T/C</w:t>
                  </w:r>
                </w:p>
              </w:tc>
              <w:tc>
                <w:tcPr>
                  <w:tcW w:w="365" w:type="pct"/>
                  <w:vAlign w:val="center"/>
                </w:tcPr>
                <w:p w14:paraId="14F84415">
                  <w:pPr>
                    <w:adjustRightInd w:val="0"/>
                    <w:snapToGrid w:val="0"/>
                    <w:jc w:val="center"/>
                    <w:rPr>
                      <w:szCs w:val="21"/>
                    </w:rPr>
                  </w:pPr>
                  <w:r>
                    <w:rPr>
                      <w:szCs w:val="21"/>
                    </w:rPr>
                    <w:t>HW17</w:t>
                  </w:r>
                </w:p>
              </w:tc>
              <w:tc>
                <w:tcPr>
                  <w:tcW w:w="679" w:type="pct"/>
                  <w:vAlign w:val="center"/>
                </w:tcPr>
                <w:p w14:paraId="7ADA5BB1">
                  <w:pPr>
                    <w:adjustRightInd w:val="0"/>
                    <w:snapToGrid w:val="0"/>
                    <w:jc w:val="center"/>
                    <w:rPr>
                      <w:szCs w:val="21"/>
                    </w:rPr>
                  </w:pPr>
                  <w:r>
                    <w:rPr>
                      <w:szCs w:val="21"/>
                    </w:rPr>
                    <w:t>336-064-17</w:t>
                  </w:r>
                </w:p>
              </w:tc>
              <w:tc>
                <w:tcPr>
                  <w:tcW w:w="442" w:type="pct"/>
                  <w:vAlign w:val="center"/>
                </w:tcPr>
                <w:p w14:paraId="3C3BE951">
                  <w:pPr>
                    <w:pStyle w:val="47"/>
                    <w:adjustRightInd w:val="0"/>
                    <w:snapToGrid w:val="0"/>
                    <w:rPr>
                      <w:rFonts w:eastAsia="宋体"/>
                      <w:kern w:val="0"/>
                    </w:rPr>
                  </w:pPr>
                  <w:r>
                    <w:rPr>
                      <w:rFonts w:hint="eastAsia" w:eastAsia="宋体"/>
                      <w:kern w:val="0"/>
                    </w:rPr>
                    <w:t>10.6</w:t>
                  </w:r>
                </w:p>
              </w:tc>
            </w:tr>
            <w:tr w14:paraId="04925D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539EC698">
                  <w:pPr>
                    <w:pStyle w:val="47"/>
                    <w:adjustRightInd w:val="0"/>
                    <w:snapToGrid w:val="0"/>
                    <w:rPr>
                      <w:rFonts w:eastAsia="宋体"/>
                    </w:rPr>
                  </w:pPr>
                  <w:r>
                    <w:rPr>
                      <w:rFonts w:eastAsia="宋体"/>
                    </w:rPr>
                    <w:t>8</w:t>
                  </w:r>
                </w:p>
              </w:tc>
              <w:tc>
                <w:tcPr>
                  <w:tcW w:w="799" w:type="pct"/>
                  <w:vAlign w:val="center"/>
                </w:tcPr>
                <w:p w14:paraId="0DEC0F34">
                  <w:pPr>
                    <w:pStyle w:val="47"/>
                    <w:adjustRightInd w:val="0"/>
                    <w:snapToGrid w:val="0"/>
                    <w:rPr>
                      <w:rFonts w:eastAsia="宋体"/>
                      <w:kern w:val="0"/>
                    </w:rPr>
                  </w:pPr>
                  <w:r>
                    <w:rPr>
                      <w:rFonts w:eastAsia="宋体"/>
                      <w:kern w:val="0"/>
                    </w:rPr>
                    <w:t>废包装桶</w:t>
                  </w:r>
                </w:p>
              </w:tc>
              <w:tc>
                <w:tcPr>
                  <w:tcW w:w="272" w:type="pct"/>
                  <w:vMerge w:val="continue"/>
                  <w:vAlign w:val="center"/>
                </w:tcPr>
                <w:p w14:paraId="0B6FFEFD">
                  <w:pPr>
                    <w:pStyle w:val="47"/>
                    <w:adjustRightInd w:val="0"/>
                    <w:snapToGrid w:val="0"/>
                    <w:rPr>
                      <w:rFonts w:eastAsia="宋体"/>
                      <w:kern w:val="0"/>
                    </w:rPr>
                  </w:pPr>
                </w:p>
              </w:tc>
              <w:tc>
                <w:tcPr>
                  <w:tcW w:w="652" w:type="pct"/>
                  <w:vAlign w:val="center"/>
                </w:tcPr>
                <w:p w14:paraId="270FDF6D">
                  <w:pPr>
                    <w:pStyle w:val="47"/>
                    <w:adjustRightInd w:val="0"/>
                    <w:snapToGrid w:val="0"/>
                    <w:rPr>
                      <w:rFonts w:eastAsia="宋体"/>
                    </w:rPr>
                  </w:pPr>
                  <w:r>
                    <w:rPr>
                      <w:rFonts w:eastAsia="宋体"/>
                    </w:rPr>
                    <w:t>原辅料贮存</w:t>
                  </w:r>
                </w:p>
              </w:tc>
              <w:tc>
                <w:tcPr>
                  <w:tcW w:w="376" w:type="pct"/>
                  <w:vAlign w:val="center"/>
                </w:tcPr>
                <w:p w14:paraId="2B91963B">
                  <w:pPr>
                    <w:adjustRightInd w:val="0"/>
                    <w:snapToGrid w:val="0"/>
                    <w:jc w:val="center"/>
                    <w:rPr>
                      <w:kern w:val="0"/>
                      <w:szCs w:val="21"/>
                    </w:rPr>
                  </w:pPr>
                  <w:r>
                    <w:rPr>
                      <w:kern w:val="0"/>
                      <w:szCs w:val="21"/>
                    </w:rPr>
                    <w:t>固态</w:t>
                  </w:r>
                </w:p>
              </w:tc>
              <w:tc>
                <w:tcPr>
                  <w:tcW w:w="631" w:type="pct"/>
                  <w:vAlign w:val="center"/>
                </w:tcPr>
                <w:p w14:paraId="26BBC9ED">
                  <w:pPr>
                    <w:pStyle w:val="47"/>
                    <w:adjustRightInd w:val="0"/>
                    <w:snapToGrid w:val="0"/>
                    <w:rPr>
                      <w:rFonts w:eastAsia="宋体"/>
                      <w:kern w:val="0"/>
                    </w:rPr>
                  </w:pPr>
                  <w:r>
                    <w:rPr>
                      <w:rFonts w:eastAsia="宋体"/>
                      <w:kern w:val="0"/>
                    </w:rPr>
                    <w:t>清洗剂、胶粘剂、切削液等</w:t>
                  </w:r>
                </w:p>
              </w:tc>
              <w:tc>
                <w:tcPr>
                  <w:tcW w:w="442" w:type="pct"/>
                  <w:vAlign w:val="center"/>
                </w:tcPr>
                <w:p w14:paraId="7EBE9D2C">
                  <w:pPr>
                    <w:adjustRightInd w:val="0"/>
                    <w:snapToGrid w:val="0"/>
                    <w:jc w:val="center"/>
                    <w:rPr>
                      <w:szCs w:val="21"/>
                    </w:rPr>
                  </w:pPr>
                  <w:r>
                    <w:rPr>
                      <w:szCs w:val="21"/>
                    </w:rPr>
                    <w:t>T/In</w:t>
                  </w:r>
                </w:p>
              </w:tc>
              <w:tc>
                <w:tcPr>
                  <w:tcW w:w="365" w:type="pct"/>
                  <w:vAlign w:val="center"/>
                </w:tcPr>
                <w:p w14:paraId="76E6838F">
                  <w:pPr>
                    <w:adjustRightInd w:val="0"/>
                    <w:snapToGrid w:val="0"/>
                    <w:jc w:val="center"/>
                    <w:rPr>
                      <w:szCs w:val="21"/>
                    </w:rPr>
                  </w:pPr>
                  <w:r>
                    <w:rPr>
                      <w:szCs w:val="21"/>
                    </w:rPr>
                    <w:t>HW49</w:t>
                  </w:r>
                </w:p>
              </w:tc>
              <w:tc>
                <w:tcPr>
                  <w:tcW w:w="679" w:type="pct"/>
                  <w:vAlign w:val="center"/>
                </w:tcPr>
                <w:p w14:paraId="79C5CAEC">
                  <w:pPr>
                    <w:adjustRightInd w:val="0"/>
                    <w:snapToGrid w:val="0"/>
                    <w:jc w:val="center"/>
                    <w:rPr>
                      <w:szCs w:val="21"/>
                    </w:rPr>
                  </w:pPr>
                  <w:r>
                    <w:rPr>
                      <w:szCs w:val="21"/>
                    </w:rPr>
                    <w:t>900-041-49</w:t>
                  </w:r>
                </w:p>
              </w:tc>
              <w:tc>
                <w:tcPr>
                  <w:tcW w:w="442" w:type="pct"/>
                  <w:vAlign w:val="center"/>
                </w:tcPr>
                <w:p w14:paraId="41AB2EB4">
                  <w:pPr>
                    <w:pStyle w:val="47"/>
                    <w:adjustRightInd w:val="0"/>
                    <w:snapToGrid w:val="0"/>
                    <w:rPr>
                      <w:rFonts w:eastAsia="宋体"/>
                      <w:kern w:val="0"/>
                    </w:rPr>
                  </w:pPr>
                  <w:r>
                    <w:rPr>
                      <w:rFonts w:hint="eastAsia" w:eastAsia="宋体"/>
                      <w:kern w:val="0"/>
                    </w:rPr>
                    <w:t>0.1</w:t>
                  </w:r>
                </w:p>
              </w:tc>
            </w:tr>
            <w:tr w14:paraId="2CD5BA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081C7436">
                  <w:pPr>
                    <w:pStyle w:val="47"/>
                    <w:adjustRightInd w:val="0"/>
                    <w:snapToGrid w:val="0"/>
                    <w:rPr>
                      <w:rFonts w:eastAsia="宋体"/>
                    </w:rPr>
                  </w:pPr>
                  <w:r>
                    <w:rPr>
                      <w:rFonts w:eastAsia="宋体"/>
                    </w:rPr>
                    <w:t>9</w:t>
                  </w:r>
                </w:p>
              </w:tc>
              <w:tc>
                <w:tcPr>
                  <w:tcW w:w="799" w:type="pct"/>
                  <w:vAlign w:val="center"/>
                </w:tcPr>
                <w:p w14:paraId="2185A130">
                  <w:pPr>
                    <w:pStyle w:val="47"/>
                    <w:adjustRightInd w:val="0"/>
                    <w:snapToGrid w:val="0"/>
                    <w:rPr>
                      <w:rFonts w:eastAsia="宋体"/>
                      <w:kern w:val="0"/>
                    </w:rPr>
                  </w:pPr>
                  <w:r>
                    <w:rPr>
                      <w:rFonts w:eastAsia="宋体"/>
                      <w:kern w:val="0"/>
                    </w:rPr>
                    <w:t>废胶黏剂</w:t>
                  </w:r>
                </w:p>
              </w:tc>
              <w:tc>
                <w:tcPr>
                  <w:tcW w:w="272" w:type="pct"/>
                  <w:vMerge w:val="continue"/>
                  <w:vAlign w:val="center"/>
                </w:tcPr>
                <w:p w14:paraId="65E0F0CE">
                  <w:pPr>
                    <w:pStyle w:val="47"/>
                    <w:adjustRightInd w:val="0"/>
                    <w:snapToGrid w:val="0"/>
                    <w:rPr>
                      <w:rFonts w:eastAsia="宋体"/>
                      <w:kern w:val="0"/>
                    </w:rPr>
                  </w:pPr>
                </w:p>
              </w:tc>
              <w:tc>
                <w:tcPr>
                  <w:tcW w:w="652" w:type="pct"/>
                  <w:vAlign w:val="center"/>
                </w:tcPr>
                <w:p w14:paraId="18FA776F">
                  <w:pPr>
                    <w:pStyle w:val="47"/>
                    <w:adjustRightInd w:val="0"/>
                    <w:snapToGrid w:val="0"/>
                    <w:rPr>
                      <w:rFonts w:eastAsia="宋体"/>
                    </w:rPr>
                  </w:pPr>
                  <w:r>
                    <w:rPr>
                      <w:rFonts w:eastAsia="宋体"/>
                    </w:rPr>
                    <w:t>喷涂浸胶</w:t>
                  </w:r>
                </w:p>
              </w:tc>
              <w:tc>
                <w:tcPr>
                  <w:tcW w:w="376" w:type="pct"/>
                  <w:vAlign w:val="center"/>
                </w:tcPr>
                <w:p w14:paraId="68E9CDD3">
                  <w:pPr>
                    <w:adjustRightInd w:val="0"/>
                    <w:snapToGrid w:val="0"/>
                    <w:jc w:val="center"/>
                    <w:rPr>
                      <w:kern w:val="0"/>
                      <w:szCs w:val="21"/>
                    </w:rPr>
                  </w:pPr>
                  <w:r>
                    <w:rPr>
                      <w:kern w:val="0"/>
                      <w:szCs w:val="21"/>
                    </w:rPr>
                    <w:t>液态</w:t>
                  </w:r>
                </w:p>
              </w:tc>
              <w:tc>
                <w:tcPr>
                  <w:tcW w:w="631" w:type="pct"/>
                  <w:vAlign w:val="center"/>
                </w:tcPr>
                <w:p w14:paraId="5C752F43">
                  <w:pPr>
                    <w:pStyle w:val="47"/>
                    <w:adjustRightInd w:val="0"/>
                    <w:snapToGrid w:val="0"/>
                    <w:rPr>
                      <w:rFonts w:eastAsia="宋体"/>
                      <w:kern w:val="0"/>
                    </w:rPr>
                  </w:pPr>
                  <w:r>
                    <w:rPr>
                      <w:rFonts w:eastAsia="宋体"/>
                      <w:kern w:val="0"/>
                    </w:rPr>
                    <w:t>胶粘剂</w:t>
                  </w:r>
                </w:p>
              </w:tc>
              <w:tc>
                <w:tcPr>
                  <w:tcW w:w="442" w:type="pct"/>
                  <w:vAlign w:val="center"/>
                </w:tcPr>
                <w:p w14:paraId="6D80DE7B">
                  <w:pPr>
                    <w:adjustRightInd w:val="0"/>
                    <w:snapToGrid w:val="0"/>
                    <w:jc w:val="center"/>
                    <w:rPr>
                      <w:szCs w:val="21"/>
                      <w:highlight w:val="yellow"/>
                    </w:rPr>
                  </w:pPr>
                  <w:r>
                    <w:rPr>
                      <w:szCs w:val="21"/>
                    </w:rPr>
                    <w:t>T</w:t>
                  </w:r>
                </w:p>
              </w:tc>
              <w:tc>
                <w:tcPr>
                  <w:tcW w:w="365" w:type="pct"/>
                  <w:vAlign w:val="center"/>
                </w:tcPr>
                <w:p w14:paraId="355FF6CB">
                  <w:pPr>
                    <w:adjustRightInd w:val="0"/>
                    <w:snapToGrid w:val="0"/>
                    <w:jc w:val="center"/>
                    <w:rPr>
                      <w:szCs w:val="21"/>
                    </w:rPr>
                  </w:pPr>
                  <w:r>
                    <w:rPr>
                      <w:rFonts w:hint="eastAsia"/>
                      <w:szCs w:val="21"/>
                    </w:rPr>
                    <w:t>HW13</w:t>
                  </w:r>
                </w:p>
              </w:tc>
              <w:tc>
                <w:tcPr>
                  <w:tcW w:w="679" w:type="pct"/>
                  <w:vAlign w:val="center"/>
                </w:tcPr>
                <w:p w14:paraId="699AB2CC">
                  <w:pPr>
                    <w:adjustRightInd w:val="0"/>
                    <w:snapToGrid w:val="0"/>
                    <w:jc w:val="center"/>
                    <w:rPr>
                      <w:szCs w:val="21"/>
                    </w:rPr>
                  </w:pPr>
                  <w:r>
                    <w:rPr>
                      <w:rFonts w:hint="eastAsia"/>
                      <w:szCs w:val="21"/>
                    </w:rPr>
                    <w:t>900-014-13</w:t>
                  </w:r>
                </w:p>
              </w:tc>
              <w:tc>
                <w:tcPr>
                  <w:tcW w:w="442" w:type="pct"/>
                  <w:vAlign w:val="center"/>
                </w:tcPr>
                <w:p w14:paraId="5DD4EA65">
                  <w:pPr>
                    <w:pStyle w:val="47"/>
                    <w:adjustRightInd w:val="0"/>
                    <w:snapToGrid w:val="0"/>
                    <w:rPr>
                      <w:rFonts w:eastAsia="宋体"/>
                      <w:kern w:val="0"/>
                    </w:rPr>
                  </w:pPr>
                  <w:r>
                    <w:rPr>
                      <w:rFonts w:hint="eastAsia" w:eastAsia="宋体"/>
                      <w:kern w:val="0"/>
                    </w:rPr>
                    <w:t>0.2</w:t>
                  </w:r>
                </w:p>
              </w:tc>
            </w:tr>
            <w:tr w14:paraId="05B9DE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06A7D3EB">
                  <w:pPr>
                    <w:pStyle w:val="47"/>
                    <w:adjustRightInd w:val="0"/>
                    <w:snapToGrid w:val="0"/>
                    <w:rPr>
                      <w:rFonts w:eastAsia="宋体"/>
                    </w:rPr>
                  </w:pPr>
                  <w:r>
                    <w:rPr>
                      <w:rFonts w:eastAsia="宋体"/>
                    </w:rPr>
                    <w:t>10</w:t>
                  </w:r>
                </w:p>
              </w:tc>
              <w:tc>
                <w:tcPr>
                  <w:tcW w:w="799" w:type="pct"/>
                  <w:vAlign w:val="center"/>
                </w:tcPr>
                <w:p w14:paraId="7F2656FF">
                  <w:pPr>
                    <w:pStyle w:val="47"/>
                    <w:adjustRightInd w:val="0"/>
                    <w:snapToGrid w:val="0"/>
                    <w:rPr>
                      <w:rFonts w:eastAsia="宋体"/>
                      <w:kern w:val="0"/>
                    </w:rPr>
                  </w:pPr>
                  <w:r>
                    <w:rPr>
                      <w:rFonts w:eastAsia="宋体"/>
                      <w:kern w:val="0"/>
                    </w:rPr>
                    <w:t>废切削液</w:t>
                  </w:r>
                </w:p>
              </w:tc>
              <w:tc>
                <w:tcPr>
                  <w:tcW w:w="272" w:type="pct"/>
                  <w:vMerge w:val="continue"/>
                  <w:vAlign w:val="center"/>
                </w:tcPr>
                <w:p w14:paraId="1E87BABA">
                  <w:pPr>
                    <w:pStyle w:val="47"/>
                    <w:adjustRightInd w:val="0"/>
                    <w:snapToGrid w:val="0"/>
                    <w:rPr>
                      <w:rFonts w:eastAsia="宋体"/>
                      <w:kern w:val="0"/>
                    </w:rPr>
                  </w:pPr>
                </w:p>
              </w:tc>
              <w:tc>
                <w:tcPr>
                  <w:tcW w:w="652" w:type="pct"/>
                  <w:vAlign w:val="center"/>
                </w:tcPr>
                <w:p w14:paraId="20D39E7E">
                  <w:pPr>
                    <w:pStyle w:val="47"/>
                    <w:adjustRightInd w:val="0"/>
                    <w:snapToGrid w:val="0"/>
                    <w:rPr>
                      <w:rFonts w:eastAsia="宋体"/>
                    </w:rPr>
                  </w:pPr>
                  <w:r>
                    <w:rPr>
                      <w:rFonts w:eastAsia="宋体"/>
                    </w:rPr>
                    <w:t>模具检修、维护</w:t>
                  </w:r>
                </w:p>
              </w:tc>
              <w:tc>
                <w:tcPr>
                  <w:tcW w:w="376" w:type="pct"/>
                  <w:vAlign w:val="center"/>
                </w:tcPr>
                <w:p w14:paraId="457F047C">
                  <w:pPr>
                    <w:adjustRightInd w:val="0"/>
                    <w:snapToGrid w:val="0"/>
                    <w:jc w:val="center"/>
                    <w:rPr>
                      <w:kern w:val="0"/>
                      <w:szCs w:val="21"/>
                    </w:rPr>
                  </w:pPr>
                  <w:r>
                    <w:rPr>
                      <w:kern w:val="0"/>
                      <w:szCs w:val="21"/>
                    </w:rPr>
                    <w:t>液态</w:t>
                  </w:r>
                </w:p>
              </w:tc>
              <w:tc>
                <w:tcPr>
                  <w:tcW w:w="631" w:type="pct"/>
                  <w:vAlign w:val="center"/>
                </w:tcPr>
                <w:p w14:paraId="31AAB455">
                  <w:pPr>
                    <w:pStyle w:val="47"/>
                    <w:adjustRightInd w:val="0"/>
                    <w:snapToGrid w:val="0"/>
                    <w:rPr>
                      <w:rFonts w:eastAsia="宋体"/>
                      <w:kern w:val="0"/>
                    </w:rPr>
                  </w:pPr>
                  <w:r>
                    <w:rPr>
                      <w:rFonts w:eastAsia="宋体"/>
                      <w:kern w:val="0"/>
                    </w:rPr>
                    <w:t>切削液、水</w:t>
                  </w:r>
                </w:p>
              </w:tc>
              <w:tc>
                <w:tcPr>
                  <w:tcW w:w="442" w:type="pct"/>
                  <w:vAlign w:val="center"/>
                </w:tcPr>
                <w:p w14:paraId="4C400050">
                  <w:pPr>
                    <w:adjustRightInd w:val="0"/>
                    <w:snapToGrid w:val="0"/>
                    <w:jc w:val="center"/>
                    <w:rPr>
                      <w:szCs w:val="21"/>
                    </w:rPr>
                  </w:pPr>
                  <w:r>
                    <w:rPr>
                      <w:szCs w:val="21"/>
                    </w:rPr>
                    <w:t>T</w:t>
                  </w:r>
                </w:p>
              </w:tc>
              <w:tc>
                <w:tcPr>
                  <w:tcW w:w="365" w:type="pct"/>
                  <w:vAlign w:val="center"/>
                </w:tcPr>
                <w:p w14:paraId="35639443">
                  <w:pPr>
                    <w:adjustRightInd w:val="0"/>
                    <w:snapToGrid w:val="0"/>
                    <w:jc w:val="center"/>
                    <w:rPr>
                      <w:szCs w:val="21"/>
                    </w:rPr>
                  </w:pPr>
                  <w:r>
                    <w:rPr>
                      <w:szCs w:val="21"/>
                    </w:rPr>
                    <w:t>HW09</w:t>
                  </w:r>
                </w:p>
              </w:tc>
              <w:tc>
                <w:tcPr>
                  <w:tcW w:w="679" w:type="pct"/>
                  <w:vAlign w:val="center"/>
                </w:tcPr>
                <w:p w14:paraId="7DB1F17C">
                  <w:pPr>
                    <w:adjustRightInd w:val="0"/>
                    <w:snapToGrid w:val="0"/>
                    <w:jc w:val="center"/>
                    <w:rPr>
                      <w:szCs w:val="21"/>
                    </w:rPr>
                  </w:pPr>
                  <w:r>
                    <w:rPr>
                      <w:szCs w:val="21"/>
                    </w:rPr>
                    <w:t>900-006-09</w:t>
                  </w:r>
                </w:p>
              </w:tc>
              <w:tc>
                <w:tcPr>
                  <w:tcW w:w="442" w:type="pct"/>
                  <w:vAlign w:val="center"/>
                </w:tcPr>
                <w:p w14:paraId="65DEFFF8">
                  <w:pPr>
                    <w:pStyle w:val="47"/>
                    <w:adjustRightInd w:val="0"/>
                    <w:snapToGrid w:val="0"/>
                    <w:rPr>
                      <w:rFonts w:eastAsia="宋体"/>
                      <w:kern w:val="0"/>
                    </w:rPr>
                  </w:pPr>
                  <w:r>
                    <w:rPr>
                      <w:rFonts w:eastAsia="宋体"/>
                      <w:kern w:val="0"/>
                    </w:rPr>
                    <w:t>1.4</w:t>
                  </w:r>
                </w:p>
              </w:tc>
            </w:tr>
            <w:tr w14:paraId="5CCFD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2" w:type="pct"/>
                  <w:vAlign w:val="center"/>
                </w:tcPr>
                <w:p w14:paraId="2CFFAD82">
                  <w:pPr>
                    <w:pStyle w:val="47"/>
                    <w:adjustRightInd w:val="0"/>
                    <w:snapToGrid w:val="0"/>
                    <w:rPr>
                      <w:rFonts w:eastAsia="宋体"/>
                    </w:rPr>
                  </w:pPr>
                  <w:r>
                    <w:rPr>
                      <w:rFonts w:eastAsia="宋体"/>
                    </w:rPr>
                    <w:t>11</w:t>
                  </w:r>
                </w:p>
              </w:tc>
              <w:tc>
                <w:tcPr>
                  <w:tcW w:w="799" w:type="pct"/>
                  <w:vAlign w:val="center"/>
                </w:tcPr>
                <w:p w14:paraId="24D81FDD">
                  <w:pPr>
                    <w:pStyle w:val="47"/>
                    <w:adjustRightInd w:val="0"/>
                    <w:snapToGrid w:val="0"/>
                    <w:rPr>
                      <w:rFonts w:eastAsia="宋体"/>
                      <w:kern w:val="0"/>
                    </w:rPr>
                  </w:pPr>
                  <w:r>
                    <w:rPr>
                      <w:rFonts w:eastAsia="宋体"/>
                      <w:kern w:val="0"/>
                    </w:rPr>
                    <w:t>蒸发器残渣</w:t>
                  </w:r>
                </w:p>
              </w:tc>
              <w:tc>
                <w:tcPr>
                  <w:tcW w:w="272" w:type="pct"/>
                  <w:vMerge w:val="continue"/>
                  <w:vAlign w:val="center"/>
                </w:tcPr>
                <w:p w14:paraId="31D62742">
                  <w:pPr>
                    <w:pStyle w:val="47"/>
                    <w:adjustRightInd w:val="0"/>
                    <w:snapToGrid w:val="0"/>
                    <w:rPr>
                      <w:rFonts w:eastAsia="宋体"/>
                      <w:kern w:val="0"/>
                    </w:rPr>
                  </w:pPr>
                </w:p>
              </w:tc>
              <w:tc>
                <w:tcPr>
                  <w:tcW w:w="652" w:type="pct"/>
                  <w:vAlign w:val="center"/>
                </w:tcPr>
                <w:p w14:paraId="1B4683DC">
                  <w:pPr>
                    <w:pStyle w:val="47"/>
                    <w:adjustRightInd w:val="0"/>
                    <w:snapToGrid w:val="0"/>
                    <w:rPr>
                      <w:rFonts w:eastAsia="宋体"/>
                    </w:rPr>
                  </w:pPr>
                  <w:r>
                    <w:rPr>
                      <w:rFonts w:eastAsia="宋体"/>
                    </w:rPr>
                    <w:t>废水处理</w:t>
                  </w:r>
                </w:p>
              </w:tc>
              <w:tc>
                <w:tcPr>
                  <w:tcW w:w="376" w:type="pct"/>
                  <w:vAlign w:val="center"/>
                </w:tcPr>
                <w:p w14:paraId="2CF8AEDA">
                  <w:pPr>
                    <w:adjustRightInd w:val="0"/>
                    <w:snapToGrid w:val="0"/>
                    <w:jc w:val="center"/>
                    <w:rPr>
                      <w:kern w:val="0"/>
                      <w:szCs w:val="21"/>
                    </w:rPr>
                  </w:pPr>
                  <w:r>
                    <w:rPr>
                      <w:kern w:val="0"/>
                      <w:szCs w:val="21"/>
                    </w:rPr>
                    <w:t>半固态</w:t>
                  </w:r>
                </w:p>
              </w:tc>
              <w:tc>
                <w:tcPr>
                  <w:tcW w:w="631" w:type="pct"/>
                  <w:vAlign w:val="center"/>
                </w:tcPr>
                <w:p w14:paraId="12098F9F">
                  <w:pPr>
                    <w:pStyle w:val="47"/>
                    <w:adjustRightInd w:val="0"/>
                    <w:snapToGrid w:val="0"/>
                    <w:rPr>
                      <w:rFonts w:eastAsia="宋体"/>
                      <w:kern w:val="0"/>
                    </w:rPr>
                  </w:pPr>
                  <w:r>
                    <w:rPr>
                      <w:rFonts w:eastAsia="宋体"/>
                      <w:kern w:val="0"/>
                    </w:rPr>
                    <w:t>含</w:t>
                  </w:r>
                  <w:r>
                    <w:rPr>
                      <w:rFonts w:hint="eastAsia" w:eastAsia="宋体"/>
                      <w:kern w:val="0"/>
                      <w:lang w:val="en-US" w:eastAsia="zh-CN"/>
                    </w:rPr>
                    <w:t>有机物</w:t>
                  </w:r>
                  <w:r>
                    <w:rPr>
                      <w:rFonts w:eastAsia="宋体"/>
                      <w:kern w:val="0"/>
                    </w:rPr>
                    <w:t>等</w:t>
                  </w:r>
                </w:p>
              </w:tc>
              <w:tc>
                <w:tcPr>
                  <w:tcW w:w="442" w:type="pct"/>
                  <w:vAlign w:val="center"/>
                </w:tcPr>
                <w:p w14:paraId="6711816C">
                  <w:pPr>
                    <w:adjustRightInd w:val="0"/>
                    <w:snapToGrid w:val="0"/>
                    <w:jc w:val="center"/>
                    <w:rPr>
                      <w:szCs w:val="21"/>
                    </w:rPr>
                  </w:pPr>
                  <w:r>
                    <w:rPr>
                      <w:szCs w:val="21"/>
                    </w:rPr>
                    <w:t>T</w:t>
                  </w:r>
                </w:p>
              </w:tc>
              <w:tc>
                <w:tcPr>
                  <w:tcW w:w="365" w:type="pct"/>
                  <w:vAlign w:val="center"/>
                </w:tcPr>
                <w:p w14:paraId="16544CB2">
                  <w:pPr>
                    <w:spacing w:line="320" w:lineRule="exact"/>
                    <w:jc w:val="center"/>
                    <w:rPr>
                      <w:szCs w:val="21"/>
                    </w:rPr>
                  </w:pPr>
                  <w:r>
                    <w:rPr>
                      <w:szCs w:val="21"/>
                    </w:rPr>
                    <w:t>HW49</w:t>
                  </w:r>
                </w:p>
              </w:tc>
              <w:tc>
                <w:tcPr>
                  <w:tcW w:w="679" w:type="pct"/>
                  <w:vAlign w:val="center"/>
                </w:tcPr>
                <w:p w14:paraId="5CE879A1">
                  <w:pPr>
                    <w:spacing w:line="280" w:lineRule="exact"/>
                    <w:jc w:val="center"/>
                    <w:rPr>
                      <w:szCs w:val="21"/>
                    </w:rPr>
                  </w:pPr>
                  <w:r>
                    <w:rPr>
                      <w:szCs w:val="21"/>
                    </w:rPr>
                    <w:t>900-</w:t>
                  </w:r>
                  <w:r>
                    <w:rPr>
                      <w:rFonts w:hint="eastAsia"/>
                      <w:szCs w:val="21"/>
                    </w:rPr>
                    <w:t>046</w:t>
                  </w:r>
                  <w:r>
                    <w:rPr>
                      <w:szCs w:val="21"/>
                    </w:rPr>
                    <w:t>-49</w:t>
                  </w:r>
                </w:p>
              </w:tc>
              <w:tc>
                <w:tcPr>
                  <w:tcW w:w="442" w:type="pct"/>
                  <w:vAlign w:val="center"/>
                </w:tcPr>
                <w:p w14:paraId="78A7464A">
                  <w:pPr>
                    <w:pStyle w:val="47"/>
                    <w:adjustRightInd w:val="0"/>
                    <w:snapToGrid w:val="0"/>
                    <w:rPr>
                      <w:rFonts w:eastAsia="宋体"/>
                      <w:kern w:val="0"/>
                    </w:rPr>
                  </w:pPr>
                  <w:r>
                    <w:rPr>
                      <w:rFonts w:hint="eastAsia" w:eastAsia="宋体"/>
                      <w:kern w:val="0"/>
                    </w:rPr>
                    <w:t>9.1</w:t>
                  </w:r>
                </w:p>
              </w:tc>
            </w:tr>
          </w:tbl>
          <w:p w14:paraId="38119596">
            <w:pPr>
              <w:pStyle w:val="64"/>
              <w:adjustRightInd w:val="0"/>
              <w:snapToGrid w:val="0"/>
              <w:spacing w:beforeLines="50" w:line="360" w:lineRule="auto"/>
              <w:ind w:firstLine="422"/>
              <w:rPr>
                <w:rFonts w:eastAsia="宋体"/>
                <w:b/>
                <w:bCs/>
                <w:sz w:val="21"/>
                <w:szCs w:val="21"/>
              </w:rPr>
            </w:pPr>
            <w:r>
              <w:rPr>
                <w:rFonts w:eastAsia="宋体"/>
                <w:b/>
                <w:bCs/>
                <w:sz w:val="21"/>
                <w:szCs w:val="21"/>
              </w:rPr>
              <w:t>③固体废物处置方式</w:t>
            </w:r>
          </w:p>
          <w:p w14:paraId="2D5FF87E">
            <w:pPr>
              <w:pStyle w:val="46"/>
              <w:spacing w:beforeLines="0" w:afterLines="0"/>
              <w:rPr>
                <w:rFonts w:eastAsia="宋体"/>
                <w:snapToGrid w:val="0"/>
                <w:sz w:val="21"/>
                <w:szCs w:val="21"/>
              </w:rPr>
            </w:pPr>
            <w:r>
              <w:rPr>
                <w:rFonts w:eastAsia="宋体"/>
                <w:snapToGrid w:val="0"/>
                <w:sz w:val="21"/>
                <w:szCs w:val="21"/>
              </w:rPr>
              <w:t>表4-28  项目固体废物利用处置方式评价表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28" w:type="dxa"/>
                <w:bottom w:w="0" w:type="dxa"/>
                <w:right w:w="28" w:type="dxa"/>
              </w:tblCellMar>
            </w:tblPr>
            <w:tblGrid>
              <w:gridCol w:w="576"/>
              <w:gridCol w:w="1314"/>
              <w:gridCol w:w="1114"/>
              <w:gridCol w:w="585"/>
              <w:gridCol w:w="1365"/>
              <w:gridCol w:w="1050"/>
              <w:gridCol w:w="1305"/>
              <w:gridCol w:w="1236"/>
            </w:tblGrid>
            <w:tr w14:paraId="7F318D2E">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6C4262F0">
                  <w:pPr>
                    <w:pStyle w:val="67"/>
                    <w:rPr>
                      <w:b/>
                    </w:rPr>
                  </w:pPr>
                  <w:r>
                    <w:rPr>
                      <w:b/>
                    </w:rPr>
                    <w:t>序号</w:t>
                  </w:r>
                </w:p>
              </w:tc>
              <w:tc>
                <w:tcPr>
                  <w:tcW w:w="1314" w:type="dxa"/>
                  <w:vAlign w:val="center"/>
                </w:tcPr>
                <w:p w14:paraId="730E8DF8">
                  <w:pPr>
                    <w:pStyle w:val="67"/>
                    <w:rPr>
                      <w:b/>
                    </w:rPr>
                  </w:pPr>
                  <w:r>
                    <w:rPr>
                      <w:b/>
                    </w:rPr>
                    <w:t>固体废物名称</w:t>
                  </w:r>
                </w:p>
              </w:tc>
              <w:tc>
                <w:tcPr>
                  <w:tcW w:w="1114" w:type="dxa"/>
                  <w:vAlign w:val="center"/>
                </w:tcPr>
                <w:p w14:paraId="0534F980">
                  <w:pPr>
                    <w:pStyle w:val="67"/>
                    <w:rPr>
                      <w:b/>
                    </w:rPr>
                  </w:pPr>
                  <w:r>
                    <w:rPr>
                      <w:b/>
                    </w:rPr>
                    <w:t>产生工序</w:t>
                  </w:r>
                </w:p>
              </w:tc>
              <w:tc>
                <w:tcPr>
                  <w:tcW w:w="585" w:type="dxa"/>
                  <w:vAlign w:val="center"/>
                </w:tcPr>
                <w:p w14:paraId="26C0F9EB">
                  <w:pPr>
                    <w:pStyle w:val="67"/>
                    <w:rPr>
                      <w:b/>
                    </w:rPr>
                  </w:pPr>
                  <w:r>
                    <w:rPr>
                      <w:b/>
                    </w:rPr>
                    <w:t>属性</w:t>
                  </w:r>
                </w:p>
              </w:tc>
              <w:tc>
                <w:tcPr>
                  <w:tcW w:w="1365" w:type="dxa"/>
                  <w:vAlign w:val="center"/>
                </w:tcPr>
                <w:p w14:paraId="0F9B060F">
                  <w:pPr>
                    <w:pStyle w:val="67"/>
                    <w:rPr>
                      <w:b/>
                    </w:rPr>
                  </w:pPr>
                  <w:r>
                    <w:rPr>
                      <w:b/>
                    </w:rPr>
                    <w:t>废物代码</w:t>
                  </w:r>
                </w:p>
              </w:tc>
              <w:tc>
                <w:tcPr>
                  <w:tcW w:w="1050" w:type="dxa"/>
                  <w:vAlign w:val="center"/>
                </w:tcPr>
                <w:p w14:paraId="5AE1F3BA">
                  <w:pPr>
                    <w:pStyle w:val="67"/>
                    <w:rPr>
                      <w:b/>
                    </w:rPr>
                  </w:pPr>
                  <w:r>
                    <w:rPr>
                      <w:b/>
                    </w:rPr>
                    <w:t>产生量（t/a）</w:t>
                  </w:r>
                </w:p>
              </w:tc>
              <w:tc>
                <w:tcPr>
                  <w:tcW w:w="1305" w:type="dxa"/>
                  <w:vAlign w:val="center"/>
                </w:tcPr>
                <w:p w14:paraId="101253F1">
                  <w:pPr>
                    <w:pStyle w:val="67"/>
                    <w:rPr>
                      <w:b/>
                    </w:rPr>
                  </w:pPr>
                  <w:r>
                    <w:rPr>
                      <w:b/>
                    </w:rPr>
                    <w:t>处理处置方式</w:t>
                  </w:r>
                </w:p>
              </w:tc>
              <w:tc>
                <w:tcPr>
                  <w:tcW w:w="1236" w:type="dxa"/>
                  <w:vAlign w:val="center"/>
                </w:tcPr>
                <w:p w14:paraId="7065B7E9">
                  <w:pPr>
                    <w:pStyle w:val="67"/>
                    <w:rPr>
                      <w:b/>
                    </w:rPr>
                  </w:pPr>
                  <w:r>
                    <w:rPr>
                      <w:b/>
                    </w:rPr>
                    <w:t>利用处置单位</w:t>
                  </w:r>
                </w:p>
              </w:tc>
            </w:tr>
            <w:tr w14:paraId="30C3182C">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42F4B299">
                  <w:pPr>
                    <w:pStyle w:val="47"/>
                    <w:adjustRightInd w:val="0"/>
                    <w:snapToGrid w:val="0"/>
                    <w:rPr>
                      <w:rFonts w:eastAsia="宋体"/>
                    </w:rPr>
                  </w:pPr>
                  <w:r>
                    <w:rPr>
                      <w:rFonts w:eastAsia="宋体"/>
                    </w:rPr>
                    <w:t>1</w:t>
                  </w:r>
                </w:p>
              </w:tc>
              <w:tc>
                <w:tcPr>
                  <w:tcW w:w="1314" w:type="dxa"/>
                  <w:vAlign w:val="center"/>
                </w:tcPr>
                <w:p w14:paraId="523D911E">
                  <w:pPr>
                    <w:pStyle w:val="62"/>
                    <w:adjustRightInd w:val="0"/>
                    <w:snapToGrid w:val="0"/>
                    <w:rPr>
                      <w:rFonts w:eastAsia="宋体"/>
                    </w:rPr>
                  </w:pPr>
                  <w:r>
                    <w:rPr>
                      <w:rFonts w:eastAsia="宋体"/>
                      <w:b w:val="0"/>
                      <w:bCs/>
                    </w:rPr>
                    <w:t>生活垃圾</w:t>
                  </w:r>
                </w:p>
              </w:tc>
              <w:tc>
                <w:tcPr>
                  <w:tcW w:w="1114" w:type="dxa"/>
                  <w:vAlign w:val="center"/>
                </w:tcPr>
                <w:p w14:paraId="2CA86247">
                  <w:pPr>
                    <w:pStyle w:val="62"/>
                    <w:adjustRightInd w:val="0"/>
                    <w:snapToGrid w:val="0"/>
                    <w:rPr>
                      <w:rFonts w:eastAsia="宋体"/>
                    </w:rPr>
                  </w:pPr>
                  <w:r>
                    <w:rPr>
                      <w:rFonts w:eastAsia="宋体"/>
                      <w:b w:val="0"/>
                      <w:bCs/>
                    </w:rPr>
                    <w:t>员工生活</w:t>
                  </w:r>
                </w:p>
              </w:tc>
              <w:tc>
                <w:tcPr>
                  <w:tcW w:w="585" w:type="dxa"/>
                  <w:vAlign w:val="center"/>
                </w:tcPr>
                <w:p w14:paraId="0A1AD900">
                  <w:pPr>
                    <w:pStyle w:val="47"/>
                    <w:adjustRightInd w:val="0"/>
                    <w:snapToGrid w:val="0"/>
                    <w:rPr>
                      <w:rFonts w:eastAsia="宋体"/>
                    </w:rPr>
                  </w:pPr>
                  <w:r>
                    <w:rPr>
                      <w:rFonts w:eastAsia="宋体"/>
                      <w:kern w:val="0"/>
                    </w:rPr>
                    <w:t>--</w:t>
                  </w:r>
                </w:p>
              </w:tc>
              <w:tc>
                <w:tcPr>
                  <w:tcW w:w="1365" w:type="dxa"/>
                  <w:vAlign w:val="center"/>
                </w:tcPr>
                <w:p w14:paraId="2C463D35">
                  <w:pPr>
                    <w:pStyle w:val="62"/>
                    <w:adjustRightInd w:val="0"/>
                    <w:snapToGrid w:val="0"/>
                    <w:rPr>
                      <w:rFonts w:eastAsia="宋体"/>
                    </w:rPr>
                  </w:pPr>
                  <w:r>
                    <w:rPr>
                      <w:rFonts w:eastAsia="宋体"/>
                      <w:b w:val="0"/>
                      <w:bCs/>
                    </w:rPr>
                    <w:t>900-099-S64</w:t>
                  </w:r>
                </w:p>
              </w:tc>
              <w:tc>
                <w:tcPr>
                  <w:tcW w:w="1050" w:type="dxa"/>
                  <w:vAlign w:val="center"/>
                </w:tcPr>
                <w:p w14:paraId="08F0BBB5">
                  <w:pPr>
                    <w:pStyle w:val="62"/>
                    <w:adjustRightInd w:val="0"/>
                    <w:snapToGrid w:val="0"/>
                    <w:rPr>
                      <w:rFonts w:eastAsia="宋体"/>
                    </w:rPr>
                  </w:pPr>
                  <w:r>
                    <w:rPr>
                      <w:rFonts w:hint="eastAsia" w:eastAsia="宋体"/>
                      <w:b w:val="0"/>
                      <w:bCs/>
                    </w:rPr>
                    <w:t>15</w:t>
                  </w:r>
                </w:p>
              </w:tc>
              <w:tc>
                <w:tcPr>
                  <w:tcW w:w="1305" w:type="dxa"/>
                  <w:vAlign w:val="center"/>
                </w:tcPr>
                <w:p w14:paraId="670A83D3">
                  <w:pPr>
                    <w:pStyle w:val="67"/>
                  </w:pPr>
                  <w:r>
                    <w:t>环卫清运</w:t>
                  </w:r>
                </w:p>
              </w:tc>
              <w:tc>
                <w:tcPr>
                  <w:tcW w:w="1236" w:type="dxa"/>
                  <w:vAlign w:val="center"/>
                </w:tcPr>
                <w:p w14:paraId="6413F2C1">
                  <w:pPr>
                    <w:pStyle w:val="67"/>
                  </w:pPr>
                  <w:r>
                    <w:t>环卫部门</w:t>
                  </w:r>
                </w:p>
              </w:tc>
            </w:tr>
            <w:tr w14:paraId="3DB2650B">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0A9F1BD6">
                  <w:pPr>
                    <w:pStyle w:val="47"/>
                    <w:adjustRightInd w:val="0"/>
                    <w:snapToGrid w:val="0"/>
                    <w:rPr>
                      <w:rFonts w:eastAsia="宋体"/>
                    </w:rPr>
                  </w:pPr>
                  <w:r>
                    <w:rPr>
                      <w:rFonts w:eastAsia="宋体"/>
                    </w:rPr>
                    <w:t>2</w:t>
                  </w:r>
                </w:p>
              </w:tc>
              <w:tc>
                <w:tcPr>
                  <w:tcW w:w="1314" w:type="dxa"/>
                  <w:vAlign w:val="center"/>
                </w:tcPr>
                <w:p w14:paraId="6D279771">
                  <w:pPr>
                    <w:pStyle w:val="47"/>
                    <w:adjustRightInd w:val="0"/>
                    <w:snapToGrid w:val="0"/>
                    <w:rPr>
                      <w:rFonts w:eastAsia="宋体"/>
                    </w:rPr>
                  </w:pPr>
                  <w:r>
                    <w:rPr>
                      <w:rFonts w:hint="eastAsia" w:eastAsia="宋体"/>
                      <w:kern w:val="0"/>
                    </w:rPr>
                    <w:t>废胶料</w:t>
                  </w:r>
                </w:p>
              </w:tc>
              <w:tc>
                <w:tcPr>
                  <w:tcW w:w="1114" w:type="dxa"/>
                  <w:vAlign w:val="center"/>
                </w:tcPr>
                <w:p w14:paraId="76A18709">
                  <w:pPr>
                    <w:pStyle w:val="47"/>
                    <w:adjustRightInd w:val="0"/>
                    <w:snapToGrid w:val="0"/>
                    <w:rPr>
                      <w:rFonts w:eastAsia="宋体"/>
                    </w:rPr>
                  </w:pPr>
                  <w:r>
                    <w:rPr>
                      <w:rFonts w:eastAsia="宋体"/>
                    </w:rPr>
                    <w:t>挤出</w:t>
                  </w:r>
                </w:p>
              </w:tc>
              <w:tc>
                <w:tcPr>
                  <w:tcW w:w="585" w:type="dxa"/>
                  <w:vMerge w:val="restart"/>
                  <w:vAlign w:val="center"/>
                </w:tcPr>
                <w:p w14:paraId="3BCF3677">
                  <w:pPr>
                    <w:pStyle w:val="47"/>
                    <w:adjustRightInd w:val="0"/>
                    <w:snapToGrid w:val="0"/>
                    <w:rPr>
                      <w:rFonts w:eastAsia="宋体"/>
                    </w:rPr>
                  </w:pPr>
                  <w:r>
                    <w:rPr>
                      <w:rFonts w:eastAsia="宋体"/>
                    </w:rPr>
                    <w:t>一般固废</w:t>
                  </w:r>
                </w:p>
              </w:tc>
              <w:tc>
                <w:tcPr>
                  <w:tcW w:w="1365" w:type="dxa"/>
                  <w:vAlign w:val="center"/>
                </w:tcPr>
                <w:p w14:paraId="58B5992E">
                  <w:pPr>
                    <w:adjustRightInd w:val="0"/>
                    <w:snapToGrid w:val="0"/>
                    <w:jc w:val="center"/>
                    <w:rPr>
                      <w:szCs w:val="21"/>
                    </w:rPr>
                  </w:pPr>
                  <w:r>
                    <w:rPr>
                      <w:kern w:val="0"/>
                      <w:szCs w:val="21"/>
                    </w:rPr>
                    <w:t>900-006-S17</w:t>
                  </w:r>
                </w:p>
              </w:tc>
              <w:tc>
                <w:tcPr>
                  <w:tcW w:w="1050" w:type="dxa"/>
                  <w:vAlign w:val="center"/>
                </w:tcPr>
                <w:p w14:paraId="59C18607">
                  <w:pPr>
                    <w:pStyle w:val="47"/>
                    <w:adjustRightInd w:val="0"/>
                    <w:snapToGrid w:val="0"/>
                    <w:rPr>
                      <w:rFonts w:eastAsia="宋体"/>
                      <w:kern w:val="0"/>
                    </w:rPr>
                  </w:pPr>
                  <w:r>
                    <w:rPr>
                      <w:rFonts w:hint="eastAsia" w:eastAsia="宋体"/>
                      <w:kern w:val="0"/>
                    </w:rPr>
                    <w:t>2.3</w:t>
                  </w:r>
                </w:p>
              </w:tc>
              <w:tc>
                <w:tcPr>
                  <w:tcW w:w="1305" w:type="dxa"/>
                  <w:vMerge w:val="restart"/>
                  <w:vAlign w:val="center"/>
                </w:tcPr>
                <w:p w14:paraId="175138C1">
                  <w:pPr>
                    <w:pStyle w:val="67"/>
                  </w:pPr>
                  <w:r>
                    <w:t>外售利用</w:t>
                  </w:r>
                </w:p>
              </w:tc>
              <w:tc>
                <w:tcPr>
                  <w:tcW w:w="1236" w:type="dxa"/>
                  <w:vMerge w:val="restart"/>
                  <w:vAlign w:val="center"/>
                </w:tcPr>
                <w:p w14:paraId="12947B62">
                  <w:pPr>
                    <w:pStyle w:val="67"/>
                  </w:pPr>
                  <w:r>
                    <w:t>物资公司</w:t>
                  </w:r>
                </w:p>
              </w:tc>
            </w:tr>
            <w:tr w14:paraId="7CDBC769">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0FA8BE08">
                  <w:pPr>
                    <w:pStyle w:val="47"/>
                    <w:adjustRightInd w:val="0"/>
                    <w:snapToGrid w:val="0"/>
                    <w:rPr>
                      <w:rFonts w:eastAsia="宋体"/>
                    </w:rPr>
                  </w:pPr>
                  <w:r>
                    <w:rPr>
                      <w:rFonts w:hint="eastAsia" w:eastAsia="宋体"/>
                    </w:rPr>
                    <w:t>3</w:t>
                  </w:r>
                </w:p>
              </w:tc>
              <w:tc>
                <w:tcPr>
                  <w:tcW w:w="1314" w:type="dxa"/>
                  <w:vAlign w:val="center"/>
                </w:tcPr>
                <w:p w14:paraId="1E5CF58B">
                  <w:pPr>
                    <w:pStyle w:val="47"/>
                    <w:adjustRightInd w:val="0"/>
                    <w:snapToGrid w:val="0"/>
                    <w:rPr>
                      <w:rFonts w:eastAsia="宋体"/>
                      <w:kern w:val="0"/>
                    </w:rPr>
                  </w:pPr>
                  <w:r>
                    <w:rPr>
                      <w:rFonts w:eastAsia="宋体"/>
                      <w:kern w:val="0"/>
                    </w:rPr>
                    <w:t>废橡胶边角料</w:t>
                  </w:r>
                </w:p>
              </w:tc>
              <w:tc>
                <w:tcPr>
                  <w:tcW w:w="1114" w:type="dxa"/>
                  <w:vAlign w:val="center"/>
                </w:tcPr>
                <w:p w14:paraId="2F96D77D">
                  <w:pPr>
                    <w:pStyle w:val="47"/>
                    <w:adjustRightInd w:val="0"/>
                    <w:snapToGrid w:val="0"/>
                    <w:rPr>
                      <w:rFonts w:eastAsia="宋体"/>
                    </w:rPr>
                  </w:pPr>
                  <w:r>
                    <w:rPr>
                      <w:rFonts w:eastAsia="宋体"/>
                    </w:rPr>
                    <w:t>修整</w:t>
                  </w:r>
                </w:p>
              </w:tc>
              <w:tc>
                <w:tcPr>
                  <w:tcW w:w="585" w:type="dxa"/>
                  <w:vMerge w:val="continue"/>
                  <w:vAlign w:val="center"/>
                </w:tcPr>
                <w:p w14:paraId="57510159">
                  <w:pPr>
                    <w:pStyle w:val="47"/>
                    <w:adjustRightInd w:val="0"/>
                    <w:snapToGrid w:val="0"/>
                    <w:rPr>
                      <w:rFonts w:eastAsia="宋体"/>
                      <w:kern w:val="0"/>
                    </w:rPr>
                  </w:pPr>
                </w:p>
              </w:tc>
              <w:tc>
                <w:tcPr>
                  <w:tcW w:w="1365" w:type="dxa"/>
                  <w:vAlign w:val="center"/>
                </w:tcPr>
                <w:p w14:paraId="098BAE6C">
                  <w:pPr>
                    <w:adjustRightInd w:val="0"/>
                    <w:snapToGrid w:val="0"/>
                    <w:jc w:val="center"/>
                    <w:rPr>
                      <w:szCs w:val="21"/>
                    </w:rPr>
                  </w:pPr>
                  <w:r>
                    <w:rPr>
                      <w:kern w:val="0"/>
                      <w:szCs w:val="21"/>
                    </w:rPr>
                    <w:t>900-006-S17</w:t>
                  </w:r>
                </w:p>
              </w:tc>
              <w:tc>
                <w:tcPr>
                  <w:tcW w:w="1050" w:type="dxa"/>
                  <w:vAlign w:val="center"/>
                </w:tcPr>
                <w:p w14:paraId="1A95BD66">
                  <w:pPr>
                    <w:pStyle w:val="47"/>
                    <w:adjustRightInd w:val="0"/>
                    <w:snapToGrid w:val="0"/>
                    <w:rPr>
                      <w:rFonts w:eastAsia="宋体"/>
                      <w:kern w:val="0"/>
                    </w:rPr>
                  </w:pPr>
                  <w:r>
                    <w:rPr>
                      <w:rFonts w:hint="eastAsia" w:eastAsia="宋体"/>
                      <w:kern w:val="0"/>
                    </w:rPr>
                    <w:t>9.3</w:t>
                  </w:r>
                </w:p>
              </w:tc>
              <w:tc>
                <w:tcPr>
                  <w:tcW w:w="1305" w:type="dxa"/>
                  <w:vMerge w:val="continue"/>
                  <w:vAlign w:val="center"/>
                </w:tcPr>
                <w:p w14:paraId="2297C5A2">
                  <w:pPr>
                    <w:pStyle w:val="67"/>
                  </w:pPr>
                </w:p>
              </w:tc>
              <w:tc>
                <w:tcPr>
                  <w:tcW w:w="1236" w:type="dxa"/>
                  <w:vMerge w:val="continue"/>
                  <w:vAlign w:val="center"/>
                </w:tcPr>
                <w:p w14:paraId="0E9B9A76">
                  <w:pPr>
                    <w:pStyle w:val="67"/>
                  </w:pPr>
                </w:p>
              </w:tc>
            </w:tr>
            <w:tr w14:paraId="4CFCE76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350CBF7C">
                  <w:pPr>
                    <w:pStyle w:val="47"/>
                    <w:adjustRightInd w:val="0"/>
                    <w:snapToGrid w:val="0"/>
                    <w:rPr>
                      <w:rFonts w:eastAsia="宋体"/>
                    </w:rPr>
                  </w:pPr>
                  <w:r>
                    <w:rPr>
                      <w:rFonts w:hint="eastAsia" w:eastAsia="宋体"/>
                    </w:rPr>
                    <w:t>4</w:t>
                  </w:r>
                </w:p>
              </w:tc>
              <w:tc>
                <w:tcPr>
                  <w:tcW w:w="1314" w:type="dxa"/>
                  <w:vAlign w:val="center"/>
                </w:tcPr>
                <w:p w14:paraId="0EB6608F">
                  <w:pPr>
                    <w:pStyle w:val="47"/>
                    <w:adjustRightInd w:val="0"/>
                    <w:snapToGrid w:val="0"/>
                    <w:rPr>
                      <w:rFonts w:eastAsia="宋体"/>
                      <w:kern w:val="0"/>
                    </w:rPr>
                  </w:pPr>
                  <w:r>
                    <w:rPr>
                      <w:rFonts w:eastAsia="宋体"/>
                      <w:kern w:val="0"/>
                    </w:rPr>
                    <w:t>废金属边角料</w:t>
                  </w:r>
                </w:p>
              </w:tc>
              <w:tc>
                <w:tcPr>
                  <w:tcW w:w="1114" w:type="dxa"/>
                  <w:vAlign w:val="center"/>
                </w:tcPr>
                <w:p w14:paraId="6E7E255C">
                  <w:pPr>
                    <w:pStyle w:val="47"/>
                    <w:adjustRightInd w:val="0"/>
                    <w:snapToGrid w:val="0"/>
                    <w:rPr>
                      <w:rFonts w:eastAsia="宋体"/>
                    </w:rPr>
                  </w:pPr>
                  <w:r>
                    <w:rPr>
                      <w:rFonts w:eastAsia="宋体"/>
                    </w:rPr>
                    <w:t>机加工、抛丸、喷砂</w:t>
                  </w:r>
                </w:p>
              </w:tc>
              <w:tc>
                <w:tcPr>
                  <w:tcW w:w="585" w:type="dxa"/>
                  <w:vMerge w:val="continue"/>
                  <w:vAlign w:val="center"/>
                </w:tcPr>
                <w:p w14:paraId="22FE6464">
                  <w:pPr>
                    <w:pStyle w:val="47"/>
                    <w:adjustRightInd w:val="0"/>
                    <w:snapToGrid w:val="0"/>
                    <w:rPr>
                      <w:rFonts w:eastAsia="宋体"/>
                      <w:kern w:val="0"/>
                    </w:rPr>
                  </w:pPr>
                </w:p>
              </w:tc>
              <w:tc>
                <w:tcPr>
                  <w:tcW w:w="1365" w:type="dxa"/>
                  <w:vAlign w:val="center"/>
                </w:tcPr>
                <w:p w14:paraId="0EAA235A">
                  <w:pPr>
                    <w:adjustRightInd w:val="0"/>
                    <w:snapToGrid w:val="0"/>
                    <w:jc w:val="center"/>
                    <w:rPr>
                      <w:kern w:val="0"/>
                      <w:szCs w:val="21"/>
                    </w:rPr>
                  </w:pPr>
                  <w:r>
                    <w:rPr>
                      <w:rFonts w:hint="eastAsia"/>
                      <w:szCs w:val="21"/>
                    </w:rPr>
                    <w:t>9</w:t>
                  </w:r>
                  <w:r>
                    <w:rPr>
                      <w:szCs w:val="21"/>
                    </w:rPr>
                    <w:t>00-001-S17</w:t>
                  </w:r>
                </w:p>
              </w:tc>
              <w:tc>
                <w:tcPr>
                  <w:tcW w:w="1050" w:type="dxa"/>
                  <w:vAlign w:val="center"/>
                </w:tcPr>
                <w:p w14:paraId="316B237D">
                  <w:pPr>
                    <w:pStyle w:val="47"/>
                    <w:adjustRightInd w:val="0"/>
                    <w:snapToGrid w:val="0"/>
                    <w:rPr>
                      <w:rFonts w:eastAsia="宋体"/>
                      <w:kern w:val="0"/>
                    </w:rPr>
                  </w:pPr>
                  <w:r>
                    <w:rPr>
                      <w:rFonts w:eastAsia="宋体"/>
                      <w:kern w:val="0"/>
                    </w:rPr>
                    <w:t>0.5</w:t>
                  </w:r>
                </w:p>
              </w:tc>
              <w:tc>
                <w:tcPr>
                  <w:tcW w:w="1305" w:type="dxa"/>
                  <w:vMerge w:val="continue"/>
                  <w:vAlign w:val="center"/>
                </w:tcPr>
                <w:p w14:paraId="7A5D54B0">
                  <w:pPr>
                    <w:pStyle w:val="67"/>
                  </w:pPr>
                </w:p>
              </w:tc>
              <w:tc>
                <w:tcPr>
                  <w:tcW w:w="1236" w:type="dxa"/>
                  <w:vMerge w:val="continue"/>
                  <w:vAlign w:val="center"/>
                </w:tcPr>
                <w:p w14:paraId="734F2D11">
                  <w:pPr>
                    <w:pStyle w:val="67"/>
                  </w:pPr>
                </w:p>
              </w:tc>
            </w:tr>
            <w:tr w14:paraId="2C556FF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197B6A0B">
                  <w:pPr>
                    <w:pStyle w:val="47"/>
                    <w:adjustRightInd w:val="0"/>
                    <w:snapToGrid w:val="0"/>
                    <w:rPr>
                      <w:rFonts w:eastAsia="宋体"/>
                    </w:rPr>
                  </w:pPr>
                  <w:r>
                    <w:rPr>
                      <w:rFonts w:hint="eastAsia" w:eastAsia="宋体"/>
                    </w:rPr>
                    <w:t>5</w:t>
                  </w:r>
                </w:p>
              </w:tc>
              <w:tc>
                <w:tcPr>
                  <w:tcW w:w="1314" w:type="dxa"/>
                  <w:vAlign w:val="center"/>
                </w:tcPr>
                <w:p w14:paraId="75ED66D2">
                  <w:pPr>
                    <w:pStyle w:val="47"/>
                    <w:adjustRightInd w:val="0"/>
                    <w:snapToGrid w:val="0"/>
                    <w:rPr>
                      <w:rFonts w:eastAsia="宋体"/>
                      <w:kern w:val="0"/>
                    </w:rPr>
                  </w:pPr>
                  <w:r>
                    <w:rPr>
                      <w:rFonts w:eastAsia="宋体"/>
                      <w:kern w:val="0"/>
                    </w:rPr>
                    <w:t>收集粉尘</w:t>
                  </w:r>
                </w:p>
              </w:tc>
              <w:tc>
                <w:tcPr>
                  <w:tcW w:w="1114" w:type="dxa"/>
                  <w:vAlign w:val="center"/>
                </w:tcPr>
                <w:p w14:paraId="455D286A">
                  <w:pPr>
                    <w:pStyle w:val="47"/>
                    <w:adjustRightInd w:val="0"/>
                    <w:snapToGrid w:val="0"/>
                    <w:rPr>
                      <w:rFonts w:eastAsia="宋体"/>
                    </w:rPr>
                  </w:pPr>
                  <w:r>
                    <w:rPr>
                      <w:rFonts w:eastAsia="宋体"/>
                    </w:rPr>
                    <w:t>废气处理</w:t>
                  </w:r>
                </w:p>
              </w:tc>
              <w:tc>
                <w:tcPr>
                  <w:tcW w:w="585" w:type="dxa"/>
                  <w:vMerge w:val="continue"/>
                  <w:vAlign w:val="center"/>
                </w:tcPr>
                <w:p w14:paraId="7F7DF22C">
                  <w:pPr>
                    <w:pStyle w:val="47"/>
                    <w:adjustRightInd w:val="0"/>
                    <w:snapToGrid w:val="0"/>
                    <w:rPr>
                      <w:rFonts w:eastAsia="宋体"/>
                      <w:kern w:val="0"/>
                    </w:rPr>
                  </w:pPr>
                </w:p>
              </w:tc>
              <w:tc>
                <w:tcPr>
                  <w:tcW w:w="1365" w:type="dxa"/>
                  <w:vAlign w:val="center"/>
                </w:tcPr>
                <w:p w14:paraId="5B752A50">
                  <w:pPr>
                    <w:adjustRightInd w:val="0"/>
                    <w:snapToGrid w:val="0"/>
                    <w:jc w:val="center"/>
                    <w:rPr>
                      <w:szCs w:val="21"/>
                    </w:rPr>
                  </w:pPr>
                  <w:r>
                    <w:rPr>
                      <w:szCs w:val="21"/>
                    </w:rPr>
                    <w:t>900-099-S59</w:t>
                  </w:r>
                </w:p>
              </w:tc>
              <w:tc>
                <w:tcPr>
                  <w:tcW w:w="1050" w:type="dxa"/>
                  <w:vAlign w:val="center"/>
                </w:tcPr>
                <w:p w14:paraId="027F634C">
                  <w:pPr>
                    <w:pStyle w:val="47"/>
                    <w:adjustRightInd w:val="0"/>
                    <w:snapToGrid w:val="0"/>
                    <w:rPr>
                      <w:rFonts w:eastAsia="宋体"/>
                      <w:kern w:val="0"/>
                    </w:rPr>
                  </w:pPr>
                  <w:r>
                    <w:rPr>
                      <w:rFonts w:hint="eastAsia" w:eastAsia="宋体"/>
                      <w:kern w:val="0"/>
                    </w:rPr>
                    <w:t>1.32</w:t>
                  </w:r>
                </w:p>
              </w:tc>
              <w:tc>
                <w:tcPr>
                  <w:tcW w:w="1305" w:type="dxa"/>
                  <w:vMerge w:val="continue"/>
                  <w:vAlign w:val="center"/>
                </w:tcPr>
                <w:p w14:paraId="5EEB40C0">
                  <w:pPr>
                    <w:pStyle w:val="67"/>
                  </w:pPr>
                </w:p>
              </w:tc>
              <w:tc>
                <w:tcPr>
                  <w:tcW w:w="1236" w:type="dxa"/>
                  <w:vMerge w:val="continue"/>
                  <w:vAlign w:val="center"/>
                </w:tcPr>
                <w:p w14:paraId="57964B91">
                  <w:pPr>
                    <w:pStyle w:val="67"/>
                  </w:pPr>
                </w:p>
              </w:tc>
            </w:tr>
            <w:tr w14:paraId="397B157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224825ED">
                  <w:pPr>
                    <w:pStyle w:val="47"/>
                    <w:adjustRightInd w:val="0"/>
                    <w:snapToGrid w:val="0"/>
                    <w:rPr>
                      <w:rFonts w:eastAsia="宋体"/>
                    </w:rPr>
                  </w:pPr>
                  <w:r>
                    <w:rPr>
                      <w:rFonts w:eastAsia="宋体"/>
                    </w:rPr>
                    <w:t>6</w:t>
                  </w:r>
                </w:p>
              </w:tc>
              <w:tc>
                <w:tcPr>
                  <w:tcW w:w="1314" w:type="dxa"/>
                  <w:vAlign w:val="center"/>
                </w:tcPr>
                <w:p w14:paraId="1BF33F5E">
                  <w:pPr>
                    <w:pStyle w:val="47"/>
                    <w:adjustRightInd w:val="0"/>
                    <w:snapToGrid w:val="0"/>
                    <w:rPr>
                      <w:rFonts w:eastAsia="宋体"/>
                      <w:kern w:val="0"/>
                    </w:rPr>
                  </w:pPr>
                  <w:r>
                    <w:rPr>
                      <w:rFonts w:eastAsia="宋体"/>
                      <w:kern w:val="0"/>
                    </w:rPr>
                    <w:t>废活性炭</w:t>
                  </w:r>
                </w:p>
              </w:tc>
              <w:tc>
                <w:tcPr>
                  <w:tcW w:w="1114" w:type="dxa"/>
                  <w:vAlign w:val="center"/>
                </w:tcPr>
                <w:p w14:paraId="6A6765F9">
                  <w:pPr>
                    <w:pStyle w:val="47"/>
                    <w:adjustRightInd w:val="0"/>
                    <w:snapToGrid w:val="0"/>
                    <w:rPr>
                      <w:rFonts w:eastAsia="宋体"/>
                    </w:rPr>
                  </w:pPr>
                  <w:r>
                    <w:rPr>
                      <w:rFonts w:eastAsia="宋体"/>
                    </w:rPr>
                    <w:t>废气处理</w:t>
                  </w:r>
                </w:p>
              </w:tc>
              <w:tc>
                <w:tcPr>
                  <w:tcW w:w="585" w:type="dxa"/>
                  <w:vMerge w:val="restart"/>
                  <w:vAlign w:val="center"/>
                </w:tcPr>
                <w:p w14:paraId="0F3E7252">
                  <w:pPr>
                    <w:pStyle w:val="47"/>
                    <w:adjustRightInd w:val="0"/>
                    <w:snapToGrid w:val="0"/>
                    <w:rPr>
                      <w:rFonts w:eastAsia="宋体"/>
                      <w:kern w:val="0"/>
                    </w:rPr>
                  </w:pPr>
                  <w:r>
                    <w:rPr>
                      <w:rFonts w:eastAsia="宋体"/>
                      <w:kern w:val="0"/>
                    </w:rPr>
                    <w:t>危险废物</w:t>
                  </w:r>
                </w:p>
              </w:tc>
              <w:tc>
                <w:tcPr>
                  <w:tcW w:w="1365" w:type="dxa"/>
                  <w:vAlign w:val="center"/>
                </w:tcPr>
                <w:p w14:paraId="3940C4B0">
                  <w:pPr>
                    <w:adjustRightInd w:val="0"/>
                    <w:snapToGrid w:val="0"/>
                    <w:jc w:val="center"/>
                    <w:rPr>
                      <w:szCs w:val="21"/>
                    </w:rPr>
                  </w:pPr>
                  <w:r>
                    <w:rPr>
                      <w:szCs w:val="21"/>
                    </w:rPr>
                    <w:t>900-039-49</w:t>
                  </w:r>
                </w:p>
              </w:tc>
              <w:tc>
                <w:tcPr>
                  <w:tcW w:w="1050" w:type="dxa"/>
                  <w:vAlign w:val="center"/>
                </w:tcPr>
                <w:p w14:paraId="5BE7DDC2">
                  <w:pPr>
                    <w:pStyle w:val="47"/>
                    <w:adjustRightInd w:val="0"/>
                    <w:snapToGrid w:val="0"/>
                    <w:rPr>
                      <w:rFonts w:eastAsia="宋体"/>
                      <w:kern w:val="0"/>
                    </w:rPr>
                  </w:pPr>
                  <w:r>
                    <w:rPr>
                      <w:rFonts w:hint="eastAsia" w:eastAsia="宋体"/>
                      <w:kern w:val="0"/>
                    </w:rPr>
                    <w:t>15.75</w:t>
                  </w:r>
                </w:p>
              </w:tc>
              <w:tc>
                <w:tcPr>
                  <w:tcW w:w="1305" w:type="dxa"/>
                  <w:vMerge w:val="restart"/>
                  <w:vAlign w:val="center"/>
                </w:tcPr>
                <w:p w14:paraId="0D444F2E">
                  <w:pPr>
                    <w:pStyle w:val="67"/>
                  </w:pPr>
                  <w:r>
                    <w:t>有资质单位处置</w:t>
                  </w:r>
                </w:p>
              </w:tc>
              <w:tc>
                <w:tcPr>
                  <w:tcW w:w="1236" w:type="dxa"/>
                  <w:vMerge w:val="restart"/>
                  <w:vAlign w:val="center"/>
                </w:tcPr>
                <w:p w14:paraId="291A9B76">
                  <w:pPr>
                    <w:pStyle w:val="67"/>
                  </w:pPr>
                  <w:r>
                    <w:t>有资质单位</w:t>
                  </w:r>
                </w:p>
              </w:tc>
            </w:tr>
            <w:tr w14:paraId="03BDAF71">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019457B1">
                  <w:pPr>
                    <w:pStyle w:val="47"/>
                    <w:adjustRightInd w:val="0"/>
                    <w:snapToGrid w:val="0"/>
                    <w:rPr>
                      <w:rFonts w:eastAsia="宋体"/>
                    </w:rPr>
                  </w:pPr>
                  <w:r>
                    <w:rPr>
                      <w:rFonts w:eastAsia="宋体"/>
                    </w:rPr>
                    <w:t>7</w:t>
                  </w:r>
                </w:p>
              </w:tc>
              <w:tc>
                <w:tcPr>
                  <w:tcW w:w="1314" w:type="dxa"/>
                  <w:vAlign w:val="center"/>
                </w:tcPr>
                <w:p w14:paraId="5F55D8B4">
                  <w:pPr>
                    <w:pStyle w:val="47"/>
                    <w:adjustRightInd w:val="0"/>
                    <w:snapToGrid w:val="0"/>
                    <w:rPr>
                      <w:rFonts w:eastAsia="宋体"/>
                      <w:kern w:val="0"/>
                    </w:rPr>
                  </w:pPr>
                  <w:r>
                    <w:rPr>
                      <w:rFonts w:eastAsia="宋体"/>
                      <w:kern w:val="0"/>
                    </w:rPr>
                    <w:t>污泥</w:t>
                  </w:r>
                </w:p>
              </w:tc>
              <w:tc>
                <w:tcPr>
                  <w:tcW w:w="1114" w:type="dxa"/>
                  <w:vAlign w:val="center"/>
                </w:tcPr>
                <w:p w14:paraId="40F9FE25">
                  <w:pPr>
                    <w:pStyle w:val="47"/>
                    <w:adjustRightInd w:val="0"/>
                    <w:snapToGrid w:val="0"/>
                    <w:rPr>
                      <w:rFonts w:eastAsia="宋体"/>
                    </w:rPr>
                  </w:pPr>
                  <w:r>
                    <w:rPr>
                      <w:rFonts w:eastAsia="宋体"/>
                    </w:rPr>
                    <w:t>废水处理</w:t>
                  </w:r>
                </w:p>
              </w:tc>
              <w:tc>
                <w:tcPr>
                  <w:tcW w:w="585" w:type="dxa"/>
                  <w:vMerge w:val="continue"/>
                  <w:vAlign w:val="center"/>
                </w:tcPr>
                <w:p w14:paraId="3C56EEED">
                  <w:pPr>
                    <w:pStyle w:val="47"/>
                    <w:adjustRightInd w:val="0"/>
                    <w:snapToGrid w:val="0"/>
                    <w:rPr>
                      <w:rFonts w:eastAsia="宋体"/>
                      <w:kern w:val="0"/>
                    </w:rPr>
                  </w:pPr>
                </w:p>
              </w:tc>
              <w:tc>
                <w:tcPr>
                  <w:tcW w:w="1365" w:type="dxa"/>
                  <w:vAlign w:val="center"/>
                </w:tcPr>
                <w:p w14:paraId="6FBAA64F">
                  <w:pPr>
                    <w:adjustRightInd w:val="0"/>
                    <w:snapToGrid w:val="0"/>
                    <w:jc w:val="center"/>
                    <w:rPr>
                      <w:szCs w:val="21"/>
                    </w:rPr>
                  </w:pPr>
                  <w:r>
                    <w:rPr>
                      <w:szCs w:val="21"/>
                    </w:rPr>
                    <w:t>336-064-17</w:t>
                  </w:r>
                </w:p>
              </w:tc>
              <w:tc>
                <w:tcPr>
                  <w:tcW w:w="1050" w:type="dxa"/>
                  <w:vAlign w:val="center"/>
                </w:tcPr>
                <w:p w14:paraId="54AAA1E8">
                  <w:pPr>
                    <w:pStyle w:val="47"/>
                    <w:adjustRightInd w:val="0"/>
                    <w:snapToGrid w:val="0"/>
                    <w:rPr>
                      <w:rFonts w:eastAsia="宋体"/>
                      <w:kern w:val="0"/>
                    </w:rPr>
                  </w:pPr>
                  <w:r>
                    <w:rPr>
                      <w:rFonts w:hint="eastAsia" w:eastAsia="宋体"/>
                      <w:kern w:val="0"/>
                    </w:rPr>
                    <w:t>10.6</w:t>
                  </w:r>
                </w:p>
              </w:tc>
              <w:tc>
                <w:tcPr>
                  <w:tcW w:w="1305" w:type="dxa"/>
                  <w:vMerge w:val="continue"/>
                  <w:vAlign w:val="center"/>
                </w:tcPr>
                <w:p w14:paraId="22044475">
                  <w:pPr>
                    <w:pStyle w:val="67"/>
                  </w:pPr>
                </w:p>
              </w:tc>
              <w:tc>
                <w:tcPr>
                  <w:tcW w:w="1236" w:type="dxa"/>
                  <w:vMerge w:val="continue"/>
                  <w:vAlign w:val="center"/>
                </w:tcPr>
                <w:p w14:paraId="42BE00D1">
                  <w:pPr>
                    <w:pStyle w:val="67"/>
                  </w:pPr>
                </w:p>
              </w:tc>
            </w:tr>
            <w:tr w14:paraId="396BE4F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6CF81612">
                  <w:pPr>
                    <w:pStyle w:val="47"/>
                    <w:adjustRightInd w:val="0"/>
                    <w:snapToGrid w:val="0"/>
                    <w:rPr>
                      <w:rFonts w:eastAsia="宋体"/>
                    </w:rPr>
                  </w:pPr>
                  <w:r>
                    <w:rPr>
                      <w:rFonts w:eastAsia="宋体"/>
                    </w:rPr>
                    <w:t>8</w:t>
                  </w:r>
                </w:p>
              </w:tc>
              <w:tc>
                <w:tcPr>
                  <w:tcW w:w="1314" w:type="dxa"/>
                  <w:vAlign w:val="center"/>
                </w:tcPr>
                <w:p w14:paraId="20D0D027">
                  <w:pPr>
                    <w:pStyle w:val="47"/>
                    <w:adjustRightInd w:val="0"/>
                    <w:snapToGrid w:val="0"/>
                    <w:rPr>
                      <w:rFonts w:eastAsia="宋体"/>
                      <w:kern w:val="0"/>
                    </w:rPr>
                  </w:pPr>
                  <w:r>
                    <w:rPr>
                      <w:rFonts w:eastAsia="宋体"/>
                      <w:kern w:val="0"/>
                    </w:rPr>
                    <w:t>废包装桶</w:t>
                  </w:r>
                </w:p>
              </w:tc>
              <w:tc>
                <w:tcPr>
                  <w:tcW w:w="1114" w:type="dxa"/>
                  <w:vAlign w:val="center"/>
                </w:tcPr>
                <w:p w14:paraId="65D3EB09">
                  <w:pPr>
                    <w:pStyle w:val="47"/>
                    <w:adjustRightInd w:val="0"/>
                    <w:snapToGrid w:val="0"/>
                    <w:rPr>
                      <w:rFonts w:eastAsia="宋体"/>
                    </w:rPr>
                  </w:pPr>
                  <w:r>
                    <w:rPr>
                      <w:rFonts w:eastAsia="宋体"/>
                    </w:rPr>
                    <w:t>原辅料贮存</w:t>
                  </w:r>
                </w:p>
              </w:tc>
              <w:tc>
                <w:tcPr>
                  <w:tcW w:w="585" w:type="dxa"/>
                  <w:vMerge w:val="continue"/>
                  <w:vAlign w:val="center"/>
                </w:tcPr>
                <w:p w14:paraId="22F59D17">
                  <w:pPr>
                    <w:pStyle w:val="47"/>
                    <w:adjustRightInd w:val="0"/>
                    <w:snapToGrid w:val="0"/>
                    <w:rPr>
                      <w:rFonts w:eastAsia="宋体"/>
                      <w:kern w:val="0"/>
                    </w:rPr>
                  </w:pPr>
                </w:p>
              </w:tc>
              <w:tc>
                <w:tcPr>
                  <w:tcW w:w="1365" w:type="dxa"/>
                  <w:vAlign w:val="center"/>
                </w:tcPr>
                <w:p w14:paraId="2648421A">
                  <w:pPr>
                    <w:adjustRightInd w:val="0"/>
                    <w:snapToGrid w:val="0"/>
                    <w:jc w:val="center"/>
                    <w:rPr>
                      <w:szCs w:val="21"/>
                    </w:rPr>
                  </w:pPr>
                  <w:r>
                    <w:rPr>
                      <w:szCs w:val="21"/>
                    </w:rPr>
                    <w:t>900-041-49</w:t>
                  </w:r>
                </w:p>
              </w:tc>
              <w:tc>
                <w:tcPr>
                  <w:tcW w:w="1050" w:type="dxa"/>
                  <w:vAlign w:val="center"/>
                </w:tcPr>
                <w:p w14:paraId="37DC0072">
                  <w:pPr>
                    <w:pStyle w:val="47"/>
                    <w:adjustRightInd w:val="0"/>
                    <w:snapToGrid w:val="0"/>
                    <w:rPr>
                      <w:rFonts w:eastAsia="宋体"/>
                      <w:kern w:val="0"/>
                    </w:rPr>
                  </w:pPr>
                  <w:r>
                    <w:rPr>
                      <w:rFonts w:hint="eastAsia" w:eastAsia="宋体"/>
                      <w:kern w:val="0"/>
                    </w:rPr>
                    <w:t>0.1</w:t>
                  </w:r>
                </w:p>
              </w:tc>
              <w:tc>
                <w:tcPr>
                  <w:tcW w:w="1305" w:type="dxa"/>
                  <w:vMerge w:val="continue"/>
                  <w:vAlign w:val="center"/>
                </w:tcPr>
                <w:p w14:paraId="7E829C91">
                  <w:pPr>
                    <w:pStyle w:val="67"/>
                  </w:pPr>
                </w:p>
              </w:tc>
              <w:tc>
                <w:tcPr>
                  <w:tcW w:w="1236" w:type="dxa"/>
                  <w:vMerge w:val="continue"/>
                  <w:vAlign w:val="center"/>
                </w:tcPr>
                <w:p w14:paraId="51D246F1">
                  <w:pPr>
                    <w:pStyle w:val="67"/>
                  </w:pPr>
                </w:p>
              </w:tc>
            </w:tr>
            <w:tr w14:paraId="00186BC7">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31AC73E4">
                  <w:pPr>
                    <w:pStyle w:val="47"/>
                    <w:adjustRightInd w:val="0"/>
                    <w:snapToGrid w:val="0"/>
                    <w:rPr>
                      <w:rFonts w:eastAsia="宋体"/>
                    </w:rPr>
                  </w:pPr>
                  <w:r>
                    <w:rPr>
                      <w:rFonts w:eastAsia="宋体"/>
                    </w:rPr>
                    <w:t>9</w:t>
                  </w:r>
                </w:p>
              </w:tc>
              <w:tc>
                <w:tcPr>
                  <w:tcW w:w="1314" w:type="dxa"/>
                  <w:vAlign w:val="center"/>
                </w:tcPr>
                <w:p w14:paraId="7EC0F732">
                  <w:pPr>
                    <w:pStyle w:val="47"/>
                    <w:adjustRightInd w:val="0"/>
                    <w:snapToGrid w:val="0"/>
                    <w:rPr>
                      <w:rFonts w:eastAsia="宋体"/>
                      <w:kern w:val="0"/>
                    </w:rPr>
                  </w:pPr>
                  <w:r>
                    <w:rPr>
                      <w:rFonts w:eastAsia="宋体"/>
                      <w:kern w:val="0"/>
                    </w:rPr>
                    <w:t>废胶黏剂</w:t>
                  </w:r>
                </w:p>
              </w:tc>
              <w:tc>
                <w:tcPr>
                  <w:tcW w:w="1114" w:type="dxa"/>
                  <w:vAlign w:val="center"/>
                </w:tcPr>
                <w:p w14:paraId="0B94D7F6">
                  <w:pPr>
                    <w:pStyle w:val="47"/>
                    <w:adjustRightInd w:val="0"/>
                    <w:snapToGrid w:val="0"/>
                    <w:rPr>
                      <w:rFonts w:eastAsia="宋体"/>
                    </w:rPr>
                  </w:pPr>
                  <w:r>
                    <w:rPr>
                      <w:rFonts w:eastAsia="宋体"/>
                    </w:rPr>
                    <w:t>喷涂浸胶</w:t>
                  </w:r>
                </w:p>
              </w:tc>
              <w:tc>
                <w:tcPr>
                  <w:tcW w:w="585" w:type="dxa"/>
                  <w:vMerge w:val="continue"/>
                  <w:vAlign w:val="center"/>
                </w:tcPr>
                <w:p w14:paraId="03828D9A">
                  <w:pPr>
                    <w:pStyle w:val="47"/>
                    <w:adjustRightInd w:val="0"/>
                    <w:snapToGrid w:val="0"/>
                    <w:rPr>
                      <w:rFonts w:eastAsia="宋体"/>
                      <w:kern w:val="0"/>
                    </w:rPr>
                  </w:pPr>
                </w:p>
              </w:tc>
              <w:tc>
                <w:tcPr>
                  <w:tcW w:w="1365" w:type="dxa"/>
                  <w:vAlign w:val="center"/>
                </w:tcPr>
                <w:p w14:paraId="5746D78E">
                  <w:pPr>
                    <w:adjustRightInd w:val="0"/>
                    <w:snapToGrid w:val="0"/>
                    <w:jc w:val="center"/>
                    <w:rPr>
                      <w:szCs w:val="21"/>
                    </w:rPr>
                  </w:pPr>
                  <w:r>
                    <w:rPr>
                      <w:rFonts w:hint="eastAsia"/>
                      <w:szCs w:val="21"/>
                    </w:rPr>
                    <w:t>900-014-13</w:t>
                  </w:r>
                </w:p>
              </w:tc>
              <w:tc>
                <w:tcPr>
                  <w:tcW w:w="1050" w:type="dxa"/>
                  <w:vAlign w:val="center"/>
                </w:tcPr>
                <w:p w14:paraId="33FDDB40">
                  <w:pPr>
                    <w:pStyle w:val="47"/>
                    <w:adjustRightInd w:val="0"/>
                    <w:snapToGrid w:val="0"/>
                    <w:rPr>
                      <w:rFonts w:eastAsia="宋体"/>
                      <w:kern w:val="0"/>
                    </w:rPr>
                  </w:pPr>
                  <w:r>
                    <w:rPr>
                      <w:rFonts w:hint="eastAsia" w:eastAsia="宋体"/>
                      <w:kern w:val="0"/>
                    </w:rPr>
                    <w:t>0.2</w:t>
                  </w:r>
                </w:p>
              </w:tc>
              <w:tc>
                <w:tcPr>
                  <w:tcW w:w="1305" w:type="dxa"/>
                  <w:vMerge w:val="continue"/>
                  <w:vAlign w:val="center"/>
                </w:tcPr>
                <w:p w14:paraId="00945748">
                  <w:pPr>
                    <w:pStyle w:val="67"/>
                  </w:pPr>
                </w:p>
              </w:tc>
              <w:tc>
                <w:tcPr>
                  <w:tcW w:w="1236" w:type="dxa"/>
                  <w:vMerge w:val="continue"/>
                  <w:vAlign w:val="center"/>
                </w:tcPr>
                <w:p w14:paraId="5F47D304">
                  <w:pPr>
                    <w:pStyle w:val="67"/>
                  </w:pPr>
                </w:p>
              </w:tc>
            </w:tr>
            <w:tr w14:paraId="1CA37B0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766BB5E5">
                  <w:pPr>
                    <w:pStyle w:val="47"/>
                    <w:adjustRightInd w:val="0"/>
                    <w:snapToGrid w:val="0"/>
                    <w:rPr>
                      <w:rFonts w:eastAsia="宋体"/>
                    </w:rPr>
                  </w:pPr>
                  <w:r>
                    <w:rPr>
                      <w:rFonts w:eastAsia="宋体"/>
                    </w:rPr>
                    <w:t>10</w:t>
                  </w:r>
                </w:p>
              </w:tc>
              <w:tc>
                <w:tcPr>
                  <w:tcW w:w="1314" w:type="dxa"/>
                  <w:vAlign w:val="center"/>
                </w:tcPr>
                <w:p w14:paraId="59B13746">
                  <w:pPr>
                    <w:pStyle w:val="47"/>
                    <w:adjustRightInd w:val="0"/>
                    <w:snapToGrid w:val="0"/>
                    <w:rPr>
                      <w:rFonts w:eastAsia="宋体"/>
                      <w:kern w:val="0"/>
                    </w:rPr>
                  </w:pPr>
                  <w:r>
                    <w:rPr>
                      <w:rFonts w:eastAsia="宋体"/>
                      <w:kern w:val="0"/>
                    </w:rPr>
                    <w:t>废切削液</w:t>
                  </w:r>
                </w:p>
              </w:tc>
              <w:tc>
                <w:tcPr>
                  <w:tcW w:w="1114" w:type="dxa"/>
                  <w:vAlign w:val="center"/>
                </w:tcPr>
                <w:p w14:paraId="7C727497">
                  <w:pPr>
                    <w:pStyle w:val="47"/>
                    <w:adjustRightInd w:val="0"/>
                    <w:snapToGrid w:val="0"/>
                    <w:rPr>
                      <w:rFonts w:eastAsia="宋体"/>
                    </w:rPr>
                  </w:pPr>
                  <w:r>
                    <w:rPr>
                      <w:rFonts w:eastAsia="宋体"/>
                    </w:rPr>
                    <w:t>模具检修、维护</w:t>
                  </w:r>
                </w:p>
              </w:tc>
              <w:tc>
                <w:tcPr>
                  <w:tcW w:w="585" w:type="dxa"/>
                  <w:vMerge w:val="continue"/>
                  <w:vAlign w:val="center"/>
                </w:tcPr>
                <w:p w14:paraId="2074902F">
                  <w:pPr>
                    <w:pStyle w:val="47"/>
                    <w:adjustRightInd w:val="0"/>
                    <w:snapToGrid w:val="0"/>
                    <w:rPr>
                      <w:rFonts w:eastAsia="宋体"/>
                      <w:kern w:val="0"/>
                    </w:rPr>
                  </w:pPr>
                </w:p>
              </w:tc>
              <w:tc>
                <w:tcPr>
                  <w:tcW w:w="1365" w:type="dxa"/>
                  <w:vAlign w:val="center"/>
                </w:tcPr>
                <w:p w14:paraId="3F6217FE">
                  <w:pPr>
                    <w:adjustRightInd w:val="0"/>
                    <w:snapToGrid w:val="0"/>
                    <w:jc w:val="center"/>
                    <w:rPr>
                      <w:szCs w:val="21"/>
                    </w:rPr>
                  </w:pPr>
                  <w:r>
                    <w:rPr>
                      <w:szCs w:val="21"/>
                    </w:rPr>
                    <w:t>900-006-09</w:t>
                  </w:r>
                </w:p>
              </w:tc>
              <w:tc>
                <w:tcPr>
                  <w:tcW w:w="1050" w:type="dxa"/>
                  <w:vAlign w:val="center"/>
                </w:tcPr>
                <w:p w14:paraId="2937F601">
                  <w:pPr>
                    <w:pStyle w:val="47"/>
                    <w:adjustRightInd w:val="0"/>
                    <w:snapToGrid w:val="0"/>
                    <w:rPr>
                      <w:rFonts w:eastAsia="宋体"/>
                      <w:kern w:val="0"/>
                    </w:rPr>
                  </w:pPr>
                  <w:r>
                    <w:rPr>
                      <w:rFonts w:eastAsia="宋体"/>
                      <w:kern w:val="0"/>
                    </w:rPr>
                    <w:t>1.4</w:t>
                  </w:r>
                </w:p>
              </w:tc>
              <w:tc>
                <w:tcPr>
                  <w:tcW w:w="1305" w:type="dxa"/>
                  <w:vMerge w:val="continue"/>
                  <w:vAlign w:val="center"/>
                </w:tcPr>
                <w:p w14:paraId="2C09AED1">
                  <w:pPr>
                    <w:pStyle w:val="67"/>
                  </w:pPr>
                </w:p>
              </w:tc>
              <w:tc>
                <w:tcPr>
                  <w:tcW w:w="1236" w:type="dxa"/>
                  <w:vMerge w:val="continue"/>
                  <w:vAlign w:val="center"/>
                </w:tcPr>
                <w:p w14:paraId="69E77CE9">
                  <w:pPr>
                    <w:pStyle w:val="67"/>
                  </w:pPr>
                </w:p>
              </w:tc>
            </w:tr>
            <w:tr w14:paraId="043212C4">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28" w:type="dxa"/>
                  <w:bottom w:w="0" w:type="dxa"/>
                  <w:right w:w="28" w:type="dxa"/>
                </w:tblCellMar>
              </w:tblPrEx>
              <w:trPr>
                <w:trHeight w:val="340" w:hRule="atLeast"/>
                <w:jc w:val="center"/>
              </w:trPr>
              <w:tc>
                <w:tcPr>
                  <w:tcW w:w="576" w:type="dxa"/>
                  <w:vAlign w:val="center"/>
                </w:tcPr>
                <w:p w14:paraId="4D45725F">
                  <w:pPr>
                    <w:pStyle w:val="47"/>
                    <w:adjustRightInd w:val="0"/>
                    <w:snapToGrid w:val="0"/>
                    <w:rPr>
                      <w:rFonts w:eastAsia="宋体"/>
                    </w:rPr>
                  </w:pPr>
                  <w:r>
                    <w:rPr>
                      <w:rFonts w:eastAsia="宋体"/>
                    </w:rPr>
                    <w:t>11</w:t>
                  </w:r>
                </w:p>
              </w:tc>
              <w:tc>
                <w:tcPr>
                  <w:tcW w:w="1314" w:type="dxa"/>
                  <w:vAlign w:val="center"/>
                </w:tcPr>
                <w:p w14:paraId="01DF71D7">
                  <w:pPr>
                    <w:pStyle w:val="47"/>
                    <w:adjustRightInd w:val="0"/>
                    <w:snapToGrid w:val="0"/>
                    <w:rPr>
                      <w:rFonts w:eastAsia="宋体"/>
                      <w:kern w:val="0"/>
                    </w:rPr>
                  </w:pPr>
                  <w:r>
                    <w:rPr>
                      <w:rFonts w:eastAsia="宋体"/>
                      <w:kern w:val="0"/>
                    </w:rPr>
                    <w:t>蒸发器残渣</w:t>
                  </w:r>
                </w:p>
              </w:tc>
              <w:tc>
                <w:tcPr>
                  <w:tcW w:w="1114" w:type="dxa"/>
                  <w:vAlign w:val="center"/>
                </w:tcPr>
                <w:p w14:paraId="6198DD28">
                  <w:pPr>
                    <w:pStyle w:val="47"/>
                    <w:adjustRightInd w:val="0"/>
                    <w:snapToGrid w:val="0"/>
                    <w:rPr>
                      <w:rFonts w:eastAsia="宋体"/>
                    </w:rPr>
                  </w:pPr>
                  <w:r>
                    <w:rPr>
                      <w:rFonts w:eastAsia="宋体"/>
                    </w:rPr>
                    <w:t>废水处理</w:t>
                  </w:r>
                </w:p>
              </w:tc>
              <w:tc>
                <w:tcPr>
                  <w:tcW w:w="585" w:type="dxa"/>
                  <w:vMerge w:val="continue"/>
                  <w:vAlign w:val="center"/>
                </w:tcPr>
                <w:p w14:paraId="78A1EDD3">
                  <w:pPr>
                    <w:pStyle w:val="47"/>
                    <w:adjustRightInd w:val="0"/>
                    <w:snapToGrid w:val="0"/>
                    <w:rPr>
                      <w:rFonts w:eastAsia="宋体"/>
                      <w:kern w:val="0"/>
                    </w:rPr>
                  </w:pPr>
                </w:p>
              </w:tc>
              <w:tc>
                <w:tcPr>
                  <w:tcW w:w="1365" w:type="dxa"/>
                  <w:vAlign w:val="center"/>
                </w:tcPr>
                <w:p w14:paraId="4465A604">
                  <w:pPr>
                    <w:spacing w:line="280" w:lineRule="exact"/>
                    <w:jc w:val="center"/>
                    <w:rPr>
                      <w:szCs w:val="21"/>
                    </w:rPr>
                  </w:pPr>
                  <w:r>
                    <w:rPr>
                      <w:szCs w:val="21"/>
                    </w:rPr>
                    <w:t>900-</w:t>
                  </w:r>
                  <w:r>
                    <w:rPr>
                      <w:rFonts w:hint="eastAsia"/>
                      <w:szCs w:val="21"/>
                    </w:rPr>
                    <w:t>046</w:t>
                  </w:r>
                  <w:r>
                    <w:rPr>
                      <w:szCs w:val="21"/>
                    </w:rPr>
                    <w:t>-49</w:t>
                  </w:r>
                </w:p>
              </w:tc>
              <w:tc>
                <w:tcPr>
                  <w:tcW w:w="1050" w:type="dxa"/>
                  <w:vAlign w:val="center"/>
                </w:tcPr>
                <w:p w14:paraId="4E5ABDB4">
                  <w:pPr>
                    <w:pStyle w:val="47"/>
                    <w:adjustRightInd w:val="0"/>
                    <w:snapToGrid w:val="0"/>
                    <w:rPr>
                      <w:rFonts w:eastAsia="宋体"/>
                      <w:kern w:val="0"/>
                    </w:rPr>
                  </w:pPr>
                  <w:r>
                    <w:rPr>
                      <w:rFonts w:hint="eastAsia" w:eastAsia="宋体"/>
                      <w:kern w:val="0"/>
                    </w:rPr>
                    <w:t>9.1</w:t>
                  </w:r>
                </w:p>
              </w:tc>
              <w:tc>
                <w:tcPr>
                  <w:tcW w:w="1305" w:type="dxa"/>
                  <w:vMerge w:val="continue"/>
                  <w:vAlign w:val="center"/>
                </w:tcPr>
                <w:p w14:paraId="271BF302">
                  <w:pPr>
                    <w:pStyle w:val="67"/>
                  </w:pPr>
                </w:p>
              </w:tc>
              <w:tc>
                <w:tcPr>
                  <w:tcW w:w="1236" w:type="dxa"/>
                  <w:vMerge w:val="continue"/>
                  <w:vAlign w:val="center"/>
                </w:tcPr>
                <w:p w14:paraId="4877AC6F">
                  <w:pPr>
                    <w:pStyle w:val="67"/>
                  </w:pPr>
                </w:p>
              </w:tc>
            </w:tr>
          </w:tbl>
          <w:p w14:paraId="22CB7732">
            <w:pPr>
              <w:pStyle w:val="64"/>
              <w:adjustRightInd w:val="0"/>
              <w:snapToGrid w:val="0"/>
              <w:spacing w:beforeLines="50" w:line="360" w:lineRule="auto"/>
              <w:ind w:firstLine="422"/>
              <w:jc w:val="both"/>
              <w:rPr>
                <w:rFonts w:eastAsia="宋体"/>
                <w:b/>
                <w:bCs/>
                <w:sz w:val="21"/>
                <w:szCs w:val="21"/>
              </w:rPr>
            </w:pPr>
            <w:r>
              <w:rPr>
                <w:rFonts w:eastAsia="宋体"/>
                <w:b/>
                <w:bCs/>
                <w:sz w:val="21"/>
                <w:szCs w:val="21"/>
              </w:rPr>
              <w:t>（2）固体废物防治措施</w:t>
            </w:r>
          </w:p>
          <w:p w14:paraId="2885B559">
            <w:pPr>
              <w:adjustRightInd w:val="0"/>
              <w:snapToGrid w:val="0"/>
              <w:spacing w:line="360" w:lineRule="auto"/>
              <w:ind w:firstLine="420" w:firstLineChars="200"/>
              <w:rPr>
                <w:kern w:val="0"/>
                <w:szCs w:val="21"/>
              </w:rPr>
            </w:pPr>
            <w:r>
              <w:rPr>
                <w:kern w:val="0"/>
                <w:szCs w:val="21"/>
              </w:rPr>
              <w:t>扩建项目产生的一般工业固体废物主要为废胶料</w:t>
            </w:r>
            <w:r>
              <w:rPr>
                <w:szCs w:val="21"/>
              </w:rPr>
              <w:t>、废橡胶边角料、废金属边角料及收集粉尘，均外售物资单位综合利用</w:t>
            </w:r>
            <w:r>
              <w:rPr>
                <w:kern w:val="0"/>
                <w:szCs w:val="21"/>
              </w:rPr>
              <w:t>；产生的危险废物主要为</w:t>
            </w:r>
            <w:r>
              <w:rPr>
                <w:szCs w:val="21"/>
              </w:rPr>
              <w:t>废活性炭、污泥、废包装桶、废胶黏剂、废切削液及蒸发器残渣，均收集后委托有资质单位处置；生活垃圾委托环卫部门定期清运</w:t>
            </w:r>
            <w:r>
              <w:rPr>
                <w:kern w:val="0"/>
                <w:szCs w:val="21"/>
              </w:rPr>
              <w:t>。</w:t>
            </w:r>
          </w:p>
          <w:p w14:paraId="1B694E9F">
            <w:pPr>
              <w:adjustRightInd w:val="0"/>
              <w:snapToGrid w:val="0"/>
              <w:spacing w:line="360" w:lineRule="auto"/>
              <w:ind w:firstLine="422" w:firstLineChars="200"/>
              <w:rPr>
                <w:b/>
                <w:bCs/>
                <w:kern w:val="0"/>
                <w:szCs w:val="21"/>
              </w:rPr>
            </w:pPr>
            <w:r>
              <w:rPr>
                <w:b/>
                <w:bCs/>
                <w:kern w:val="0"/>
                <w:szCs w:val="21"/>
              </w:rPr>
              <w:t>1）危险废物防治措施</w:t>
            </w:r>
          </w:p>
          <w:p w14:paraId="2A2A8401">
            <w:pPr>
              <w:adjustRightInd w:val="0"/>
              <w:snapToGrid w:val="0"/>
              <w:spacing w:line="360" w:lineRule="auto"/>
              <w:ind w:firstLine="422" w:firstLineChars="200"/>
              <w:rPr>
                <w:b/>
                <w:bCs/>
                <w:szCs w:val="21"/>
              </w:rPr>
            </w:pPr>
            <w:bookmarkStart w:id="138" w:name="_Hlk62186912"/>
            <w:r>
              <w:rPr>
                <w:b/>
                <w:bCs/>
                <w:szCs w:val="21"/>
              </w:rPr>
              <w:t>①危险废物贮存场所环境影响分析</w:t>
            </w:r>
          </w:p>
          <w:p w14:paraId="1EB6E0EA">
            <w:pPr>
              <w:autoSpaceDE w:val="0"/>
              <w:autoSpaceDN w:val="0"/>
              <w:adjustRightInd w:val="0"/>
              <w:snapToGrid w:val="0"/>
              <w:spacing w:line="360" w:lineRule="auto"/>
              <w:ind w:firstLine="420" w:firstLineChars="200"/>
              <w:rPr>
                <w:szCs w:val="21"/>
              </w:rPr>
            </w:pPr>
            <w:r>
              <w:rPr>
                <w:szCs w:val="21"/>
              </w:rPr>
              <w:t>本项目危险废物贮存场所基本情况详见表4-29。</w:t>
            </w:r>
          </w:p>
          <w:p w14:paraId="69FE9E02">
            <w:pPr>
              <w:jc w:val="center"/>
              <w:rPr>
                <w:b/>
                <w:szCs w:val="21"/>
              </w:rPr>
            </w:pPr>
            <w:r>
              <w:rPr>
                <w:b/>
                <w:szCs w:val="21"/>
              </w:rPr>
              <w:t>表4-29  危险废物贮存场所基本情况表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85"/>
              <w:gridCol w:w="1180"/>
              <w:gridCol w:w="587"/>
              <w:gridCol w:w="954"/>
              <w:gridCol w:w="1193"/>
              <w:gridCol w:w="885"/>
              <w:gridCol w:w="765"/>
              <w:gridCol w:w="975"/>
              <w:gridCol w:w="735"/>
              <w:gridCol w:w="786"/>
            </w:tblGrid>
            <w:tr w14:paraId="7CDFAFB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85" w:type="dxa"/>
                  <w:vAlign w:val="center"/>
                </w:tcPr>
                <w:p w14:paraId="4BE70728">
                  <w:pPr>
                    <w:pStyle w:val="67"/>
                    <w:rPr>
                      <w:b/>
                    </w:rPr>
                  </w:pPr>
                  <w:r>
                    <w:rPr>
                      <w:b/>
                    </w:rPr>
                    <w:t>序号</w:t>
                  </w:r>
                </w:p>
              </w:tc>
              <w:tc>
                <w:tcPr>
                  <w:tcW w:w="1180" w:type="dxa"/>
                  <w:vAlign w:val="center"/>
                </w:tcPr>
                <w:p w14:paraId="1879CAAF">
                  <w:pPr>
                    <w:pStyle w:val="67"/>
                    <w:rPr>
                      <w:b/>
                    </w:rPr>
                  </w:pPr>
                  <w:r>
                    <w:rPr>
                      <w:b/>
                    </w:rPr>
                    <w:t>固体废物名称</w:t>
                  </w:r>
                </w:p>
              </w:tc>
              <w:tc>
                <w:tcPr>
                  <w:tcW w:w="587" w:type="dxa"/>
                  <w:vAlign w:val="center"/>
                </w:tcPr>
                <w:p w14:paraId="76D85D48">
                  <w:pPr>
                    <w:pStyle w:val="67"/>
                    <w:rPr>
                      <w:b/>
                    </w:rPr>
                  </w:pPr>
                  <w:r>
                    <w:rPr>
                      <w:b/>
                    </w:rPr>
                    <w:t>贮存场所</w:t>
                  </w:r>
                </w:p>
              </w:tc>
              <w:tc>
                <w:tcPr>
                  <w:tcW w:w="954" w:type="dxa"/>
                  <w:vAlign w:val="center"/>
                </w:tcPr>
                <w:p w14:paraId="764A4686">
                  <w:pPr>
                    <w:pStyle w:val="67"/>
                    <w:rPr>
                      <w:b/>
                    </w:rPr>
                  </w:pPr>
                  <w:r>
                    <w:rPr>
                      <w:b/>
                    </w:rPr>
                    <w:t>危废类别</w:t>
                  </w:r>
                </w:p>
              </w:tc>
              <w:tc>
                <w:tcPr>
                  <w:tcW w:w="1193" w:type="dxa"/>
                  <w:vAlign w:val="center"/>
                </w:tcPr>
                <w:p w14:paraId="14C906AA">
                  <w:pPr>
                    <w:pStyle w:val="67"/>
                    <w:rPr>
                      <w:b/>
                    </w:rPr>
                  </w:pPr>
                  <w:r>
                    <w:rPr>
                      <w:b/>
                    </w:rPr>
                    <w:t>废物代码</w:t>
                  </w:r>
                </w:p>
              </w:tc>
              <w:tc>
                <w:tcPr>
                  <w:tcW w:w="885" w:type="dxa"/>
                  <w:vAlign w:val="center"/>
                </w:tcPr>
                <w:p w14:paraId="0BFE8192">
                  <w:pPr>
                    <w:pStyle w:val="67"/>
                    <w:rPr>
                      <w:b/>
                    </w:rPr>
                  </w:pPr>
                  <w:r>
                    <w:rPr>
                      <w:b/>
                    </w:rPr>
                    <w:t>产生量（t/a）</w:t>
                  </w:r>
                </w:p>
              </w:tc>
              <w:tc>
                <w:tcPr>
                  <w:tcW w:w="765" w:type="dxa"/>
                  <w:vAlign w:val="center"/>
                </w:tcPr>
                <w:p w14:paraId="253F3A87">
                  <w:pPr>
                    <w:pStyle w:val="67"/>
                    <w:rPr>
                      <w:b/>
                    </w:rPr>
                  </w:pPr>
                  <w:r>
                    <w:rPr>
                      <w:b/>
                    </w:rPr>
                    <w:t>占地面积（m</w:t>
                  </w:r>
                  <w:r>
                    <w:rPr>
                      <w:b/>
                      <w:vertAlign w:val="superscript"/>
                    </w:rPr>
                    <w:t>2</w:t>
                  </w:r>
                  <w:r>
                    <w:rPr>
                      <w:b/>
                    </w:rPr>
                    <w:t>）</w:t>
                  </w:r>
                </w:p>
              </w:tc>
              <w:tc>
                <w:tcPr>
                  <w:tcW w:w="975" w:type="dxa"/>
                  <w:vAlign w:val="center"/>
                </w:tcPr>
                <w:p w14:paraId="54FEC291">
                  <w:pPr>
                    <w:pStyle w:val="67"/>
                    <w:rPr>
                      <w:b/>
                    </w:rPr>
                  </w:pPr>
                  <w:r>
                    <w:rPr>
                      <w:b/>
                    </w:rPr>
                    <w:t>贮存方式</w:t>
                  </w:r>
                </w:p>
              </w:tc>
              <w:tc>
                <w:tcPr>
                  <w:tcW w:w="735" w:type="dxa"/>
                  <w:vAlign w:val="center"/>
                </w:tcPr>
                <w:p w14:paraId="7EECAB2F">
                  <w:pPr>
                    <w:pStyle w:val="67"/>
                    <w:rPr>
                      <w:b/>
                    </w:rPr>
                  </w:pPr>
                  <w:r>
                    <w:rPr>
                      <w:b/>
                    </w:rPr>
                    <w:t>贮存能力（t）</w:t>
                  </w:r>
                </w:p>
              </w:tc>
              <w:tc>
                <w:tcPr>
                  <w:tcW w:w="786" w:type="dxa"/>
                  <w:vAlign w:val="center"/>
                </w:tcPr>
                <w:p w14:paraId="77CCF6BB">
                  <w:pPr>
                    <w:pStyle w:val="67"/>
                    <w:rPr>
                      <w:b/>
                    </w:rPr>
                  </w:pPr>
                  <w:r>
                    <w:rPr>
                      <w:b/>
                    </w:rPr>
                    <w:t>贮存周期</w:t>
                  </w:r>
                </w:p>
              </w:tc>
            </w:tr>
            <w:tr w14:paraId="681D660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85" w:type="dxa"/>
                  <w:vAlign w:val="center"/>
                </w:tcPr>
                <w:p w14:paraId="2E32514E">
                  <w:pPr>
                    <w:pStyle w:val="67"/>
                  </w:pPr>
                  <w:r>
                    <w:t>1</w:t>
                  </w:r>
                </w:p>
              </w:tc>
              <w:tc>
                <w:tcPr>
                  <w:tcW w:w="1180" w:type="dxa"/>
                  <w:vAlign w:val="center"/>
                </w:tcPr>
                <w:p w14:paraId="1D9F746D">
                  <w:pPr>
                    <w:pStyle w:val="47"/>
                    <w:adjustRightInd w:val="0"/>
                    <w:snapToGrid w:val="0"/>
                    <w:rPr>
                      <w:rFonts w:eastAsia="宋体"/>
                      <w:bCs/>
                    </w:rPr>
                  </w:pPr>
                  <w:r>
                    <w:rPr>
                      <w:rFonts w:eastAsia="宋体"/>
                      <w:kern w:val="0"/>
                    </w:rPr>
                    <w:t>废活性炭</w:t>
                  </w:r>
                </w:p>
              </w:tc>
              <w:tc>
                <w:tcPr>
                  <w:tcW w:w="587" w:type="dxa"/>
                  <w:vMerge w:val="restart"/>
                  <w:vAlign w:val="center"/>
                </w:tcPr>
                <w:p w14:paraId="39FCF139">
                  <w:pPr>
                    <w:pStyle w:val="67"/>
                  </w:pPr>
                  <w:r>
                    <w:t>危险废物仓库</w:t>
                  </w:r>
                </w:p>
              </w:tc>
              <w:tc>
                <w:tcPr>
                  <w:tcW w:w="954" w:type="dxa"/>
                  <w:vAlign w:val="center"/>
                </w:tcPr>
                <w:p w14:paraId="17D55155">
                  <w:pPr>
                    <w:adjustRightInd w:val="0"/>
                    <w:snapToGrid w:val="0"/>
                    <w:jc w:val="center"/>
                    <w:rPr>
                      <w:szCs w:val="21"/>
                    </w:rPr>
                  </w:pPr>
                  <w:r>
                    <w:rPr>
                      <w:szCs w:val="21"/>
                    </w:rPr>
                    <w:t>HW49</w:t>
                  </w:r>
                </w:p>
              </w:tc>
              <w:tc>
                <w:tcPr>
                  <w:tcW w:w="1193" w:type="dxa"/>
                  <w:vAlign w:val="center"/>
                </w:tcPr>
                <w:p w14:paraId="4FED25F0">
                  <w:pPr>
                    <w:adjustRightInd w:val="0"/>
                    <w:snapToGrid w:val="0"/>
                    <w:jc w:val="center"/>
                    <w:rPr>
                      <w:szCs w:val="21"/>
                    </w:rPr>
                  </w:pPr>
                  <w:r>
                    <w:rPr>
                      <w:szCs w:val="21"/>
                    </w:rPr>
                    <w:t>900-039-49</w:t>
                  </w:r>
                </w:p>
              </w:tc>
              <w:tc>
                <w:tcPr>
                  <w:tcW w:w="885" w:type="dxa"/>
                  <w:vAlign w:val="center"/>
                </w:tcPr>
                <w:p w14:paraId="59D54E1C">
                  <w:pPr>
                    <w:pStyle w:val="47"/>
                    <w:adjustRightInd w:val="0"/>
                    <w:snapToGrid w:val="0"/>
                    <w:rPr>
                      <w:rFonts w:eastAsia="宋体"/>
                      <w:kern w:val="0"/>
                    </w:rPr>
                  </w:pPr>
                  <w:r>
                    <w:rPr>
                      <w:rFonts w:hint="eastAsia" w:eastAsia="宋体"/>
                      <w:kern w:val="0"/>
                    </w:rPr>
                    <w:t>15.75</w:t>
                  </w:r>
                </w:p>
              </w:tc>
              <w:tc>
                <w:tcPr>
                  <w:tcW w:w="765" w:type="dxa"/>
                  <w:vAlign w:val="center"/>
                </w:tcPr>
                <w:p w14:paraId="27B52277">
                  <w:pPr>
                    <w:pStyle w:val="67"/>
                  </w:pPr>
                  <w:r>
                    <w:rPr>
                      <w:rFonts w:hint="eastAsia"/>
                    </w:rPr>
                    <w:t>4</w:t>
                  </w:r>
                </w:p>
              </w:tc>
              <w:tc>
                <w:tcPr>
                  <w:tcW w:w="975" w:type="dxa"/>
                  <w:vAlign w:val="center"/>
                </w:tcPr>
                <w:p w14:paraId="06E5277E">
                  <w:pPr>
                    <w:pStyle w:val="67"/>
                  </w:pPr>
                  <w:r>
                    <w:t>袋装</w:t>
                  </w:r>
                </w:p>
              </w:tc>
              <w:tc>
                <w:tcPr>
                  <w:tcW w:w="735" w:type="dxa"/>
                  <w:vAlign w:val="center"/>
                </w:tcPr>
                <w:p w14:paraId="46015390">
                  <w:pPr>
                    <w:pStyle w:val="67"/>
                  </w:pPr>
                  <w:r>
                    <w:rPr>
                      <w:rFonts w:hint="eastAsia"/>
                    </w:rPr>
                    <w:t>5</w:t>
                  </w:r>
                </w:p>
              </w:tc>
              <w:tc>
                <w:tcPr>
                  <w:tcW w:w="786" w:type="dxa"/>
                  <w:vAlign w:val="center"/>
                </w:tcPr>
                <w:p w14:paraId="47B152DF">
                  <w:pPr>
                    <w:pStyle w:val="67"/>
                  </w:pPr>
                  <w:r>
                    <w:t>3个月</w:t>
                  </w:r>
                </w:p>
              </w:tc>
            </w:tr>
            <w:tr w14:paraId="2C75A9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85" w:type="dxa"/>
                  <w:vAlign w:val="center"/>
                </w:tcPr>
                <w:p w14:paraId="2816743C">
                  <w:pPr>
                    <w:pStyle w:val="67"/>
                  </w:pPr>
                  <w:r>
                    <w:t>2</w:t>
                  </w:r>
                </w:p>
              </w:tc>
              <w:tc>
                <w:tcPr>
                  <w:tcW w:w="1180" w:type="dxa"/>
                  <w:vAlign w:val="center"/>
                </w:tcPr>
                <w:p w14:paraId="313733D0">
                  <w:pPr>
                    <w:pStyle w:val="47"/>
                    <w:adjustRightInd w:val="0"/>
                    <w:snapToGrid w:val="0"/>
                    <w:rPr>
                      <w:rFonts w:eastAsia="宋体"/>
                      <w:kern w:val="0"/>
                    </w:rPr>
                  </w:pPr>
                  <w:r>
                    <w:rPr>
                      <w:rFonts w:eastAsia="宋体"/>
                      <w:kern w:val="0"/>
                    </w:rPr>
                    <w:t>污泥</w:t>
                  </w:r>
                </w:p>
              </w:tc>
              <w:tc>
                <w:tcPr>
                  <w:tcW w:w="587" w:type="dxa"/>
                  <w:vMerge w:val="continue"/>
                  <w:vAlign w:val="center"/>
                </w:tcPr>
                <w:p w14:paraId="40F6DE85">
                  <w:pPr>
                    <w:pStyle w:val="67"/>
                  </w:pPr>
                </w:p>
              </w:tc>
              <w:tc>
                <w:tcPr>
                  <w:tcW w:w="954" w:type="dxa"/>
                  <w:vAlign w:val="center"/>
                </w:tcPr>
                <w:p w14:paraId="09155D6E">
                  <w:pPr>
                    <w:adjustRightInd w:val="0"/>
                    <w:snapToGrid w:val="0"/>
                    <w:jc w:val="center"/>
                    <w:rPr>
                      <w:szCs w:val="21"/>
                    </w:rPr>
                  </w:pPr>
                  <w:r>
                    <w:rPr>
                      <w:szCs w:val="21"/>
                    </w:rPr>
                    <w:t>HW17</w:t>
                  </w:r>
                </w:p>
              </w:tc>
              <w:tc>
                <w:tcPr>
                  <w:tcW w:w="1193" w:type="dxa"/>
                  <w:vAlign w:val="center"/>
                </w:tcPr>
                <w:p w14:paraId="1496CD1D">
                  <w:pPr>
                    <w:adjustRightInd w:val="0"/>
                    <w:snapToGrid w:val="0"/>
                    <w:jc w:val="center"/>
                    <w:rPr>
                      <w:szCs w:val="21"/>
                    </w:rPr>
                  </w:pPr>
                  <w:r>
                    <w:rPr>
                      <w:szCs w:val="21"/>
                    </w:rPr>
                    <w:t>336-064-17</w:t>
                  </w:r>
                </w:p>
              </w:tc>
              <w:tc>
                <w:tcPr>
                  <w:tcW w:w="885" w:type="dxa"/>
                  <w:vAlign w:val="center"/>
                </w:tcPr>
                <w:p w14:paraId="6033B923">
                  <w:pPr>
                    <w:pStyle w:val="47"/>
                    <w:adjustRightInd w:val="0"/>
                    <w:snapToGrid w:val="0"/>
                    <w:rPr>
                      <w:rFonts w:eastAsia="宋体"/>
                      <w:kern w:val="0"/>
                    </w:rPr>
                  </w:pPr>
                  <w:r>
                    <w:rPr>
                      <w:rFonts w:hint="eastAsia" w:eastAsia="宋体"/>
                      <w:kern w:val="0"/>
                    </w:rPr>
                    <w:t>10.6</w:t>
                  </w:r>
                </w:p>
              </w:tc>
              <w:tc>
                <w:tcPr>
                  <w:tcW w:w="765" w:type="dxa"/>
                  <w:vAlign w:val="center"/>
                </w:tcPr>
                <w:p w14:paraId="4047EA3D">
                  <w:pPr>
                    <w:pStyle w:val="67"/>
                  </w:pPr>
                  <w:r>
                    <w:rPr>
                      <w:rFonts w:hint="eastAsia"/>
                    </w:rPr>
                    <w:t>2</w:t>
                  </w:r>
                </w:p>
              </w:tc>
              <w:tc>
                <w:tcPr>
                  <w:tcW w:w="975" w:type="dxa"/>
                  <w:vAlign w:val="center"/>
                </w:tcPr>
                <w:p w14:paraId="46F38401">
                  <w:pPr>
                    <w:pStyle w:val="67"/>
                  </w:pPr>
                  <w:r>
                    <w:t>桶装堆放</w:t>
                  </w:r>
                </w:p>
              </w:tc>
              <w:tc>
                <w:tcPr>
                  <w:tcW w:w="735" w:type="dxa"/>
                  <w:vAlign w:val="center"/>
                </w:tcPr>
                <w:p w14:paraId="3F685B73">
                  <w:pPr>
                    <w:pStyle w:val="67"/>
                  </w:pPr>
                  <w:r>
                    <w:rPr>
                      <w:rFonts w:hint="eastAsia"/>
                    </w:rPr>
                    <w:t>3</w:t>
                  </w:r>
                </w:p>
              </w:tc>
              <w:tc>
                <w:tcPr>
                  <w:tcW w:w="786" w:type="dxa"/>
                  <w:vAlign w:val="center"/>
                </w:tcPr>
                <w:p w14:paraId="5614B329">
                  <w:pPr>
                    <w:pStyle w:val="67"/>
                  </w:pPr>
                  <w:r>
                    <w:t>3个月</w:t>
                  </w:r>
                </w:p>
              </w:tc>
            </w:tr>
            <w:tr w14:paraId="6759C2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85" w:type="dxa"/>
                  <w:vAlign w:val="center"/>
                </w:tcPr>
                <w:p w14:paraId="6D082915">
                  <w:pPr>
                    <w:pStyle w:val="67"/>
                  </w:pPr>
                  <w:r>
                    <w:t>3</w:t>
                  </w:r>
                </w:p>
              </w:tc>
              <w:tc>
                <w:tcPr>
                  <w:tcW w:w="1180" w:type="dxa"/>
                  <w:vAlign w:val="center"/>
                </w:tcPr>
                <w:p w14:paraId="2BE5FD9E">
                  <w:pPr>
                    <w:pStyle w:val="47"/>
                    <w:adjustRightInd w:val="0"/>
                    <w:snapToGrid w:val="0"/>
                    <w:rPr>
                      <w:rFonts w:eastAsia="宋体"/>
                      <w:bCs/>
                    </w:rPr>
                  </w:pPr>
                  <w:r>
                    <w:rPr>
                      <w:rFonts w:eastAsia="宋体"/>
                      <w:kern w:val="0"/>
                    </w:rPr>
                    <w:t>废包装桶</w:t>
                  </w:r>
                </w:p>
              </w:tc>
              <w:tc>
                <w:tcPr>
                  <w:tcW w:w="587" w:type="dxa"/>
                  <w:vMerge w:val="continue"/>
                  <w:vAlign w:val="center"/>
                </w:tcPr>
                <w:p w14:paraId="05115623">
                  <w:pPr>
                    <w:pStyle w:val="67"/>
                  </w:pPr>
                </w:p>
              </w:tc>
              <w:tc>
                <w:tcPr>
                  <w:tcW w:w="954" w:type="dxa"/>
                  <w:vAlign w:val="center"/>
                </w:tcPr>
                <w:p w14:paraId="3FCD2B9F">
                  <w:pPr>
                    <w:adjustRightInd w:val="0"/>
                    <w:snapToGrid w:val="0"/>
                    <w:jc w:val="center"/>
                    <w:rPr>
                      <w:szCs w:val="21"/>
                    </w:rPr>
                  </w:pPr>
                  <w:r>
                    <w:rPr>
                      <w:szCs w:val="21"/>
                    </w:rPr>
                    <w:t>HW49</w:t>
                  </w:r>
                </w:p>
              </w:tc>
              <w:tc>
                <w:tcPr>
                  <w:tcW w:w="1193" w:type="dxa"/>
                  <w:vAlign w:val="center"/>
                </w:tcPr>
                <w:p w14:paraId="7F4CF76B">
                  <w:pPr>
                    <w:adjustRightInd w:val="0"/>
                    <w:snapToGrid w:val="0"/>
                    <w:jc w:val="center"/>
                    <w:rPr>
                      <w:szCs w:val="21"/>
                    </w:rPr>
                  </w:pPr>
                  <w:r>
                    <w:rPr>
                      <w:szCs w:val="21"/>
                    </w:rPr>
                    <w:t>900-041-49</w:t>
                  </w:r>
                </w:p>
              </w:tc>
              <w:tc>
                <w:tcPr>
                  <w:tcW w:w="885" w:type="dxa"/>
                  <w:vAlign w:val="center"/>
                </w:tcPr>
                <w:p w14:paraId="249A7706">
                  <w:pPr>
                    <w:pStyle w:val="47"/>
                    <w:adjustRightInd w:val="0"/>
                    <w:snapToGrid w:val="0"/>
                    <w:rPr>
                      <w:rFonts w:eastAsia="宋体"/>
                      <w:kern w:val="0"/>
                    </w:rPr>
                  </w:pPr>
                  <w:r>
                    <w:rPr>
                      <w:rFonts w:hint="eastAsia" w:eastAsia="宋体"/>
                      <w:kern w:val="0"/>
                    </w:rPr>
                    <w:t>0.1</w:t>
                  </w:r>
                </w:p>
              </w:tc>
              <w:tc>
                <w:tcPr>
                  <w:tcW w:w="765" w:type="dxa"/>
                  <w:vAlign w:val="center"/>
                </w:tcPr>
                <w:p w14:paraId="73AF9501">
                  <w:pPr>
                    <w:pStyle w:val="67"/>
                  </w:pPr>
                  <w:r>
                    <w:rPr>
                      <w:rFonts w:hint="eastAsia"/>
                    </w:rPr>
                    <w:t>0.5</w:t>
                  </w:r>
                </w:p>
              </w:tc>
              <w:tc>
                <w:tcPr>
                  <w:tcW w:w="975" w:type="dxa"/>
                  <w:vAlign w:val="center"/>
                </w:tcPr>
                <w:p w14:paraId="695D291C">
                  <w:pPr>
                    <w:pStyle w:val="67"/>
                  </w:pPr>
                  <w:r>
                    <w:t>桶装堆放</w:t>
                  </w:r>
                </w:p>
              </w:tc>
              <w:tc>
                <w:tcPr>
                  <w:tcW w:w="735" w:type="dxa"/>
                  <w:vAlign w:val="center"/>
                </w:tcPr>
                <w:p w14:paraId="0B3D8342">
                  <w:pPr>
                    <w:pStyle w:val="67"/>
                  </w:pPr>
                  <w:r>
                    <w:t>1</w:t>
                  </w:r>
                </w:p>
              </w:tc>
              <w:tc>
                <w:tcPr>
                  <w:tcW w:w="786" w:type="dxa"/>
                  <w:vAlign w:val="center"/>
                </w:tcPr>
                <w:p w14:paraId="2755255D">
                  <w:pPr>
                    <w:pStyle w:val="67"/>
                  </w:pPr>
                  <w:r>
                    <w:t>3个月</w:t>
                  </w:r>
                </w:p>
              </w:tc>
            </w:tr>
            <w:tr w14:paraId="00236B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85" w:type="dxa"/>
                  <w:vAlign w:val="center"/>
                </w:tcPr>
                <w:p w14:paraId="0A090E3C">
                  <w:pPr>
                    <w:pStyle w:val="67"/>
                  </w:pPr>
                  <w:r>
                    <w:t>4</w:t>
                  </w:r>
                </w:p>
              </w:tc>
              <w:tc>
                <w:tcPr>
                  <w:tcW w:w="1180" w:type="dxa"/>
                  <w:vAlign w:val="center"/>
                </w:tcPr>
                <w:p w14:paraId="7D130BD3">
                  <w:pPr>
                    <w:pStyle w:val="47"/>
                    <w:adjustRightInd w:val="0"/>
                    <w:snapToGrid w:val="0"/>
                    <w:rPr>
                      <w:rFonts w:eastAsia="宋体"/>
                      <w:bCs/>
                    </w:rPr>
                  </w:pPr>
                  <w:r>
                    <w:rPr>
                      <w:rFonts w:eastAsia="宋体"/>
                      <w:kern w:val="0"/>
                    </w:rPr>
                    <w:t>废胶黏剂</w:t>
                  </w:r>
                </w:p>
              </w:tc>
              <w:tc>
                <w:tcPr>
                  <w:tcW w:w="587" w:type="dxa"/>
                  <w:vMerge w:val="continue"/>
                  <w:vAlign w:val="center"/>
                </w:tcPr>
                <w:p w14:paraId="665998E9">
                  <w:pPr>
                    <w:pStyle w:val="67"/>
                  </w:pPr>
                </w:p>
              </w:tc>
              <w:tc>
                <w:tcPr>
                  <w:tcW w:w="954" w:type="dxa"/>
                  <w:vAlign w:val="center"/>
                </w:tcPr>
                <w:p w14:paraId="3D2C7EFE">
                  <w:pPr>
                    <w:adjustRightInd w:val="0"/>
                    <w:snapToGrid w:val="0"/>
                    <w:jc w:val="center"/>
                    <w:rPr>
                      <w:szCs w:val="21"/>
                    </w:rPr>
                  </w:pPr>
                  <w:r>
                    <w:rPr>
                      <w:rFonts w:hint="eastAsia"/>
                      <w:szCs w:val="21"/>
                    </w:rPr>
                    <w:t>HW13</w:t>
                  </w:r>
                </w:p>
              </w:tc>
              <w:tc>
                <w:tcPr>
                  <w:tcW w:w="1193" w:type="dxa"/>
                  <w:vAlign w:val="center"/>
                </w:tcPr>
                <w:p w14:paraId="1F1AC6ED">
                  <w:pPr>
                    <w:adjustRightInd w:val="0"/>
                    <w:snapToGrid w:val="0"/>
                    <w:jc w:val="center"/>
                    <w:rPr>
                      <w:szCs w:val="21"/>
                    </w:rPr>
                  </w:pPr>
                  <w:r>
                    <w:rPr>
                      <w:rFonts w:hint="eastAsia"/>
                      <w:szCs w:val="21"/>
                    </w:rPr>
                    <w:t>900-014-13</w:t>
                  </w:r>
                </w:p>
              </w:tc>
              <w:tc>
                <w:tcPr>
                  <w:tcW w:w="885" w:type="dxa"/>
                  <w:vAlign w:val="center"/>
                </w:tcPr>
                <w:p w14:paraId="28077AAC">
                  <w:pPr>
                    <w:pStyle w:val="47"/>
                    <w:adjustRightInd w:val="0"/>
                    <w:snapToGrid w:val="0"/>
                    <w:rPr>
                      <w:rFonts w:eastAsia="宋体"/>
                      <w:kern w:val="0"/>
                    </w:rPr>
                  </w:pPr>
                  <w:r>
                    <w:rPr>
                      <w:rFonts w:hint="eastAsia" w:eastAsia="宋体"/>
                      <w:kern w:val="0"/>
                    </w:rPr>
                    <w:t>0.2</w:t>
                  </w:r>
                </w:p>
              </w:tc>
              <w:tc>
                <w:tcPr>
                  <w:tcW w:w="765" w:type="dxa"/>
                  <w:vAlign w:val="center"/>
                </w:tcPr>
                <w:p w14:paraId="39694256">
                  <w:pPr>
                    <w:pStyle w:val="67"/>
                  </w:pPr>
                  <w:r>
                    <w:t>0.5</w:t>
                  </w:r>
                </w:p>
              </w:tc>
              <w:tc>
                <w:tcPr>
                  <w:tcW w:w="975" w:type="dxa"/>
                  <w:vAlign w:val="center"/>
                </w:tcPr>
                <w:p w14:paraId="3AAD34E4">
                  <w:r>
                    <w:t>桶装堆放</w:t>
                  </w:r>
                </w:p>
              </w:tc>
              <w:tc>
                <w:tcPr>
                  <w:tcW w:w="735" w:type="dxa"/>
                  <w:vAlign w:val="center"/>
                </w:tcPr>
                <w:p w14:paraId="45A61F30">
                  <w:pPr>
                    <w:pStyle w:val="67"/>
                  </w:pPr>
                  <w:r>
                    <w:t>1</w:t>
                  </w:r>
                </w:p>
              </w:tc>
              <w:tc>
                <w:tcPr>
                  <w:tcW w:w="786" w:type="dxa"/>
                  <w:vAlign w:val="center"/>
                </w:tcPr>
                <w:p w14:paraId="525402F1">
                  <w:pPr>
                    <w:pStyle w:val="67"/>
                  </w:pPr>
                  <w:r>
                    <w:t>3个月</w:t>
                  </w:r>
                </w:p>
              </w:tc>
            </w:tr>
            <w:tr w14:paraId="1257938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85" w:type="dxa"/>
                  <w:vAlign w:val="center"/>
                </w:tcPr>
                <w:p w14:paraId="1C2AF290">
                  <w:pPr>
                    <w:pStyle w:val="67"/>
                  </w:pPr>
                  <w:r>
                    <w:t>5</w:t>
                  </w:r>
                </w:p>
              </w:tc>
              <w:tc>
                <w:tcPr>
                  <w:tcW w:w="1180" w:type="dxa"/>
                  <w:vAlign w:val="center"/>
                </w:tcPr>
                <w:p w14:paraId="25B3F8D4">
                  <w:pPr>
                    <w:pStyle w:val="47"/>
                    <w:adjustRightInd w:val="0"/>
                    <w:snapToGrid w:val="0"/>
                    <w:rPr>
                      <w:rFonts w:eastAsia="宋体"/>
                      <w:bCs/>
                    </w:rPr>
                  </w:pPr>
                  <w:r>
                    <w:rPr>
                      <w:rFonts w:eastAsia="宋体"/>
                      <w:kern w:val="0"/>
                    </w:rPr>
                    <w:t>废切削液</w:t>
                  </w:r>
                </w:p>
              </w:tc>
              <w:tc>
                <w:tcPr>
                  <w:tcW w:w="587" w:type="dxa"/>
                  <w:vMerge w:val="continue"/>
                  <w:vAlign w:val="center"/>
                </w:tcPr>
                <w:p w14:paraId="4B6DD28E">
                  <w:pPr>
                    <w:pStyle w:val="67"/>
                  </w:pPr>
                </w:p>
              </w:tc>
              <w:tc>
                <w:tcPr>
                  <w:tcW w:w="954" w:type="dxa"/>
                  <w:vAlign w:val="center"/>
                </w:tcPr>
                <w:p w14:paraId="73DBE381">
                  <w:pPr>
                    <w:adjustRightInd w:val="0"/>
                    <w:snapToGrid w:val="0"/>
                    <w:jc w:val="center"/>
                    <w:rPr>
                      <w:szCs w:val="21"/>
                    </w:rPr>
                  </w:pPr>
                  <w:r>
                    <w:rPr>
                      <w:szCs w:val="21"/>
                    </w:rPr>
                    <w:t>HW09</w:t>
                  </w:r>
                </w:p>
              </w:tc>
              <w:tc>
                <w:tcPr>
                  <w:tcW w:w="1193" w:type="dxa"/>
                  <w:vAlign w:val="center"/>
                </w:tcPr>
                <w:p w14:paraId="7992BE7F">
                  <w:pPr>
                    <w:adjustRightInd w:val="0"/>
                    <w:snapToGrid w:val="0"/>
                    <w:jc w:val="center"/>
                    <w:rPr>
                      <w:szCs w:val="21"/>
                    </w:rPr>
                  </w:pPr>
                  <w:r>
                    <w:rPr>
                      <w:szCs w:val="21"/>
                    </w:rPr>
                    <w:t>900-006-09</w:t>
                  </w:r>
                </w:p>
              </w:tc>
              <w:tc>
                <w:tcPr>
                  <w:tcW w:w="885" w:type="dxa"/>
                  <w:vAlign w:val="center"/>
                </w:tcPr>
                <w:p w14:paraId="1DD08797">
                  <w:pPr>
                    <w:pStyle w:val="47"/>
                    <w:adjustRightInd w:val="0"/>
                    <w:snapToGrid w:val="0"/>
                    <w:rPr>
                      <w:rFonts w:eastAsia="宋体"/>
                      <w:kern w:val="0"/>
                    </w:rPr>
                  </w:pPr>
                  <w:r>
                    <w:rPr>
                      <w:rFonts w:eastAsia="宋体"/>
                      <w:kern w:val="0"/>
                    </w:rPr>
                    <w:t>1.4</w:t>
                  </w:r>
                </w:p>
              </w:tc>
              <w:tc>
                <w:tcPr>
                  <w:tcW w:w="765" w:type="dxa"/>
                  <w:vAlign w:val="center"/>
                </w:tcPr>
                <w:p w14:paraId="13F573DC">
                  <w:pPr>
                    <w:pStyle w:val="67"/>
                  </w:pPr>
                  <w:r>
                    <w:t>0.5</w:t>
                  </w:r>
                </w:p>
              </w:tc>
              <w:tc>
                <w:tcPr>
                  <w:tcW w:w="975" w:type="dxa"/>
                  <w:vAlign w:val="center"/>
                </w:tcPr>
                <w:p w14:paraId="16D6DE1C">
                  <w:r>
                    <w:t>桶装堆放</w:t>
                  </w:r>
                </w:p>
              </w:tc>
              <w:tc>
                <w:tcPr>
                  <w:tcW w:w="735" w:type="dxa"/>
                  <w:vAlign w:val="center"/>
                </w:tcPr>
                <w:p w14:paraId="103EFFED">
                  <w:pPr>
                    <w:pStyle w:val="67"/>
                  </w:pPr>
                  <w:r>
                    <w:t>1</w:t>
                  </w:r>
                </w:p>
              </w:tc>
              <w:tc>
                <w:tcPr>
                  <w:tcW w:w="786" w:type="dxa"/>
                  <w:vAlign w:val="center"/>
                </w:tcPr>
                <w:p w14:paraId="110870E2">
                  <w:pPr>
                    <w:jc w:val="center"/>
                  </w:pPr>
                  <w:r>
                    <w:t>3个月</w:t>
                  </w:r>
                </w:p>
              </w:tc>
            </w:tr>
            <w:tr w14:paraId="2B34932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85" w:type="dxa"/>
                  <w:vAlign w:val="center"/>
                </w:tcPr>
                <w:p w14:paraId="5662E97C">
                  <w:pPr>
                    <w:pStyle w:val="67"/>
                  </w:pPr>
                  <w:r>
                    <w:t>6</w:t>
                  </w:r>
                </w:p>
              </w:tc>
              <w:tc>
                <w:tcPr>
                  <w:tcW w:w="1180" w:type="dxa"/>
                  <w:vAlign w:val="center"/>
                </w:tcPr>
                <w:p w14:paraId="5F8900F3">
                  <w:pPr>
                    <w:pStyle w:val="47"/>
                    <w:adjustRightInd w:val="0"/>
                    <w:snapToGrid w:val="0"/>
                    <w:rPr>
                      <w:rFonts w:eastAsia="宋体"/>
                      <w:bCs/>
                    </w:rPr>
                  </w:pPr>
                  <w:r>
                    <w:rPr>
                      <w:rFonts w:eastAsia="宋体"/>
                      <w:kern w:val="0"/>
                    </w:rPr>
                    <w:t>蒸发器残渣</w:t>
                  </w:r>
                </w:p>
              </w:tc>
              <w:tc>
                <w:tcPr>
                  <w:tcW w:w="587" w:type="dxa"/>
                  <w:vMerge w:val="continue"/>
                  <w:vAlign w:val="center"/>
                </w:tcPr>
                <w:p w14:paraId="21CA9C1E">
                  <w:pPr>
                    <w:pStyle w:val="67"/>
                  </w:pPr>
                </w:p>
              </w:tc>
              <w:tc>
                <w:tcPr>
                  <w:tcW w:w="954" w:type="dxa"/>
                  <w:vAlign w:val="center"/>
                </w:tcPr>
                <w:p w14:paraId="07715209">
                  <w:pPr>
                    <w:spacing w:line="320" w:lineRule="exact"/>
                    <w:jc w:val="center"/>
                    <w:rPr>
                      <w:szCs w:val="21"/>
                    </w:rPr>
                  </w:pPr>
                  <w:r>
                    <w:rPr>
                      <w:szCs w:val="21"/>
                    </w:rPr>
                    <w:t>HW49</w:t>
                  </w:r>
                </w:p>
              </w:tc>
              <w:tc>
                <w:tcPr>
                  <w:tcW w:w="1193" w:type="dxa"/>
                  <w:vAlign w:val="center"/>
                </w:tcPr>
                <w:p w14:paraId="3A749081">
                  <w:pPr>
                    <w:spacing w:line="280" w:lineRule="exact"/>
                    <w:jc w:val="center"/>
                    <w:rPr>
                      <w:szCs w:val="21"/>
                    </w:rPr>
                  </w:pPr>
                  <w:r>
                    <w:rPr>
                      <w:szCs w:val="21"/>
                    </w:rPr>
                    <w:t>900-</w:t>
                  </w:r>
                  <w:r>
                    <w:rPr>
                      <w:rFonts w:hint="eastAsia"/>
                      <w:szCs w:val="21"/>
                    </w:rPr>
                    <w:t>046</w:t>
                  </w:r>
                  <w:r>
                    <w:rPr>
                      <w:szCs w:val="21"/>
                    </w:rPr>
                    <w:t>-49</w:t>
                  </w:r>
                </w:p>
              </w:tc>
              <w:tc>
                <w:tcPr>
                  <w:tcW w:w="885" w:type="dxa"/>
                  <w:vAlign w:val="center"/>
                </w:tcPr>
                <w:p w14:paraId="6DA24C9A">
                  <w:pPr>
                    <w:pStyle w:val="47"/>
                    <w:adjustRightInd w:val="0"/>
                    <w:snapToGrid w:val="0"/>
                    <w:rPr>
                      <w:rFonts w:eastAsia="宋体"/>
                      <w:kern w:val="0"/>
                    </w:rPr>
                  </w:pPr>
                  <w:r>
                    <w:rPr>
                      <w:rFonts w:hint="eastAsia" w:eastAsia="宋体"/>
                      <w:kern w:val="0"/>
                    </w:rPr>
                    <w:t>9.1</w:t>
                  </w:r>
                </w:p>
              </w:tc>
              <w:tc>
                <w:tcPr>
                  <w:tcW w:w="765" w:type="dxa"/>
                  <w:vAlign w:val="center"/>
                </w:tcPr>
                <w:p w14:paraId="185D9956">
                  <w:pPr>
                    <w:pStyle w:val="67"/>
                  </w:pPr>
                  <w:r>
                    <w:rPr>
                      <w:rFonts w:hint="eastAsia"/>
                    </w:rPr>
                    <w:t>2.5</w:t>
                  </w:r>
                </w:p>
              </w:tc>
              <w:tc>
                <w:tcPr>
                  <w:tcW w:w="975" w:type="dxa"/>
                  <w:vAlign w:val="center"/>
                </w:tcPr>
                <w:p w14:paraId="702C6227">
                  <w:r>
                    <w:t>桶装堆放</w:t>
                  </w:r>
                </w:p>
              </w:tc>
              <w:tc>
                <w:tcPr>
                  <w:tcW w:w="735" w:type="dxa"/>
                  <w:vAlign w:val="center"/>
                </w:tcPr>
                <w:p w14:paraId="00DBB4B0">
                  <w:pPr>
                    <w:pStyle w:val="67"/>
                  </w:pPr>
                  <w:r>
                    <w:rPr>
                      <w:rFonts w:hint="eastAsia"/>
                    </w:rPr>
                    <w:t>3</w:t>
                  </w:r>
                </w:p>
              </w:tc>
              <w:tc>
                <w:tcPr>
                  <w:tcW w:w="786" w:type="dxa"/>
                  <w:vAlign w:val="center"/>
                </w:tcPr>
                <w:p w14:paraId="4C9650A7">
                  <w:pPr>
                    <w:jc w:val="center"/>
                  </w:pPr>
                  <w:r>
                    <w:t>3个月</w:t>
                  </w:r>
                </w:p>
              </w:tc>
            </w:tr>
          </w:tbl>
          <w:p w14:paraId="1CD2201A">
            <w:pPr>
              <w:adjustRightInd w:val="0"/>
              <w:snapToGrid w:val="0"/>
              <w:spacing w:beforeLines="50" w:line="360" w:lineRule="auto"/>
              <w:ind w:firstLine="420" w:firstLineChars="200"/>
              <w:rPr>
                <w:szCs w:val="21"/>
              </w:rPr>
            </w:pPr>
            <w:r>
              <w:rPr>
                <w:szCs w:val="21"/>
              </w:rPr>
              <w:t>扩建项目危险废物委托处理前，暂存于危险废物仓库，现有厂区已建设一座30m</w:t>
            </w:r>
            <w:r>
              <w:rPr>
                <w:szCs w:val="21"/>
                <w:vertAlign w:val="superscript"/>
              </w:rPr>
              <w:t>2</w:t>
            </w:r>
            <w:r>
              <w:rPr>
                <w:szCs w:val="21"/>
              </w:rPr>
              <w:t>危险废物仓库。本次扩建项目危废贮存合计共需暂存面积约为</w:t>
            </w:r>
            <w:r>
              <w:rPr>
                <w:rFonts w:hint="eastAsia"/>
                <w:szCs w:val="21"/>
              </w:rPr>
              <w:t>10</w:t>
            </w:r>
            <w:r>
              <w:rPr>
                <w:szCs w:val="21"/>
              </w:rPr>
              <w:t>m</w:t>
            </w:r>
            <w:r>
              <w:rPr>
                <w:szCs w:val="21"/>
                <w:vertAlign w:val="superscript"/>
              </w:rPr>
              <w:t>2</w:t>
            </w:r>
            <w:r>
              <w:rPr>
                <w:szCs w:val="21"/>
              </w:rPr>
              <w:t>，现有项目危废贮存合计共需暂存面积约为</w:t>
            </w:r>
            <w:r>
              <w:rPr>
                <w:rFonts w:hint="eastAsia"/>
                <w:szCs w:val="21"/>
              </w:rPr>
              <w:t>20</w:t>
            </w:r>
            <w:r>
              <w:rPr>
                <w:szCs w:val="21"/>
              </w:rPr>
              <w:t>m</w:t>
            </w:r>
            <w:r>
              <w:rPr>
                <w:szCs w:val="21"/>
                <w:vertAlign w:val="superscript"/>
              </w:rPr>
              <w:t>2</w:t>
            </w:r>
            <w:r>
              <w:rPr>
                <w:szCs w:val="21"/>
              </w:rPr>
              <w:t>，因此现有危险废物仓库剩余空间可以满足扩建危险废物贮存的要求。</w:t>
            </w:r>
          </w:p>
          <w:p w14:paraId="779B8B9D">
            <w:pPr>
              <w:adjustRightInd w:val="0"/>
              <w:snapToGrid w:val="0"/>
              <w:spacing w:line="360" w:lineRule="auto"/>
              <w:ind w:firstLine="420" w:firstLineChars="200"/>
              <w:rPr>
                <w:szCs w:val="21"/>
              </w:rPr>
            </w:pPr>
            <w:r>
              <w:rPr>
                <w:szCs w:val="21"/>
              </w:rPr>
              <w:t>项目产生危险废物中不含挥发性物质，仅包装桶内含有少量残留物质，在贮存及转运过程中均能够保持密封，防止物料逸散、洒落，对大气环境影响较小。厂区内危险废物仓库已设置相关危险废物识别的标志，并建立危废管理档案、台账，能够合法、安全、规范处置危废。因此本次扩建项目所有固体废物均可实现安全收集贮存，对环境的影响具有可控性。</w:t>
            </w:r>
          </w:p>
          <w:p w14:paraId="256E3D6E">
            <w:pPr>
              <w:adjustRightInd w:val="0"/>
              <w:snapToGrid w:val="0"/>
              <w:spacing w:line="360" w:lineRule="auto"/>
              <w:ind w:firstLine="422" w:firstLineChars="200"/>
              <w:rPr>
                <w:b/>
                <w:bCs/>
                <w:szCs w:val="21"/>
              </w:rPr>
            </w:pPr>
            <w:r>
              <w:rPr>
                <w:b/>
                <w:bCs/>
                <w:szCs w:val="21"/>
              </w:rPr>
              <w:t>②危险废物贮存场所设计要求</w:t>
            </w:r>
          </w:p>
          <w:p w14:paraId="496C5ABD">
            <w:pPr>
              <w:adjustRightInd w:val="0"/>
              <w:snapToGrid w:val="0"/>
              <w:spacing w:line="360" w:lineRule="auto"/>
              <w:ind w:firstLine="420" w:firstLineChars="200"/>
              <w:rPr>
                <w:szCs w:val="21"/>
              </w:rPr>
            </w:pPr>
            <w:r>
              <w:rPr>
                <w:szCs w:val="21"/>
              </w:rPr>
              <w:t>根据《危险废物贮存污染控制标准》（GB18597-2023）及《省生态环境厅关于做好&lt;危险废物贮存污染控制标准&gt;等标准规范实施后危险废物环境管理衔接工作的通知》（苏环办〔2023〕154号）中相关规定，项目厂区内已建危险废物仓库已做到以下要求：</w:t>
            </w:r>
          </w:p>
          <w:p w14:paraId="17BB7CBE">
            <w:pPr>
              <w:adjustRightInd w:val="0"/>
              <w:snapToGrid w:val="0"/>
              <w:spacing w:line="360" w:lineRule="auto"/>
              <w:ind w:firstLine="420" w:firstLineChars="200"/>
              <w:rPr>
                <w:szCs w:val="21"/>
              </w:rPr>
            </w:pPr>
            <w:r>
              <w:rPr>
                <w:szCs w:val="21"/>
              </w:rPr>
              <w:t>A.根据危险废物的形态、物理化学性质、包装形式和污染物迁移途径，危险废物仓库已采取防风、防晒、防雨、防漏、防渗、防腐以及其他环境污染防治措施，危险废物仓库为单独密闭区域，未露天堆放危险废物；</w:t>
            </w:r>
          </w:p>
          <w:p w14:paraId="4AD93EC3">
            <w:pPr>
              <w:adjustRightInd w:val="0"/>
              <w:snapToGrid w:val="0"/>
              <w:spacing w:line="360" w:lineRule="auto"/>
              <w:ind w:firstLine="420" w:firstLineChars="200"/>
              <w:rPr>
                <w:szCs w:val="21"/>
              </w:rPr>
            </w:pPr>
            <w:r>
              <w:rPr>
                <w:szCs w:val="21"/>
              </w:rPr>
              <w:t>B.危险废物仓库内部已根据危险废物的类别、数量、形态、物理化学性质和污染防治等要求设置贮存分区，可有效避免不相容的危险废物接触、混合；</w:t>
            </w:r>
          </w:p>
          <w:p w14:paraId="68597AFB">
            <w:pPr>
              <w:adjustRightInd w:val="0"/>
              <w:snapToGrid w:val="0"/>
              <w:spacing w:line="360" w:lineRule="auto"/>
              <w:ind w:firstLine="420" w:firstLineChars="200"/>
              <w:rPr>
                <w:szCs w:val="21"/>
              </w:rPr>
            </w:pPr>
            <w:r>
              <w:rPr>
                <w:szCs w:val="21"/>
              </w:rPr>
              <w:t>C.危险废物仓库内地面、墙面裙脚、堵截泄漏的围堰、接触危险废物的隔板和墙体均已采用坚固的材料建造，且表面无裂缝；</w:t>
            </w:r>
          </w:p>
          <w:p w14:paraId="18FB9540">
            <w:pPr>
              <w:adjustRightInd w:val="0"/>
              <w:snapToGrid w:val="0"/>
              <w:spacing w:line="360" w:lineRule="auto"/>
              <w:ind w:firstLine="420" w:firstLineChars="200"/>
              <w:rPr>
                <w:szCs w:val="21"/>
              </w:rPr>
            </w:pPr>
            <w:r>
              <w:rPr>
                <w:szCs w:val="21"/>
              </w:rPr>
              <w:t>D.危险废物仓库内地面与裙脚已采取表面防渗措施；表面防渗材料采用环氧地坪，与所接触的物料或污染物相容，且具有高强度、耐磨损、防腐、表面无接缝等性能。厂区内贮存的危险废物不与地面直接接触，危险废物下方均已设置防渗漏托盘；</w:t>
            </w:r>
          </w:p>
          <w:p w14:paraId="5BF62C6A">
            <w:pPr>
              <w:adjustRightInd w:val="0"/>
              <w:snapToGrid w:val="0"/>
              <w:spacing w:line="360" w:lineRule="auto"/>
              <w:ind w:firstLine="420" w:firstLineChars="200"/>
              <w:rPr>
                <w:szCs w:val="21"/>
              </w:rPr>
            </w:pPr>
            <w:r>
              <w:rPr>
                <w:szCs w:val="21"/>
              </w:rPr>
              <w:t>E.危险废物仓库内采用相同的防渗、防腐工艺及防渗、防腐结构和材料，防渗、防腐材料能够覆盖所有可能与废物及其渗滤液、渗漏液等接触的构筑物表面；</w:t>
            </w:r>
          </w:p>
          <w:p w14:paraId="4488A084">
            <w:pPr>
              <w:adjustRightInd w:val="0"/>
              <w:snapToGrid w:val="0"/>
              <w:spacing w:line="360" w:lineRule="auto"/>
              <w:ind w:firstLine="420" w:firstLineChars="200"/>
              <w:rPr>
                <w:szCs w:val="21"/>
              </w:rPr>
            </w:pPr>
            <w:r>
              <w:rPr>
                <w:szCs w:val="21"/>
              </w:rPr>
              <w:t>F.危险废物仓库已采取技术和管理措施，设置专人管理，禁止无关人员进入；</w:t>
            </w:r>
          </w:p>
          <w:p w14:paraId="3CBA77E3">
            <w:pPr>
              <w:adjustRightInd w:val="0"/>
              <w:snapToGrid w:val="0"/>
              <w:spacing w:line="360" w:lineRule="auto"/>
              <w:ind w:firstLine="420" w:firstLineChars="200"/>
              <w:rPr>
                <w:szCs w:val="21"/>
              </w:rPr>
            </w:pPr>
            <w:r>
              <w:rPr>
                <w:szCs w:val="21"/>
              </w:rPr>
              <w:t>G.危险废物仓库内部及危险废物容器和包装物已按照相关标准要求设置危险废物贮存场所标志、危险废物贮存分区标志和危险废物标签等危险废物识别标志；</w:t>
            </w:r>
          </w:p>
          <w:p w14:paraId="0B5F41FF">
            <w:pPr>
              <w:adjustRightInd w:val="0"/>
              <w:snapToGrid w:val="0"/>
              <w:spacing w:line="360" w:lineRule="auto"/>
              <w:ind w:firstLine="420" w:firstLineChars="200"/>
              <w:rPr>
                <w:szCs w:val="21"/>
              </w:rPr>
            </w:pPr>
            <w:r>
              <w:rPr>
                <w:szCs w:val="21"/>
              </w:rPr>
              <w:t>H.危险废物仓库内已按照要求规范配备通讯设备、照明设施和消防设施；在设施内部等关键位置已按照危险废物贮存设施视频监控布设要求设置视频监控，并已与中控室联网，视频监控装置的监控画面清晰，视频记录保存时间至少可保持3个月；</w:t>
            </w:r>
          </w:p>
          <w:p w14:paraId="55B92105">
            <w:pPr>
              <w:adjustRightInd w:val="0"/>
              <w:snapToGrid w:val="0"/>
              <w:spacing w:line="360" w:lineRule="auto"/>
              <w:ind w:firstLine="420" w:firstLineChars="200"/>
              <w:rPr>
                <w:szCs w:val="21"/>
              </w:rPr>
            </w:pPr>
            <w:r>
              <w:rPr>
                <w:szCs w:val="21"/>
              </w:rPr>
              <w:t>I.危险废物仓库已按照《危险废物识别标志设置技术规范》（HJ1276-2022）中要求规范设置分区标志、贮存设施标志等标识牌。</w:t>
            </w:r>
          </w:p>
          <w:bookmarkEnd w:id="138"/>
          <w:p w14:paraId="566E6B35">
            <w:pPr>
              <w:adjustRightInd w:val="0"/>
              <w:snapToGrid w:val="0"/>
              <w:spacing w:line="360" w:lineRule="auto"/>
              <w:ind w:firstLine="422" w:firstLineChars="200"/>
              <w:rPr>
                <w:b/>
                <w:bCs/>
                <w:szCs w:val="21"/>
              </w:rPr>
            </w:pPr>
            <w:r>
              <w:rPr>
                <w:b/>
                <w:bCs/>
                <w:szCs w:val="21"/>
              </w:rPr>
              <w:t>③危险废物运输过程污染防治措施</w:t>
            </w:r>
          </w:p>
          <w:p w14:paraId="0D07B424">
            <w:pPr>
              <w:pStyle w:val="70"/>
              <w:adjustRightInd w:val="0"/>
              <w:snapToGrid w:val="0"/>
              <w:ind w:firstLine="420"/>
              <w:jc w:val="both"/>
              <w:rPr>
                <w:sz w:val="21"/>
                <w:szCs w:val="21"/>
              </w:rPr>
            </w:pPr>
            <w:r>
              <w:rPr>
                <w:sz w:val="21"/>
                <w:szCs w:val="21"/>
              </w:rPr>
              <w:t>危险废物运输过程中如果发生散落、泄漏，容易腐化设备、产生恶臭，污染运输沿途环境，若下渗或泄漏进入土壤或地下水，将会造成局部土壤和地下水的污染，因此在运输过程中应按照相关规范加强管理。危险废物运输必须按照《危险废物收集 贮存 运输技术规范》（HJ2025-2012）的要求并做到以下几点：</w:t>
            </w:r>
          </w:p>
          <w:p w14:paraId="2EFF295C">
            <w:pPr>
              <w:autoSpaceDE w:val="0"/>
              <w:autoSpaceDN w:val="0"/>
              <w:adjustRightInd w:val="0"/>
              <w:spacing w:line="360" w:lineRule="auto"/>
              <w:ind w:firstLine="420" w:firstLineChars="200"/>
              <w:rPr>
                <w:szCs w:val="21"/>
              </w:rPr>
            </w:pPr>
            <w:r>
              <w:rPr>
                <w:szCs w:val="21"/>
              </w:rPr>
              <w:t>I）危险废物运输应由持有危险废物经营许可证的单位按照其许可证的经营范围组织实施，承担危险废物运输的单位应获得交通运输部门颁发的危险货物运输资质；</w:t>
            </w:r>
          </w:p>
          <w:p w14:paraId="6234095A">
            <w:pPr>
              <w:autoSpaceDE w:val="0"/>
              <w:autoSpaceDN w:val="0"/>
              <w:adjustRightInd w:val="0"/>
              <w:spacing w:line="360" w:lineRule="auto"/>
              <w:ind w:firstLine="420" w:firstLineChars="200"/>
              <w:rPr>
                <w:szCs w:val="21"/>
              </w:rPr>
            </w:pPr>
            <w:r>
              <w:rPr>
                <w:szCs w:val="21"/>
              </w:rPr>
              <w:t>II）危险废物公路运输应按照《道路危险货物运输管理规定》（交通部令[2015年]第9号）、JT617以及JT618执行；</w:t>
            </w:r>
          </w:p>
          <w:p w14:paraId="19237F25">
            <w:pPr>
              <w:autoSpaceDE w:val="0"/>
              <w:autoSpaceDN w:val="0"/>
              <w:adjustRightInd w:val="0"/>
              <w:spacing w:line="360" w:lineRule="auto"/>
              <w:ind w:firstLine="420" w:firstLineChars="200"/>
              <w:rPr>
                <w:szCs w:val="21"/>
              </w:rPr>
            </w:pPr>
            <w:r>
              <w:rPr>
                <w:szCs w:val="21"/>
              </w:rPr>
              <w:t>III）运输单位在承运危险废物时，应在危险废物包装上按照GB18597附录A设置标志；</w:t>
            </w:r>
          </w:p>
          <w:p w14:paraId="2D1ED776">
            <w:pPr>
              <w:autoSpaceDE w:val="0"/>
              <w:autoSpaceDN w:val="0"/>
              <w:adjustRightInd w:val="0"/>
              <w:spacing w:line="360" w:lineRule="auto"/>
              <w:ind w:firstLine="420" w:firstLineChars="200"/>
              <w:rPr>
                <w:szCs w:val="21"/>
              </w:rPr>
            </w:pPr>
            <w:r>
              <w:rPr>
                <w:szCs w:val="21"/>
              </w:rPr>
              <w:t>IV）危险废物公路运输时，运输车辆按GB13392设置车辆标志。铁路运输和水路运输危险废物时应在集装箱外按GB190规定悬挂标志；</w:t>
            </w:r>
          </w:p>
          <w:p w14:paraId="0D5E2A08">
            <w:pPr>
              <w:autoSpaceDE w:val="0"/>
              <w:autoSpaceDN w:val="0"/>
              <w:adjustRightInd w:val="0"/>
              <w:spacing w:line="360" w:lineRule="auto"/>
              <w:ind w:firstLine="420" w:firstLineChars="200"/>
              <w:rPr>
                <w:szCs w:val="21"/>
              </w:rPr>
            </w:pPr>
            <w:r>
              <w:rPr>
                <w:szCs w:val="21"/>
              </w:rPr>
              <w:t>V）危险废物运输时的中转、装卸过程应遵守如下技术要求：装卸区的工作人员应熟悉废物的危险特性，并配备适当的个人防护装备；装卸区应配备必要的消防设备和设施，并设置明显的指示标志；危险废物装卸区应设置隔离设施，液态废物装卸区应设置收集槽和缓冲罐。</w:t>
            </w:r>
          </w:p>
          <w:p w14:paraId="7D11F9E7">
            <w:pPr>
              <w:adjustRightInd w:val="0"/>
              <w:snapToGrid w:val="0"/>
              <w:spacing w:line="360" w:lineRule="auto"/>
              <w:ind w:firstLine="422" w:firstLineChars="200"/>
              <w:rPr>
                <w:b/>
                <w:bCs/>
                <w:szCs w:val="21"/>
              </w:rPr>
            </w:pPr>
            <w:r>
              <w:rPr>
                <w:b/>
                <w:bCs/>
                <w:szCs w:val="21"/>
              </w:rPr>
              <w:t>④危险废物管理要求</w:t>
            </w:r>
          </w:p>
          <w:p w14:paraId="3E6E436C">
            <w:pPr>
              <w:adjustRightInd w:val="0"/>
              <w:snapToGrid w:val="0"/>
              <w:spacing w:line="360" w:lineRule="auto"/>
              <w:ind w:firstLine="420" w:firstLineChars="200"/>
              <w:rPr>
                <w:kern w:val="0"/>
                <w:szCs w:val="21"/>
              </w:rPr>
            </w:pPr>
            <w:r>
              <w:rPr>
                <w:kern w:val="0"/>
                <w:szCs w:val="21"/>
              </w:rPr>
              <w:t>I）危险废物的管理执行《危险废物贮存污染控制标准》（GB18597-2023）中相关规定；</w:t>
            </w:r>
          </w:p>
          <w:p w14:paraId="48B34FC5">
            <w:pPr>
              <w:adjustRightInd w:val="0"/>
              <w:snapToGrid w:val="0"/>
              <w:spacing w:line="360" w:lineRule="auto"/>
              <w:ind w:firstLine="420" w:firstLineChars="200"/>
              <w:rPr>
                <w:kern w:val="0"/>
                <w:szCs w:val="21"/>
              </w:rPr>
            </w:pPr>
            <w:r>
              <w:rPr>
                <w:kern w:val="0"/>
                <w:szCs w:val="21"/>
              </w:rPr>
              <w:t>II）危废的暂存防范措施：</w:t>
            </w:r>
          </w:p>
          <w:p w14:paraId="762D2D9B">
            <w:pPr>
              <w:adjustRightInd w:val="0"/>
              <w:snapToGrid w:val="0"/>
              <w:spacing w:line="360" w:lineRule="auto"/>
              <w:ind w:firstLine="420" w:firstLineChars="200"/>
              <w:rPr>
                <w:kern w:val="0"/>
                <w:szCs w:val="21"/>
              </w:rPr>
            </w:pPr>
            <w:r>
              <w:rPr>
                <w:kern w:val="0"/>
                <w:szCs w:val="21"/>
              </w:rPr>
              <w:t>a、采取室内贮存方式，设置环境保护图形标志和警示标志；项目产生废油桶、废切削液、废活性炭等危险废物均密封贮存；</w:t>
            </w:r>
          </w:p>
          <w:p w14:paraId="0C714B80">
            <w:pPr>
              <w:adjustRightInd w:val="0"/>
              <w:snapToGrid w:val="0"/>
              <w:spacing w:line="360" w:lineRule="auto"/>
              <w:ind w:firstLine="420" w:firstLineChars="200"/>
              <w:rPr>
                <w:kern w:val="0"/>
                <w:szCs w:val="21"/>
              </w:rPr>
            </w:pPr>
            <w:r>
              <w:rPr>
                <w:kern w:val="0"/>
                <w:szCs w:val="21"/>
              </w:rPr>
              <w:t>b、按类别放入相应的容器内，不同的危险废物分开存放并设有隔离间隔断；</w:t>
            </w:r>
          </w:p>
          <w:p w14:paraId="083182C1">
            <w:pPr>
              <w:adjustRightInd w:val="0"/>
              <w:snapToGrid w:val="0"/>
              <w:spacing w:line="360" w:lineRule="auto"/>
              <w:ind w:firstLine="420" w:firstLineChars="200"/>
              <w:rPr>
                <w:kern w:val="0"/>
                <w:szCs w:val="21"/>
              </w:rPr>
            </w:pPr>
            <w:r>
              <w:rPr>
                <w:kern w:val="0"/>
                <w:szCs w:val="21"/>
              </w:rPr>
              <w:t>c、危险废物仓库为封闭砖混构筑物，室内四周已设置围堰、导流沟，且具有防雨、防风、防晒、防渗漏、防腐蚀、防盗措施等。室内地面为水泥地，具有耐腐蚀性；</w:t>
            </w:r>
          </w:p>
          <w:p w14:paraId="08547411">
            <w:pPr>
              <w:adjustRightInd w:val="0"/>
              <w:snapToGrid w:val="0"/>
              <w:spacing w:line="360" w:lineRule="auto"/>
              <w:ind w:firstLine="420" w:firstLineChars="200"/>
              <w:rPr>
                <w:kern w:val="0"/>
                <w:szCs w:val="21"/>
              </w:rPr>
            </w:pPr>
            <w:r>
              <w:rPr>
                <w:kern w:val="0"/>
                <w:szCs w:val="21"/>
              </w:rPr>
              <w:t>d、厂区危险废物管理已建立档案制度，对暂存的废物种类、数量、特性、包装容器类别、存放库位、存入日期、运出日期等均详细记录在案并长期保存；</w:t>
            </w:r>
          </w:p>
          <w:p w14:paraId="59583081">
            <w:pPr>
              <w:adjustRightInd w:val="0"/>
              <w:snapToGrid w:val="0"/>
              <w:spacing w:line="360" w:lineRule="auto"/>
              <w:ind w:firstLine="420" w:firstLineChars="200"/>
              <w:rPr>
                <w:kern w:val="0"/>
                <w:szCs w:val="21"/>
              </w:rPr>
            </w:pPr>
            <w:r>
              <w:rPr>
                <w:kern w:val="0"/>
                <w:szCs w:val="21"/>
              </w:rPr>
              <w:t>e、建设单位危废进行暂存的时间不得超过一年；</w:t>
            </w:r>
          </w:p>
          <w:p w14:paraId="79EE7200">
            <w:pPr>
              <w:adjustRightInd w:val="0"/>
              <w:snapToGrid w:val="0"/>
              <w:spacing w:line="360" w:lineRule="auto"/>
              <w:ind w:firstLine="420" w:firstLineChars="200"/>
              <w:rPr>
                <w:kern w:val="0"/>
                <w:szCs w:val="21"/>
              </w:rPr>
            </w:pPr>
            <w:r>
              <w:rPr>
                <w:kern w:val="0"/>
                <w:szCs w:val="21"/>
              </w:rPr>
              <w:t>f、建立定期巡查、维护制度。</w:t>
            </w:r>
          </w:p>
          <w:p w14:paraId="17D44643">
            <w:pPr>
              <w:adjustRightInd w:val="0"/>
              <w:snapToGrid w:val="0"/>
              <w:spacing w:line="360" w:lineRule="auto"/>
              <w:ind w:firstLine="422" w:firstLineChars="200"/>
              <w:rPr>
                <w:b/>
                <w:bCs/>
                <w:szCs w:val="21"/>
              </w:rPr>
            </w:pPr>
            <w:r>
              <w:rPr>
                <w:b/>
                <w:bCs/>
                <w:szCs w:val="21"/>
              </w:rPr>
              <w:t>2）一般固体废物污染防治措施</w:t>
            </w:r>
          </w:p>
          <w:p w14:paraId="7900DFC3">
            <w:pPr>
              <w:adjustRightInd w:val="0"/>
              <w:snapToGrid w:val="0"/>
              <w:spacing w:line="360" w:lineRule="auto"/>
              <w:ind w:firstLine="420" w:firstLineChars="200"/>
              <w:rPr>
                <w:kern w:val="0"/>
                <w:szCs w:val="21"/>
              </w:rPr>
            </w:pPr>
            <w:r>
              <w:rPr>
                <w:kern w:val="0"/>
                <w:szCs w:val="21"/>
              </w:rPr>
              <w:t>①严格执行</w:t>
            </w:r>
            <w:r>
              <w:rPr>
                <w:szCs w:val="21"/>
              </w:rPr>
              <w:t>《一般工业固体废物贮存和填埋污染控制标准》（GB18599-2020）</w:t>
            </w:r>
            <w:r>
              <w:rPr>
                <w:kern w:val="0"/>
                <w:szCs w:val="21"/>
              </w:rPr>
              <w:t>、《环境保护图形标志—固体废物贮存（处置场）》（GB15562.2-1995）等规定要求，对固体废物实行分类收集，选择满足要求的容器进行包装贮存；</w:t>
            </w:r>
          </w:p>
          <w:p w14:paraId="5869010D">
            <w:pPr>
              <w:adjustRightInd w:val="0"/>
              <w:snapToGrid w:val="0"/>
              <w:spacing w:line="360" w:lineRule="auto"/>
              <w:ind w:firstLine="420" w:firstLineChars="200"/>
              <w:rPr>
                <w:kern w:val="0"/>
                <w:szCs w:val="21"/>
              </w:rPr>
            </w:pPr>
            <w:r>
              <w:rPr>
                <w:kern w:val="0"/>
                <w:szCs w:val="21"/>
              </w:rPr>
              <w:t>②对固体废物实行从产生、收集、运输、贮存直至最终处理实行全过程管理，按照有关法律、法规的要求，对固体废弃物全过程管理应报当地环保行政主管部门等批准；</w:t>
            </w:r>
          </w:p>
          <w:p w14:paraId="73DDFD95">
            <w:pPr>
              <w:adjustRightInd w:val="0"/>
              <w:snapToGrid w:val="0"/>
              <w:spacing w:line="360" w:lineRule="auto"/>
              <w:ind w:firstLine="420" w:firstLineChars="200"/>
              <w:rPr>
                <w:kern w:val="0"/>
                <w:szCs w:val="21"/>
              </w:rPr>
            </w:pPr>
            <w:r>
              <w:rPr>
                <w:kern w:val="0"/>
                <w:szCs w:val="21"/>
              </w:rPr>
              <w:t>③加强固体废物规范化管理，固体废物分类定点堆放，堆放场所远离办公区和周围环境敏感点；</w:t>
            </w:r>
          </w:p>
          <w:p w14:paraId="2FB7D8DB">
            <w:pPr>
              <w:adjustRightInd w:val="0"/>
              <w:snapToGrid w:val="0"/>
              <w:spacing w:line="360" w:lineRule="auto"/>
              <w:ind w:firstLine="420" w:firstLineChars="200"/>
              <w:rPr>
                <w:kern w:val="0"/>
                <w:szCs w:val="21"/>
              </w:rPr>
            </w:pPr>
            <w:r>
              <w:rPr>
                <w:kern w:val="0"/>
                <w:szCs w:val="21"/>
              </w:rPr>
              <w:t>④固体废物及时清运，避免产生二次污染；</w:t>
            </w:r>
          </w:p>
          <w:p w14:paraId="7E223871">
            <w:pPr>
              <w:adjustRightInd w:val="0"/>
              <w:snapToGrid w:val="0"/>
              <w:spacing w:line="360" w:lineRule="auto"/>
              <w:ind w:firstLine="420" w:firstLineChars="200"/>
              <w:rPr>
                <w:kern w:val="0"/>
                <w:szCs w:val="21"/>
              </w:rPr>
            </w:pPr>
            <w:r>
              <w:rPr>
                <w:kern w:val="0"/>
                <w:szCs w:val="21"/>
              </w:rPr>
              <w:t>⑤固体废物运输过程中应做到密闭运输，防止固废的泄漏，减少污染。</w:t>
            </w:r>
          </w:p>
          <w:p w14:paraId="565B27C4">
            <w:pPr>
              <w:pStyle w:val="64"/>
              <w:spacing w:line="360" w:lineRule="auto"/>
              <w:ind w:firstLine="422"/>
              <w:rPr>
                <w:rFonts w:eastAsia="宋体"/>
                <w:b/>
                <w:bCs/>
                <w:sz w:val="21"/>
                <w:szCs w:val="21"/>
              </w:rPr>
            </w:pPr>
            <w:r>
              <w:rPr>
                <w:rFonts w:eastAsia="宋体"/>
                <w:b/>
                <w:bCs/>
                <w:sz w:val="21"/>
                <w:szCs w:val="21"/>
              </w:rPr>
              <w:t>（3）固体废物环境管理要求</w:t>
            </w:r>
          </w:p>
          <w:p w14:paraId="730AD38C">
            <w:pPr>
              <w:adjustRightInd w:val="0"/>
              <w:snapToGrid w:val="0"/>
              <w:spacing w:line="360" w:lineRule="auto"/>
              <w:ind w:firstLine="420" w:firstLineChars="200"/>
              <w:rPr>
                <w:szCs w:val="21"/>
              </w:rPr>
            </w:pPr>
            <w:r>
              <w:rPr>
                <w:szCs w:val="21"/>
              </w:rPr>
              <w:t>企业为固体废物污染防治的责任主体，企业应建立有关转移管理的相关规定、人员培训考核制度、档案管理制度、全过程管理制度等。</w:t>
            </w:r>
          </w:p>
          <w:p w14:paraId="48FD0249">
            <w:pPr>
              <w:pStyle w:val="64"/>
              <w:spacing w:line="360" w:lineRule="auto"/>
              <w:ind w:firstLine="422"/>
              <w:rPr>
                <w:rFonts w:eastAsia="宋体"/>
                <w:b/>
                <w:bCs/>
                <w:sz w:val="21"/>
                <w:szCs w:val="21"/>
              </w:rPr>
            </w:pPr>
            <w:r>
              <w:rPr>
                <w:rFonts w:eastAsia="宋体"/>
                <w:b/>
                <w:bCs/>
                <w:sz w:val="21"/>
                <w:szCs w:val="21"/>
              </w:rPr>
              <w:t>（4）固体废物环境管理要求</w:t>
            </w:r>
          </w:p>
          <w:p w14:paraId="4E26FF8E">
            <w:pPr>
              <w:adjustRightInd w:val="0"/>
              <w:snapToGrid w:val="0"/>
              <w:spacing w:line="360" w:lineRule="auto"/>
              <w:ind w:firstLine="420" w:firstLineChars="200"/>
              <w:rPr>
                <w:szCs w:val="21"/>
              </w:rPr>
            </w:pPr>
            <w:r>
              <w:rPr>
                <w:szCs w:val="21"/>
              </w:rPr>
              <w:t>依据固体废物的种类、产生量及其管理的全过程可能造成的环境影响进行分析：</w:t>
            </w:r>
          </w:p>
          <w:p w14:paraId="50EB14DC">
            <w:pPr>
              <w:adjustRightInd w:val="0"/>
              <w:snapToGrid w:val="0"/>
              <w:spacing w:line="360" w:lineRule="auto"/>
              <w:ind w:firstLine="420" w:firstLineChars="200"/>
              <w:rPr>
                <w:szCs w:val="21"/>
              </w:rPr>
            </w:pPr>
            <w:r>
              <w:rPr>
                <w:szCs w:val="21"/>
              </w:rPr>
              <w:t>①全厂固废分类收集与贮存，不混放，固废相互间不影响。</w:t>
            </w:r>
          </w:p>
          <w:p w14:paraId="736C05D4">
            <w:pPr>
              <w:adjustRightInd w:val="0"/>
              <w:snapToGrid w:val="0"/>
              <w:spacing w:line="360" w:lineRule="auto"/>
              <w:ind w:firstLine="420" w:firstLineChars="200"/>
              <w:rPr>
                <w:szCs w:val="21"/>
              </w:rPr>
            </w:pPr>
            <w:r>
              <w:rPr>
                <w:szCs w:val="21"/>
              </w:rPr>
              <w:t>②全厂固废运输由专业的运输单位负责，在运输过程中采用封闭运输，运输过程中不易散落和泄漏，对环境影响较小。</w:t>
            </w:r>
          </w:p>
          <w:p w14:paraId="03AD075F">
            <w:pPr>
              <w:adjustRightInd w:val="0"/>
              <w:snapToGrid w:val="0"/>
              <w:spacing w:line="360" w:lineRule="auto"/>
              <w:ind w:firstLine="420" w:firstLineChars="200"/>
              <w:rPr>
                <w:szCs w:val="21"/>
              </w:rPr>
            </w:pPr>
            <w:r>
              <w:rPr>
                <w:szCs w:val="21"/>
              </w:rPr>
              <w:t>③固废的贮存场所地面采用防渗地面，发生渗漏等事故可能性较小或甚微，对土壤、地下水产生的影响较小。</w:t>
            </w:r>
          </w:p>
          <w:p w14:paraId="41653395">
            <w:pPr>
              <w:adjustRightInd w:val="0"/>
              <w:snapToGrid w:val="0"/>
              <w:spacing w:line="360" w:lineRule="auto"/>
              <w:ind w:firstLine="420" w:firstLineChars="200"/>
              <w:rPr>
                <w:szCs w:val="21"/>
              </w:rPr>
            </w:pPr>
            <w:r>
              <w:rPr>
                <w:szCs w:val="21"/>
              </w:rPr>
              <w:t>④全厂的固废通过外售、委托处置等方式处置或利用，均不在厂内自行建设施处理，对大气、水体、土壤环境基本不产生影响。</w:t>
            </w:r>
          </w:p>
          <w:p w14:paraId="56E0A89B">
            <w:pPr>
              <w:pStyle w:val="8"/>
              <w:adjustRightInd w:val="0"/>
              <w:snapToGrid w:val="0"/>
              <w:spacing w:line="360" w:lineRule="auto"/>
              <w:ind w:firstLine="420" w:firstLineChars="200"/>
              <w:rPr>
                <w:sz w:val="24"/>
              </w:rPr>
            </w:pPr>
            <w:r>
              <w:rPr>
                <w:szCs w:val="21"/>
              </w:rPr>
              <w:t>因此，项目所产生的固废均得到合理处置，固废零排放，对周围环境影响较小。</w:t>
            </w:r>
          </w:p>
          <w:p w14:paraId="55EC1F93">
            <w:pPr>
              <w:pStyle w:val="11"/>
              <w:spacing w:line="360" w:lineRule="auto"/>
              <w:ind w:left="0" w:leftChars="0" w:right="0" w:rightChars="0" w:firstLine="422"/>
              <w:rPr>
                <w:b/>
                <w:bCs/>
                <w:color w:val="auto"/>
                <w:sz w:val="21"/>
                <w:szCs w:val="21"/>
              </w:rPr>
            </w:pPr>
            <w:r>
              <w:rPr>
                <w:b/>
                <w:bCs/>
                <w:color w:val="auto"/>
                <w:sz w:val="21"/>
                <w:szCs w:val="21"/>
              </w:rPr>
              <w:t>5、土壤和地下水环境影响分析</w:t>
            </w:r>
          </w:p>
          <w:p w14:paraId="794EE71E">
            <w:pPr>
              <w:pStyle w:val="11"/>
              <w:spacing w:line="360" w:lineRule="auto"/>
              <w:ind w:left="0" w:leftChars="0" w:right="0" w:rightChars="0" w:firstLine="422"/>
              <w:rPr>
                <w:b/>
                <w:bCs/>
                <w:color w:val="auto"/>
                <w:sz w:val="21"/>
                <w:szCs w:val="21"/>
              </w:rPr>
            </w:pPr>
            <w:r>
              <w:rPr>
                <w:b/>
                <w:bCs/>
                <w:color w:val="auto"/>
                <w:sz w:val="21"/>
                <w:szCs w:val="21"/>
              </w:rPr>
              <w:t>（1）影响途径</w:t>
            </w:r>
          </w:p>
          <w:p w14:paraId="76D64D1B">
            <w:pPr>
              <w:pStyle w:val="11"/>
              <w:spacing w:line="360" w:lineRule="auto"/>
              <w:ind w:left="0" w:leftChars="0" w:right="0" w:rightChars="0" w:firstLine="420"/>
              <w:rPr>
                <w:color w:val="auto"/>
                <w:sz w:val="21"/>
                <w:szCs w:val="21"/>
              </w:rPr>
            </w:pPr>
            <w:r>
              <w:rPr>
                <w:color w:val="auto"/>
                <w:sz w:val="21"/>
                <w:szCs w:val="21"/>
              </w:rPr>
              <w:t>项目可能造成土壤和地下水污染影响的区域为危险废物仓库、原料仓库、化学品仓库、涉及液态原料生产区域（包括表面处理电泳区域、表面处理区域、浸涂喷胶区域、模具清洗区域、机加工区域、混胶区域）、</w:t>
            </w:r>
            <w:bookmarkStart w:id="139" w:name="OLE_LINK121"/>
            <w:bookmarkStart w:id="140" w:name="OLE_LINK120"/>
            <w:r>
              <w:rPr>
                <w:color w:val="auto"/>
                <w:sz w:val="21"/>
                <w:szCs w:val="21"/>
              </w:rPr>
              <w:t>污水处理站、应急事故池</w:t>
            </w:r>
            <w:bookmarkEnd w:id="139"/>
            <w:bookmarkEnd w:id="140"/>
            <w:r>
              <w:rPr>
                <w:color w:val="auto"/>
                <w:sz w:val="21"/>
                <w:szCs w:val="21"/>
              </w:rPr>
              <w:t>。可能污染的途径为液态危险废物在储存、运输过程中泄漏，污染土壤地面及地下水；原料仓库及化学品仓库、</w:t>
            </w:r>
            <w:r>
              <w:rPr>
                <w:rFonts w:hint="eastAsia"/>
                <w:color w:val="auto"/>
                <w:sz w:val="21"/>
                <w:szCs w:val="21"/>
              </w:rPr>
              <w:t>1#车间、2#车间、3#车间、4#车间、5#车间</w:t>
            </w:r>
            <w:r>
              <w:rPr>
                <w:color w:val="auto"/>
                <w:sz w:val="21"/>
                <w:szCs w:val="21"/>
              </w:rPr>
              <w:t>生产装置区域中液态原料</w:t>
            </w:r>
            <w:bookmarkStart w:id="141" w:name="OLE_LINK123"/>
            <w:bookmarkStart w:id="142" w:name="OLE_LINK122"/>
            <w:r>
              <w:rPr>
                <w:color w:val="auto"/>
                <w:sz w:val="21"/>
                <w:szCs w:val="21"/>
              </w:rPr>
              <w:t>泄漏，渗入到泄漏区域附近的土壤和地下水中</w:t>
            </w:r>
            <w:bookmarkEnd w:id="141"/>
            <w:bookmarkEnd w:id="142"/>
            <w:r>
              <w:rPr>
                <w:color w:val="auto"/>
                <w:sz w:val="21"/>
                <w:szCs w:val="21"/>
              </w:rPr>
              <w:t>，污水处理站和应急事故池中废水泄漏，渗入到附近的土壤和地下水中。项目可能影响土壤、地下水环境的途径见下表：</w:t>
            </w:r>
          </w:p>
          <w:p w14:paraId="0409F517">
            <w:pPr>
              <w:jc w:val="center"/>
              <w:rPr>
                <w:b/>
                <w:bCs/>
                <w:szCs w:val="21"/>
              </w:rPr>
            </w:pPr>
            <w:r>
              <w:rPr>
                <w:b/>
                <w:bCs/>
                <w:szCs w:val="21"/>
              </w:rPr>
              <w:t>表4-30  土壤、地下水环境污染</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68"/>
              <w:gridCol w:w="2570"/>
              <w:gridCol w:w="3784"/>
              <w:gridCol w:w="1223"/>
            </w:tblGrid>
            <w:tr w14:paraId="6C95E8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68" w:type="dxa"/>
                  <w:vAlign w:val="center"/>
                </w:tcPr>
                <w:p w14:paraId="51C28516">
                  <w:pPr>
                    <w:adjustRightInd w:val="0"/>
                    <w:snapToGrid w:val="0"/>
                    <w:jc w:val="center"/>
                    <w:rPr>
                      <w:rStyle w:val="30"/>
                      <w:b/>
                      <w:bCs/>
                      <w:szCs w:val="21"/>
                    </w:rPr>
                  </w:pPr>
                  <w:r>
                    <w:rPr>
                      <w:rStyle w:val="30"/>
                      <w:b/>
                      <w:bCs/>
                      <w:szCs w:val="21"/>
                    </w:rPr>
                    <w:t>项目</w:t>
                  </w:r>
                </w:p>
              </w:tc>
              <w:tc>
                <w:tcPr>
                  <w:tcW w:w="2570" w:type="dxa"/>
                  <w:vAlign w:val="center"/>
                </w:tcPr>
                <w:p w14:paraId="6FE4A456">
                  <w:pPr>
                    <w:adjustRightInd w:val="0"/>
                    <w:snapToGrid w:val="0"/>
                    <w:jc w:val="center"/>
                    <w:rPr>
                      <w:rStyle w:val="30"/>
                      <w:b/>
                      <w:bCs/>
                      <w:szCs w:val="21"/>
                    </w:rPr>
                  </w:pPr>
                  <w:r>
                    <w:rPr>
                      <w:rStyle w:val="30"/>
                      <w:b/>
                      <w:bCs/>
                      <w:szCs w:val="21"/>
                    </w:rPr>
                    <w:t>污染源</w:t>
                  </w:r>
                </w:p>
              </w:tc>
              <w:tc>
                <w:tcPr>
                  <w:tcW w:w="3784" w:type="dxa"/>
                  <w:vAlign w:val="center"/>
                </w:tcPr>
                <w:p w14:paraId="6A19B00B">
                  <w:pPr>
                    <w:adjustRightInd w:val="0"/>
                    <w:snapToGrid w:val="0"/>
                    <w:jc w:val="center"/>
                    <w:rPr>
                      <w:rStyle w:val="30"/>
                      <w:b/>
                      <w:bCs/>
                      <w:szCs w:val="21"/>
                    </w:rPr>
                  </w:pPr>
                  <w:r>
                    <w:rPr>
                      <w:rStyle w:val="30"/>
                      <w:b/>
                      <w:bCs/>
                      <w:szCs w:val="21"/>
                    </w:rPr>
                    <w:t>污染物</w:t>
                  </w:r>
                </w:p>
              </w:tc>
              <w:tc>
                <w:tcPr>
                  <w:tcW w:w="1223" w:type="dxa"/>
                  <w:vAlign w:val="center"/>
                </w:tcPr>
                <w:p w14:paraId="29152002">
                  <w:pPr>
                    <w:adjustRightInd w:val="0"/>
                    <w:snapToGrid w:val="0"/>
                    <w:jc w:val="center"/>
                    <w:rPr>
                      <w:rStyle w:val="30"/>
                      <w:b/>
                      <w:bCs/>
                      <w:szCs w:val="21"/>
                    </w:rPr>
                  </w:pPr>
                  <w:r>
                    <w:rPr>
                      <w:rStyle w:val="30"/>
                      <w:b/>
                      <w:bCs/>
                      <w:szCs w:val="21"/>
                    </w:rPr>
                    <w:t>污染途径</w:t>
                  </w:r>
                </w:p>
              </w:tc>
            </w:tr>
            <w:tr w14:paraId="4A5131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68" w:type="dxa"/>
                  <w:vAlign w:val="center"/>
                </w:tcPr>
                <w:p w14:paraId="117F8A1E">
                  <w:pPr>
                    <w:adjustRightInd w:val="0"/>
                    <w:snapToGrid w:val="0"/>
                    <w:jc w:val="center"/>
                    <w:rPr>
                      <w:rStyle w:val="30"/>
                      <w:szCs w:val="21"/>
                    </w:rPr>
                  </w:pPr>
                  <w:r>
                    <w:rPr>
                      <w:rStyle w:val="30"/>
                      <w:szCs w:val="21"/>
                    </w:rPr>
                    <w:t>地下水</w:t>
                  </w:r>
                </w:p>
              </w:tc>
              <w:tc>
                <w:tcPr>
                  <w:tcW w:w="2570" w:type="dxa"/>
                  <w:vAlign w:val="center"/>
                </w:tcPr>
                <w:p w14:paraId="54EC7802">
                  <w:pPr>
                    <w:adjustRightInd w:val="0"/>
                    <w:snapToGrid w:val="0"/>
                    <w:jc w:val="center"/>
                    <w:rPr>
                      <w:rStyle w:val="30"/>
                      <w:szCs w:val="21"/>
                    </w:rPr>
                  </w:pPr>
                  <w:r>
                    <w:rPr>
                      <w:rStyle w:val="30"/>
                      <w:szCs w:val="21"/>
                    </w:rPr>
                    <w:t>危险废物仓库、原料仓库、</w:t>
                  </w:r>
                  <w:bookmarkStart w:id="143" w:name="OLE_LINK129"/>
                  <w:bookmarkStart w:id="144" w:name="OLE_LINK130"/>
                  <w:r>
                    <w:rPr>
                      <w:szCs w:val="21"/>
                    </w:rPr>
                    <w:t>化学品仓库、</w:t>
                  </w:r>
                  <w:r>
                    <w:rPr>
                      <w:rStyle w:val="30"/>
                      <w:szCs w:val="21"/>
                    </w:rPr>
                    <w:t>生产装置区域、污水处理站、应急事故池</w:t>
                  </w:r>
                  <w:bookmarkEnd w:id="143"/>
                  <w:bookmarkEnd w:id="144"/>
                </w:p>
              </w:tc>
              <w:tc>
                <w:tcPr>
                  <w:tcW w:w="3784" w:type="dxa"/>
                  <w:vAlign w:val="center"/>
                </w:tcPr>
                <w:p w14:paraId="5F53FB84">
                  <w:pPr>
                    <w:adjustRightInd w:val="0"/>
                    <w:snapToGrid w:val="0"/>
                    <w:jc w:val="center"/>
                    <w:rPr>
                      <w:rStyle w:val="30"/>
                      <w:szCs w:val="21"/>
                    </w:rPr>
                  </w:pPr>
                  <w:bookmarkStart w:id="145" w:name="OLE_LINK126"/>
                  <w:bookmarkStart w:id="146" w:name="OLE_LINK125"/>
                  <w:r>
                    <w:rPr>
                      <w:rStyle w:val="30"/>
                      <w:szCs w:val="21"/>
                    </w:rPr>
                    <w:t>胶粘剂、石蜡油、切削液</w:t>
                  </w:r>
                  <w:bookmarkEnd w:id="145"/>
                  <w:bookmarkEnd w:id="146"/>
                  <w:r>
                    <w:rPr>
                      <w:rStyle w:val="30"/>
                      <w:szCs w:val="21"/>
                    </w:rPr>
                    <w:t>、脱脂剂、表调剂、</w:t>
                  </w:r>
                  <w:r>
                    <w:rPr>
                      <w:rStyle w:val="30"/>
                      <w:rFonts w:hint="eastAsia"/>
                      <w:szCs w:val="21"/>
                      <w:highlight w:val="black"/>
                      <w:lang w:val="en-US" w:eastAsia="zh-CN"/>
                    </w:rPr>
                    <w:t xml:space="preserve">    </w:t>
                  </w:r>
                  <w:r>
                    <w:rPr>
                      <w:rStyle w:val="30"/>
                      <w:szCs w:val="21"/>
                    </w:rPr>
                    <w:t>、模具清洗剂、危险废物、生产废水、事故废水等</w:t>
                  </w:r>
                </w:p>
              </w:tc>
              <w:tc>
                <w:tcPr>
                  <w:tcW w:w="1223" w:type="dxa"/>
                  <w:vAlign w:val="center"/>
                </w:tcPr>
                <w:p w14:paraId="08C845BD">
                  <w:pPr>
                    <w:adjustRightInd w:val="0"/>
                    <w:snapToGrid w:val="0"/>
                    <w:jc w:val="center"/>
                    <w:rPr>
                      <w:rStyle w:val="30"/>
                      <w:szCs w:val="21"/>
                    </w:rPr>
                  </w:pPr>
                  <w:r>
                    <w:rPr>
                      <w:rStyle w:val="30"/>
                      <w:szCs w:val="21"/>
                    </w:rPr>
                    <w:t>泄漏</w:t>
                  </w:r>
                </w:p>
              </w:tc>
            </w:tr>
            <w:tr w14:paraId="330CA1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68" w:type="dxa"/>
                  <w:vAlign w:val="center"/>
                </w:tcPr>
                <w:p w14:paraId="28B0180D">
                  <w:pPr>
                    <w:adjustRightInd w:val="0"/>
                    <w:snapToGrid w:val="0"/>
                    <w:jc w:val="center"/>
                    <w:rPr>
                      <w:rStyle w:val="30"/>
                      <w:szCs w:val="21"/>
                    </w:rPr>
                  </w:pPr>
                  <w:r>
                    <w:rPr>
                      <w:rStyle w:val="30"/>
                      <w:szCs w:val="21"/>
                    </w:rPr>
                    <w:t>土壤</w:t>
                  </w:r>
                </w:p>
              </w:tc>
              <w:tc>
                <w:tcPr>
                  <w:tcW w:w="2570" w:type="dxa"/>
                  <w:vAlign w:val="center"/>
                </w:tcPr>
                <w:p w14:paraId="7D87EA5B">
                  <w:pPr>
                    <w:adjustRightInd w:val="0"/>
                    <w:snapToGrid w:val="0"/>
                    <w:jc w:val="center"/>
                    <w:rPr>
                      <w:rStyle w:val="30"/>
                      <w:szCs w:val="21"/>
                    </w:rPr>
                  </w:pPr>
                  <w:r>
                    <w:rPr>
                      <w:rStyle w:val="30"/>
                      <w:szCs w:val="21"/>
                    </w:rPr>
                    <w:t>危险废物仓库、原料仓库、</w:t>
                  </w:r>
                  <w:r>
                    <w:rPr>
                      <w:szCs w:val="21"/>
                    </w:rPr>
                    <w:t>化学品仓库、</w:t>
                  </w:r>
                  <w:r>
                    <w:rPr>
                      <w:rStyle w:val="30"/>
                      <w:szCs w:val="21"/>
                    </w:rPr>
                    <w:t>生产装置区域、污水处理站、应急事故池</w:t>
                  </w:r>
                </w:p>
              </w:tc>
              <w:tc>
                <w:tcPr>
                  <w:tcW w:w="3784" w:type="dxa"/>
                  <w:vAlign w:val="center"/>
                </w:tcPr>
                <w:p w14:paraId="2A251FD7">
                  <w:pPr>
                    <w:adjustRightInd w:val="0"/>
                    <w:snapToGrid w:val="0"/>
                    <w:jc w:val="center"/>
                    <w:rPr>
                      <w:rStyle w:val="30"/>
                      <w:b/>
                      <w:bCs/>
                      <w:szCs w:val="21"/>
                    </w:rPr>
                  </w:pPr>
                  <w:r>
                    <w:rPr>
                      <w:rStyle w:val="30"/>
                      <w:szCs w:val="21"/>
                    </w:rPr>
                    <w:t>胶粘剂、石蜡油、切削液、</w:t>
                  </w:r>
                  <w:bookmarkStart w:id="147" w:name="OLE_LINK127"/>
                  <w:bookmarkStart w:id="148" w:name="OLE_LINK128"/>
                  <w:r>
                    <w:rPr>
                      <w:rStyle w:val="30"/>
                      <w:szCs w:val="21"/>
                    </w:rPr>
                    <w:t>脱脂剂、表调剂、</w:t>
                  </w:r>
                  <w:r>
                    <w:rPr>
                      <w:rStyle w:val="30"/>
                      <w:rFonts w:hint="eastAsia"/>
                      <w:szCs w:val="21"/>
                      <w:highlight w:val="black"/>
                      <w:lang w:val="en-US" w:eastAsia="zh-CN"/>
                    </w:rPr>
                    <w:t xml:space="preserve">       </w:t>
                  </w:r>
                  <w:r>
                    <w:rPr>
                      <w:rStyle w:val="30"/>
                      <w:rFonts w:hint="eastAsia"/>
                      <w:szCs w:val="21"/>
                      <w:lang w:val="en-US" w:eastAsia="zh-CN"/>
                    </w:rPr>
                    <w:t>、</w:t>
                  </w:r>
                  <w:r>
                    <w:rPr>
                      <w:rStyle w:val="30"/>
                      <w:szCs w:val="21"/>
                    </w:rPr>
                    <w:t>模具清洗剂、</w:t>
                  </w:r>
                  <w:bookmarkEnd w:id="147"/>
                  <w:bookmarkEnd w:id="148"/>
                  <w:r>
                    <w:rPr>
                      <w:rStyle w:val="30"/>
                      <w:szCs w:val="21"/>
                    </w:rPr>
                    <w:t>危险废物</w:t>
                  </w:r>
                  <w:bookmarkStart w:id="149" w:name="OLE_LINK124"/>
                  <w:r>
                    <w:rPr>
                      <w:rStyle w:val="30"/>
                      <w:szCs w:val="21"/>
                    </w:rPr>
                    <w:t>、生产废水、事故废水</w:t>
                  </w:r>
                  <w:bookmarkEnd w:id="149"/>
                  <w:r>
                    <w:rPr>
                      <w:rStyle w:val="30"/>
                      <w:szCs w:val="21"/>
                    </w:rPr>
                    <w:t>等</w:t>
                  </w:r>
                </w:p>
              </w:tc>
              <w:tc>
                <w:tcPr>
                  <w:tcW w:w="1223" w:type="dxa"/>
                  <w:vAlign w:val="center"/>
                </w:tcPr>
                <w:p w14:paraId="6C6C466A">
                  <w:pPr>
                    <w:adjustRightInd w:val="0"/>
                    <w:snapToGrid w:val="0"/>
                    <w:jc w:val="center"/>
                    <w:rPr>
                      <w:rStyle w:val="30"/>
                      <w:szCs w:val="21"/>
                    </w:rPr>
                  </w:pPr>
                  <w:r>
                    <w:rPr>
                      <w:rStyle w:val="30"/>
                      <w:szCs w:val="21"/>
                    </w:rPr>
                    <w:t>垂直入渗</w:t>
                  </w:r>
                </w:p>
              </w:tc>
            </w:tr>
          </w:tbl>
          <w:p w14:paraId="65FA3335">
            <w:pPr>
              <w:pStyle w:val="11"/>
              <w:spacing w:beforeLines="50" w:line="360" w:lineRule="auto"/>
              <w:ind w:left="0" w:leftChars="0" w:right="0" w:rightChars="0" w:firstLine="422"/>
              <w:rPr>
                <w:b/>
                <w:bCs/>
                <w:color w:val="auto"/>
                <w:sz w:val="21"/>
                <w:szCs w:val="21"/>
              </w:rPr>
            </w:pPr>
            <w:r>
              <w:rPr>
                <w:b/>
                <w:bCs/>
                <w:color w:val="auto"/>
                <w:sz w:val="21"/>
                <w:szCs w:val="21"/>
              </w:rPr>
              <w:t>（2）防渗要求</w:t>
            </w:r>
          </w:p>
          <w:p w14:paraId="3F57101D">
            <w:pPr>
              <w:spacing w:line="360" w:lineRule="auto"/>
              <w:ind w:firstLine="420" w:firstLineChars="200"/>
              <w:rPr>
                <w:szCs w:val="21"/>
              </w:rPr>
            </w:pPr>
            <w:r>
              <w:rPr>
                <w:szCs w:val="21"/>
              </w:rPr>
              <w:t>根据生产特征以及厂区内设备、原料储存桶等可能产生的污染源，如果不采取合理的防治措施，危险废物仓库、化学品仓库、</w:t>
            </w:r>
            <w:r>
              <w:rPr>
                <w:rStyle w:val="30"/>
                <w:szCs w:val="21"/>
              </w:rPr>
              <w:t>生产装置区域、污水处理站、应急事故池</w:t>
            </w:r>
            <w:r>
              <w:rPr>
                <w:szCs w:val="21"/>
              </w:rPr>
              <w:t>等中的液态物质有可能渗入地下水或土壤，从而影响地下水及土壤环境。因此，必须制定相应的地下水环境保护措施，进行综合环境管理。本项目地下水污染防治措施按照“源头控制、分区防治、污染监控、应急响应”相结合的原则，从污染物的产生、入渗、扩散、应急响应进行控制。</w:t>
            </w:r>
          </w:p>
          <w:p w14:paraId="02BEA6D5">
            <w:pPr>
              <w:adjustRightInd w:val="0"/>
              <w:snapToGrid w:val="0"/>
              <w:spacing w:line="360" w:lineRule="auto"/>
              <w:ind w:firstLine="420" w:firstLineChars="200"/>
              <w:jc w:val="left"/>
              <w:rPr>
                <w:bCs/>
                <w:szCs w:val="21"/>
              </w:rPr>
            </w:pPr>
            <w:r>
              <w:rPr>
                <w:szCs w:val="21"/>
              </w:rPr>
              <w:t>工程生产运行过程中要建立健全地下水及土壤保护与污染防治的措施与方法；采取必要监测制度，一旦发现地下水或土壤遭受污染，就应及时采取措施，防微杜渐；尽量减少污染物进入地下含水层的机会和数量。</w:t>
            </w:r>
          </w:p>
          <w:p w14:paraId="4FDB0B14">
            <w:pPr>
              <w:adjustRightInd w:val="0"/>
              <w:snapToGrid w:val="0"/>
              <w:spacing w:line="360" w:lineRule="auto"/>
              <w:ind w:firstLine="420" w:firstLineChars="200"/>
              <w:jc w:val="left"/>
              <w:rPr>
                <w:bCs/>
                <w:szCs w:val="21"/>
              </w:rPr>
            </w:pPr>
            <w:r>
              <w:rPr>
                <w:bCs/>
                <w:szCs w:val="21"/>
              </w:rPr>
              <w:t>①源头控制措施</w:t>
            </w:r>
          </w:p>
          <w:p w14:paraId="24E29E27">
            <w:pPr>
              <w:adjustRightInd w:val="0"/>
              <w:snapToGrid w:val="0"/>
              <w:spacing w:line="360" w:lineRule="auto"/>
              <w:ind w:firstLine="420" w:firstLineChars="200"/>
              <w:jc w:val="left"/>
              <w:rPr>
                <w:bCs/>
                <w:szCs w:val="21"/>
              </w:rPr>
            </w:pPr>
            <w:r>
              <w:rPr>
                <w:szCs w:val="21"/>
              </w:rPr>
              <w:t>项目选择先进、成熟、可靠的处理工艺，并对产生及处理的渗漏液进行合理的处理，主要包括在工艺、管道、设备、渗漏液储存及处理构筑物采取相应措施，防止和降低污染物跑、冒、滴、漏，将污染物泄漏的环境风险事故降到最低程度。</w:t>
            </w:r>
          </w:p>
          <w:p w14:paraId="5C23B3DD">
            <w:pPr>
              <w:adjustRightInd w:val="0"/>
              <w:snapToGrid w:val="0"/>
              <w:spacing w:line="360" w:lineRule="auto"/>
              <w:ind w:firstLine="420" w:firstLineChars="200"/>
              <w:jc w:val="left"/>
              <w:rPr>
                <w:bCs/>
                <w:szCs w:val="21"/>
              </w:rPr>
            </w:pPr>
            <w:r>
              <w:rPr>
                <w:bCs/>
                <w:szCs w:val="21"/>
              </w:rPr>
              <w:t>②末端控制措施</w:t>
            </w:r>
          </w:p>
          <w:p w14:paraId="2D0F5D09">
            <w:pPr>
              <w:adjustRightInd w:val="0"/>
              <w:snapToGrid w:val="0"/>
              <w:spacing w:line="360" w:lineRule="auto"/>
              <w:ind w:firstLine="420" w:firstLineChars="200"/>
              <w:jc w:val="left"/>
              <w:rPr>
                <w:bCs/>
                <w:szCs w:val="21"/>
              </w:rPr>
            </w:pPr>
            <w:r>
              <w:rPr>
                <w:bCs/>
                <w:szCs w:val="21"/>
              </w:rPr>
              <w:t>末端控制措施主要包括厂内污染区地面的防渗措施和泄漏、渗漏污染物收集措施，即在污染区地面进行防渗处理，防止洒落地面的污染物渗入地下。</w:t>
            </w:r>
          </w:p>
          <w:p w14:paraId="2EB9E02E">
            <w:pPr>
              <w:adjustRightInd w:val="0"/>
              <w:snapToGrid w:val="0"/>
              <w:spacing w:line="360" w:lineRule="auto"/>
              <w:ind w:firstLine="420" w:firstLineChars="200"/>
              <w:jc w:val="left"/>
              <w:rPr>
                <w:bCs/>
                <w:szCs w:val="21"/>
              </w:rPr>
            </w:pPr>
            <w:r>
              <w:rPr>
                <w:bCs/>
                <w:szCs w:val="21"/>
              </w:rPr>
              <w:t>③分区管理和控制措施</w:t>
            </w:r>
          </w:p>
          <w:p w14:paraId="53C457EE">
            <w:pPr>
              <w:adjustRightInd w:val="0"/>
              <w:snapToGrid w:val="0"/>
              <w:spacing w:line="360" w:lineRule="auto"/>
              <w:ind w:firstLine="420" w:firstLineChars="200"/>
              <w:jc w:val="left"/>
              <w:rPr>
                <w:bCs/>
                <w:szCs w:val="21"/>
              </w:rPr>
            </w:pPr>
            <w:r>
              <w:rPr>
                <w:bCs/>
                <w:szCs w:val="21"/>
              </w:rPr>
              <w:t>分区管理和控制原则，即根据场址所在地的工程地质、水文地质条件和全厂可能发生泄漏的物料性质、排放量并参照相应标准要求有针对性的分区，并分别设计地面防渗层结构。</w:t>
            </w:r>
          </w:p>
          <w:p w14:paraId="75C50F89">
            <w:pPr>
              <w:adjustRightInd w:val="0"/>
              <w:snapToGrid w:val="0"/>
              <w:spacing w:line="360" w:lineRule="auto"/>
              <w:ind w:firstLine="420" w:firstLineChars="200"/>
              <w:rPr>
                <w:bCs/>
                <w:szCs w:val="21"/>
              </w:rPr>
            </w:pPr>
            <w:r>
              <w:rPr>
                <w:szCs w:val="21"/>
              </w:rPr>
              <w:t>为了预防对地下水及土壤的污染，现有厂区内已将全厂按物料或者污染物泄漏的途径和生产功能单元所处的位置划分为重点污染防治区、一般污染防治区和简单防渗区三类污染防治区域：重点防渗区（危险废物仓库、涉及液态原料生产</w:t>
            </w:r>
            <w:r>
              <w:rPr>
                <w:rStyle w:val="30"/>
                <w:szCs w:val="21"/>
              </w:rPr>
              <w:t>装置</w:t>
            </w:r>
            <w:r>
              <w:rPr>
                <w:szCs w:val="21"/>
              </w:rPr>
              <w:t>区域、原料仓库等）、一般防渗区（生产车间内其余区域）、简单防渗区（办公区域、检验车间等）。各防治区域的装置名录及其防渗要求见下表：</w:t>
            </w:r>
          </w:p>
          <w:p w14:paraId="3093F622">
            <w:pPr>
              <w:adjustRightInd w:val="0"/>
              <w:snapToGrid w:val="0"/>
              <w:jc w:val="center"/>
              <w:rPr>
                <w:b/>
                <w:szCs w:val="21"/>
              </w:rPr>
            </w:pPr>
            <w:r>
              <w:rPr>
                <w:b/>
                <w:szCs w:val="21"/>
              </w:rPr>
              <w:t>表4-31  项目污染防治分区划分及防渗要求</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043"/>
              <w:gridCol w:w="837"/>
              <w:gridCol w:w="5665"/>
            </w:tblGrid>
            <w:tr w14:paraId="009A1E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043" w:type="dxa"/>
                  <w:vAlign w:val="center"/>
                </w:tcPr>
                <w:p w14:paraId="07880FC5">
                  <w:pPr>
                    <w:jc w:val="center"/>
                    <w:rPr>
                      <w:rStyle w:val="30"/>
                      <w:b/>
                      <w:bCs/>
                      <w:szCs w:val="21"/>
                    </w:rPr>
                  </w:pPr>
                  <w:r>
                    <w:rPr>
                      <w:rStyle w:val="30"/>
                      <w:b/>
                      <w:bCs/>
                      <w:szCs w:val="21"/>
                    </w:rPr>
                    <w:t>防渗区域</w:t>
                  </w:r>
                </w:p>
              </w:tc>
              <w:tc>
                <w:tcPr>
                  <w:tcW w:w="837" w:type="dxa"/>
                  <w:vAlign w:val="center"/>
                </w:tcPr>
                <w:p w14:paraId="73FAFEBC">
                  <w:pPr>
                    <w:jc w:val="center"/>
                    <w:rPr>
                      <w:rStyle w:val="30"/>
                      <w:b/>
                      <w:bCs/>
                      <w:szCs w:val="21"/>
                    </w:rPr>
                  </w:pPr>
                  <w:r>
                    <w:rPr>
                      <w:rStyle w:val="30"/>
                      <w:b/>
                      <w:bCs/>
                      <w:szCs w:val="21"/>
                    </w:rPr>
                    <w:t>防渗类别</w:t>
                  </w:r>
                </w:p>
              </w:tc>
              <w:tc>
                <w:tcPr>
                  <w:tcW w:w="5665" w:type="dxa"/>
                  <w:vAlign w:val="center"/>
                </w:tcPr>
                <w:p w14:paraId="1D3EFC4E">
                  <w:pPr>
                    <w:jc w:val="center"/>
                    <w:rPr>
                      <w:rStyle w:val="30"/>
                      <w:b/>
                      <w:bCs/>
                      <w:szCs w:val="21"/>
                    </w:rPr>
                  </w:pPr>
                  <w:r>
                    <w:rPr>
                      <w:rStyle w:val="30"/>
                      <w:b/>
                      <w:bCs/>
                      <w:szCs w:val="21"/>
                    </w:rPr>
                    <w:t>防渗要求</w:t>
                  </w:r>
                </w:p>
              </w:tc>
            </w:tr>
            <w:tr w14:paraId="3AB3E3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043" w:type="dxa"/>
                  <w:vAlign w:val="center"/>
                </w:tcPr>
                <w:p w14:paraId="1335C16F">
                  <w:pPr>
                    <w:jc w:val="center"/>
                    <w:rPr>
                      <w:rStyle w:val="30"/>
                      <w:szCs w:val="21"/>
                    </w:rPr>
                  </w:pPr>
                  <w:r>
                    <w:rPr>
                      <w:szCs w:val="21"/>
                    </w:rPr>
                    <w:t>危险废物仓库、涉及液态原料生产</w:t>
                  </w:r>
                  <w:r>
                    <w:rPr>
                      <w:rStyle w:val="30"/>
                      <w:szCs w:val="21"/>
                    </w:rPr>
                    <w:t>装置</w:t>
                  </w:r>
                  <w:r>
                    <w:rPr>
                      <w:szCs w:val="21"/>
                    </w:rPr>
                    <w:t>区域、原料仓库、化学品仓库等</w:t>
                  </w:r>
                </w:p>
              </w:tc>
              <w:tc>
                <w:tcPr>
                  <w:tcW w:w="837" w:type="dxa"/>
                  <w:vMerge w:val="restart"/>
                  <w:vAlign w:val="center"/>
                </w:tcPr>
                <w:p w14:paraId="789BFA40">
                  <w:pPr>
                    <w:jc w:val="center"/>
                    <w:rPr>
                      <w:rStyle w:val="30"/>
                      <w:szCs w:val="21"/>
                    </w:rPr>
                  </w:pPr>
                  <w:bookmarkStart w:id="150" w:name="OLE_LINK131"/>
                  <w:bookmarkStart w:id="151" w:name="OLE_LINK132"/>
                  <w:r>
                    <w:rPr>
                      <w:rStyle w:val="30"/>
                      <w:szCs w:val="21"/>
                    </w:rPr>
                    <w:t>重点防渗</w:t>
                  </w:r>
                  <w:bookmarkEnd w:id="150"/>
                  <w:bookmarkEnd w:id="151"/>
                </w:p>
              </w:tc>
              <w:tc>
                <w:tcPr>
                  <w:tcW w:w="5665" w:type="dxa"/>
                  <w:vAlign w:val="center"/>
                </w:tcPr>
                <w:p w14:paraId="7B6A34EF">
                  <w:pPr>
                    <w:jc w:val="center"/>
                    <w:rPr>
                      <w:rStyle w:val="30"/>
                      <w:szCs w:val="21"/>
                    </w:rPr>
                  </w:pPr>
                  <w:r>
                    <w:rPr>
                      <w:rStyle w:val="30"/>
                      <w:szCs w:val="21"/>
                    </w:rPr>
                    <w:t>地面应铺设抗渗混凝土及耐腐蚀硬化材料，防渗层为2mm厚高密度聚乙烯，或至少2mm厚的其它耐腐蚀材料，渗透系数≤10</w:t>
                  </w:r>
                  <w:r>
                    <w:rPr>
                      <w:rStyle w:val="30"/>
                      <w:szCs w:val="21"/>
                      <w:vertAlign w:val="superscript"/>
                    </w:rPr>
                    <w:t>-10</w:t>
                  </w:r>
                  <w:r>
                    <w:rPr>
                      <w:rStyle w:val="30"/>
                      <w:szCs w:val="21"/>
                    </w:rPr>
                    <w:t>cm/s，且地面无裂缝；衬里要能够覆盖废物或其溶出物可能涉及到的范围；衬里材料与堆放的废物相容。</w:t>
                  </w:r>
                </w:p>
              </w:tc>
            </w:tr>
            <w:tr w14:paraId="3F6FAD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043" w:type="dxa"/>
                  <w:vAlign w:val="center"/>
                </w:tcPr>
                <w:p w14:paraId="368C32BE">
                  <w:pPr>
                    <w:jc w:val="center"/>
                    <w:rPr>
                      <w:szCs w:val="21"/>
                    </w:rPr>
                  </w:pPr>
                  <w:bookmarkStart w:id="152" w:name="OLE_LINK133"/>
                  <w:bookmarkStart w:id="153" w:name="OLE_LINK134"/>
                  <w:r>
                    <w:rPr>
                      <w:szCs w:val="21"/>
                    </w:rPr>
                    <w:t>事故应急池、污水处理站</w:t>
                  </w:r>
                  <w:bookmarkEnd w:id="152"/>
                  <w:bookmarkEnd w:id="153"/>
                </w:p>
              </w:tc>
              <w:tc>
                <w:tcPr>
                  <w:tcW w:w="837" w:type="dxa"/>
                  <w:vMerge w:val="continue"/>
                  <w:vAlign w:val="center"/>
                </w:tcPr>
                <w:p w14:paraId="54770B90">
                  <w:pPr>
                    <w:jc w:val="center"/>
                    <w:rPr>
                      <w:rStyle w:val="30"/>
                      <w:szCs w:val="21"/>
                    </w:rPr>
                  </w:pPr>
                </w:p>
              </w:tc>
              <w:tc>
                <w:tcPr>
                  <w:tcW w:w="5665" w:type="dxa"/>
                  <w:vAlign w:val="center"/>
                </w:tcPr>
                <w:p w14:paraId="4DE9AF45">
                  <w:pPr>
                    <w:jc w:val="center"/>
                    <w:rPr>
                      <w:rStyle w:val="30"/>
                      <w:szCs w:val="21"/>
                    </w:rPr>
                  </w:pPr>
                  <w:r>
                    <w:rPr>
                      <w:szCs w:val="21"/>
                    </w:rPr>
                    <w:t>等效黏土防渗层Mb≥6.0m，渗透系数k≤1.0×10</w:t>
                  </w:r>
                  <w:r>
                    <w:rPr>
                      <w:szCs w:val="21"/>
                      <w:vertAlign w:val="superscript"/>
                    </w:rPr>
                    <w:t>-7</w:t>
                  </w:r>
                  <w:r>
                    <w:rPr>
                      <w:szCs w:val="21"/>
                    </w:rPr>
                    <w:t>cm/s，或参照GB18598执行。</w:t>
                  </w:r>
                  <w:r>
                    <w:t>采用钢混结构，并进行防腐防渗处理。防水涂料、防水砂浆等的性能指标及施工应满足《地下工程防水技术规范》等要求</w:t>
                  </w:r>
                </w:p>
              </w:tc>
            </w:tr>
            <w:tr w14:paraId="199830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043" w:type="dxa"/>
                  <w:vAlign w:val="center"/>
                </w:tcPr>
                <w:p w14:paraId="2128D398">
                  <w:pPr>
                    <w:jc w:val="center"/>
                    <w:rPr>
                      <w:rStyle w:val="30"/>
                      <w:szCs w:val="21"/>
                    </w:rPr>
                  </w:pPr>
                  <w:r>
                    <w:rPr>
                      <w:szCs w:val="21"/>
                    </w:rPr>
                    <w:t>生产车间内其余区域</w:t>
                  </w:r>
                </w:p>
              </w:tc>
              <w:tc>
                <w:tcPr>
                  <w:tcW w:w="837" w:type="dxa"/>
                  <w:vAlign w:val="center"/>
                </w:tcPr>
                <w:p w14:paraId="79AAED73">
                  <w:pPr>
                    <w:jc w:val="center"/>
                    <w:rPr>
                      <w:rStyle w:val="30"/>
                      <w:szCs w:val="21"/>
                    </w:rPr>
                  </w:pPr>
                  <w:r>
                    <w:rPr>
                      <w:rStyle w:val="30"/>
                      <w:szCs w:val="21"/>
                    </w:rPr>
                    <w:t>一般防渗</w:t>
                  </w:r>
                </w:p>
              </w:tc>
              <w:tc>
                <w:tcPr>
                  <w:tcW w:w="5665" w:type="dxa"/>
                  <w:vAlign w:val="center"/>
                </w:tcPr>
                <w:p w14:paraId="2E4D317E">
                  <w:pPr>
                    <w:adjustRightInd w:val="0"/>
                    <w:snapToGrid w:val="0"/>
                    <w:jc w:val="center"/>
                    <w:rPr>
                      <w:rStyle w:val="30"/>
                      <w:szCs w:val="21"/>
                    </w:rPr>
                  </w:pPr>
                  <w:r>
                    <w:rPr>
                      <w:szCs w:val="21"/>
                    </w:rPr>
                    <w:t>包括除重点防渗区外的其余部分地面，采用抗渗等级不低于P1级的抗渗混凝土（渗透系数约0.4×10</w:t>
                  </w:r>
                  <w:r>
                    <w:rPr>
                      <w:szCs w:val="21"/>
                      <w:vertAlign w:val="superscript"/>
                    </w:rPr>
                    <w:t>-7</w:t>
                  </w:r>
                  <w:r>
                    <w:rPr>
                      <w:szCs w:val="21"/>
                    </w:rPr>
                    <w:t>cm/s，厚度不低于20cm）硬化地面。</w:t>
                  </w:r>
                </w:p>
              </w:tc>
            </w:tr>
            <w:tr w14:paraId="5B71F6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043" w:type="dxa"/>
                  <w:vAlign w:val="center"/>
                </w:tcPr>
                <w:p w14:paraId="2360B8B3">
                  <w:pPr>
                    <w:jc w:val="center"/>
                    <w:rPr>
                      <w:rStyle w:val="30"/>
                      <w:szCs w:val="21"/>
                    </w:rPr>
                  </w:pPr>
                  <w:r>
                    <w:rPr>
                      <w:szCs w:val="21"/>
                    </w:rPr>
                    <w:t>办公区域、检验车间等</w:t>
                  </w:r>
                </w:p>
              </w:tc>
              <w:tc>
                <w:tcPr>
                  <w:tcW w:w="837" w:type="dxa"/>
                  <w:vAlign w:val="center"/>
                </w:tcPr>
                <w:p w14:paraId="2B6DBC91">
                  <w:pPr>
                    <w:jc w:val="center"/>
                    <w:rPr>
                      <w:rStyle w:val="30"/>
                      <w:szCs w:val="21"/>
                    </w:rPr>
                  </w:pPr>
                  <w:r>
                    <w:rPr>
                      <w:rStyle w:val="30"/>
                      <w:szCs w:val="21"/>
                    </w:rPr>
                    <w:t>简单防渗区</w:t>
                  </w:r>
                </w:p>
              </w:tc>
              <w:tc>
                <w:tcPr>
                  <w:tcW w:w="5665" w:type="dxa"/>
                  <w:vAlign w:val="center"/>
                </w:tcPr>
                <w:p w14:paraId="579E0494">
                  <w:pPr>
                    <w:adjustRightInd w:val="0"/>
                    <w:snapToGrid w:val="0"/>
                    <w:jc w:val="center"/>
                    <w:rPr>
                      <w:szCs w:val="21"/>
                    </w:rPr>
                  </w:pPr>
                  <w:r>
                    <w:rPr>
                      <w:szCs w:val="21"/>
                    </w:rPr>
                    <w:t>一般地面硬化。</w:t>
                  </w:r>
                </w:p>
              </w:tc>
            </w:tr>
          </w:tbl>
          <w:p w14:paraId="3C508C89">
            <w:pPr>
              <w:pStyle w:val="64"/>
              <w:adjustRightInd w:val="0"/>
              <w:snapToGrid w:val="0"/>
              <w:spacing w:beforeLines="50" w:line="360" w:lineRule="auto"/>
              <w:ind w:firstLine="422"/>
              <w:rPr>
                <w:rFonts w:eastAsia="宋体"/>
                <w:b/>
                <w:bCs/>
                <w:sz w:val="21"/>
                <w:szCs w:val="21"/>
              </w:rPr>
            </w:pPr>
            <w:r>
              <w:rPr>
                <w:rFonts w:eastAsia="宋体"/>
                <w:b/>
                <w:bCs/>
                <w:sz w:val="21"/>
                <w:szCs w:val="21"/>
              </w:rPr>
              <w:t>（3）预防措施</w:t>
            </w:r>
          </w:p>
          <w:p w14:paraId="36F6C971">
            <w:pPr>
              <w:spacing w:line="360" w:lineRule="auto"/>
              <w:ind w:firstLine="420" w:firstLineChars="200"/>
              <w:rPr>
                <w:szCs w:val="21"/>
              </w:rPr>
            </w:pPr>
            <w:r>
              <w:rPr>
                <w:szCs w:val="21"/>
              </w:rPr>
              <w:t>为防止土壤及地下水污染，企业应设置专人了解全厂生产是否出现异常情况，出现异常情况的装置、原因，定期对污染区的生产装置、法兰、阀门、管道等进行检查。</w:t>
            </w:r>
          </w:p>
          <w:p w14:paraId="43C2015E">
            <w:pPr>
              <w:adjustRightInd w:val="0"/>
              <w:snapToGrid w:val="0"/>
              <w:spacing w:line="360" w:lineRule="auto"/>
              <w:ind w:firstLine="420" w:firstLineChars="200"/>
            </w:pPr>
            <w:r>
              <w:rPr>
                <w:szCs w:val="21"/>
              </w:rPr>
              <w:t>将全厂区域划分为重点污染防治区、一般污染防治区和简单污染防治区，防渗设计应根据污染防治分区采取相应的防渗方案。通过加强管理，跟踪监测，项目对地下水及土壤基本不会造成影响。</w:t>
            </w:r>
          </w:p>
          <w:p w14:paraId="09999B16">
            <w:pPr>
              <w:pStyle w:val="11"/>
              <w:spacing w:line="360" w:lineRule="auto"/>
              <w:ind w:left="0" w:leftChars="0" w:right="0" w:rightChars="0" w:firstLine="0" w:firstLineChars="0"/>
              <w:jc w:val="left"/>
              <w:rPr>
                <w:b/>
                <w:bCs/>
                <w:color w:val="auto"/>
                <w:sz w:val="21"/>
                <w:szCs w:val="21"/>
              </w:rPr>
            </w:pPr>
            <w:r>
              <w:rPr>
                <w:b/>
                <w:bCs/>
                <w:color w:val="auto"/>
                <w:sz w:val="21"/>
                <w:szCs w:val="21"/>
              </w:rPr>
              <w:t>6、环境风险影响分析</w:t>
            </w:r>
          </w:p>
          <w:p w14:paraId="5A9037A3">
            <w:pPr>
              <w:pStyle w:val="11"/>
              <w:spacing w:line="360" w:lineRule="auto"/>
              <w:ind w:left="0" w:leftChars="0" w:right="0" w:rightChars="0" w:firstLine="422"/>
              <w:rPr>
                <w:b/>
                <w:bCs/>
                <w:color w:val="auto"/>
                <w:sz w:val="21"/>
                <w:szCs w:val="21"/>
              </w:rPr>
            </w:pPr>
            <w:r>
              <w:rPr>
                <w:b/>
                <w:bCs/>
                <w:color w:val="auto"/>
                <w:sz w:val="21"/>
                <w:szCs w:val="21"/>
              </w:rPr>
              <w:t>（1）风险源分析</w:t>
            </w:r>
          </w:p>
          <w:p w14:paraId="3151B2D1">
            <w:pPr>
              <w:spacing w:line="360" w:lineRule="auto"/>
              <w:ind w:firstLine="420" w:firstLineChars="200"/>
              <w:rPr>
                <w:szCs w:val="21"/>
              </w:rPr>
            </w:pPr>
            <w:r>
              <w:rPr>
                <w:szCs w:val="21"/>
              </w:rPr>
              <w:t>对照《建设项目环境风险评价技术导则》（HJ169-2018）附录B.1中表1“突发环境事件风险物质及临界量”和《危险化学品重大危险源辨识》（GB18218-2018），经过筛选、评估，项目扩建后全厂涉及风险物质为</w:t>
            </w:r>
            <w:r>
              <w:rPr>
                <w:rFonts w:hint="eastAsia"/>
                <w:szCs w:val="21"/>
              </w:rPr>
              <w:t>胶粘剂</w:t>
            </w:r>
            <w:r>
              <w:rPr>
                <w:szCs w:val="21"/>
              </w:rPr>
              <w:t>、油类物质（石蜡油、切削液等）、危险废物及生产废水（模具清洗废水、产品清洗废水、喷淋塔废水）。项目全厂风险物质与临界量比值见表4-32。</w:t>
            </w:r>
          </w:p>
          <w:p w14:paraId="66EFF3BA">
            <w:pPr>
              <w:adjustRightInd w:val="0"/>
              <w:snapToGrid w:val="0"/>
              <w:jc w:val="center"/>
              <w:rPr>
                <w:b/>
                <w:bCs/>
                <w:szCs w:val="21"/>
              </w:rPr>
            </w:pPr>
            <w:r>
              <w:rPr>
                <w:b/>
                <w:bCs/>
                <w:szCs w:val="21"/>
              </w:rPr>
              <w:t>表4-32  风险物质数量与临界量比值（Q）计算结果一览表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50"/>
              <w:gridCol w:w="2444"/>
              <w:gridCol w:w="2031"/>
              <w:gridCol w:w="1710"/>
              <w:gridCol w:w="1710"/>
            </w:tblGrid>
            <w:tr w14:paraId="6A413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0" w:type="dxa"/>
                  <w:vAlign w:val="center"/>
                </w:tcPr>
                <w:p w14:paraId="0AD8F0C0">
                  <w:pPr>
                    <w:adjustRightInd w:val="0"/>
                    <w:snapToGrid w:val="0"/>
                    <w:jc w:val="center"/>
                    <w:rPr>
                      <w:b/>
                      <w:bCs/>
                      <w:szCs w:val="21"/>
                    </w:rPr>
                  </w:pPr>
                  <w:r>
                    <w:rPr>
                      <w:b/>
                      <w:bCs/>
                      <w:szCs w:val="21"/>
                    </w:rPr>
                    <w:t>序号</w:t>
                  </w:r>
                </w:p>
              </w:tc>
              <w:tc>
                <w:tcPr>
                  <w:tcW w:w="2444" w:type="dxa"/>
                  <w:vAlign w:val="center"/>
                </w:tcPr>
                <w:p w14:paraId="7830AAF4">
                  <w:pPr>
                    <w:adjustRightInd w:val="0"/>
                    <w:snapToGrid w:val="0"/>
                    <w:jc w:val="center"/>
                    <w:rPr>
                      <w:b/>
                      <w:bCs/>
                      <w:szCs w:val="21"/>
                    </w:rPr>
                  </w:pPr>
                  <w:r>
                    <w:rPr>
                      <w:b/>
                      <w:bCs/>
                      <w:szCs w:val="21"/>
                    </w:rPr>
                    <w:t>物质名称</w:t>
                  </w:r>
                </w:p>
              </w:tc>
              <w:tc>
                <w:tcPr>
                  <w:tcW w:w="2031" w:type="dxa"/>
                  <w:vAlign w:val="center"/>
                </w:tcPr>
                <w:p w14:paraId="4E743557">
                  <w:pPr>
                    <w:adjustRightInd w:val="0"/>
                    <w:snapToGrid w:val="0"/>
                    <w:jc w:val="center"/>
                    <w:rPr>
                      <w:b/>
                      <w:bCs/>
                      <w:szCs w:val="21"/>
                    </w:rPr>
                  </w:pPr>
                  <w:r>
                    <w:rPr>
                      <w:b/>
                      <w:bCs/>
                      <w:szCs w:val="21"/>
                    </w:rPr>
                    <w:t>最大存在量q</w:t>
                  </w:r>
                  <w:r>
                    <w:rPr>
                      <w:b/>
                      <w:bCs/>
                      <w:szCs w:val="21"/>
                      <w:vertAlign w:val="subscript"/>
                    </w:rPr>
                    <w:t>n</w:t>
                  </w:r>
                  <w:r>
                    <w:rPr>
                      <w:b/>
                      <w:bCs/>
                      <w:szCs w:val="21"/>
                    </w:rPr>
                    <w:t>（t）</w:t>
                  </w:r>
                </w:p>
              </w:tc>
              <w:tc>
                <w:tcPr>
                  <w:tcW w:w="1710" w:type="dxa"/>
                  <w:vAlign w:val="center"/>
                </w:tcPr>
                <w:p w14:paraId="426B5F41">
                  <w:pPr>
                    <w:adjustRightInd w:val="0"/>
                    <w:snapToGrid w:val="0"/>
                    <w:jc w:val="center"/>
                    <w:rPr>
                      <w:b/>
                      <w:bCs/>
                      <w:szCs w:val="21"/>
                    </w:rPr>
                  </w:pPr>
                  <w:r>
                    <w:rPr>
                      <w:b/>
                      <w:bCs/>
                      <w:szCs w:val="21"/>
                    </w:rPr>
                    <w:t>临界量Qn（t）</w:t>
                  </w:r>
                </w:p>
              </w:tc>
              <w:tc>
                <w:tcPr>
                  <w:tcW w:w="1710" w:type="dxa"/>
                  <w:vAlign w:val="center"/>
                </w:tcPr>
                <w:p w14:paraId="32B2C2D2">
                  <w:pPr>
                    <w:adjustRightInd w:val="0"/>
                    <w:snapToGrid w:val="0"/>
                    <w:jc w:val="center"/>
                    <w:rPr>
                      <w:b/>
                      <w:bCs/>
                      <w:szCs w:val="21"/>
                    </w:rPr>
                  </w:pPr>
                  <w:r>
                    <w:rPr>
                      <w:b/>
                      <w:bCs/>
                      <w:szCs w:val="21"/>
                    </w:rPr>
                    <w:t>q</w:t>
                  </w:r>
                  <w:r>
                    <w:rPr>
                      <w:b/>
                      <w:bCs/>
                      <w:szCs w:val="21"/>
                      <w:vertAlign w:val="subscript"/>
                    </w:rPr>
                    <w:t>n</w:t>
                  </w:r>
                  <w:r>
                    <w:rPr>
                      <w:b/>
                      <w:bCs/>
                      <w:szCs w:val="21"/>
                    </w:rPr>
                    <w:t>/Qn</w:t>
                  </w:r>
                </w:p>
              </w:tc>
            </w:tr>
            <w:tr w14:paraId="6A9B4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0" w:type="dxa"/>
                  <w:vAlign w:val="center"/>
                </w:tcPr>
                <w:p w14:paraId="7FBB4057">
                  <w:pPr>
                    <w:adjustRightInd w:val="0"/>
                    <w:snapToGrid w:val="0"/>
                    <w:jc w:val="center"/>
                    <w:rPr>
                      <w:szCs w:val="21"/>
                    </w:rPr>
                  </w:pPr>
                  <w:r>
                    <w:rPr>
                      <w:szCs w:val="21"/>
                    </w:rPr>
                    <w:t>1</w:t>
                  </w:r>
                </w:p>
              </w:tc>
              <w:tc>
                <w:tcPr>
                  <w:tcW w:w="2444" w:type="dxa"/>
                  <w:vAlign w:val="center"/>
                </w:tcPr>
                <w:p w14:paraId="2ABD9942">
                  <w:pPr>
                    <w:adjustRightInd w:val="0"/>
                    <w:snapToGrid w:val="0"/>
                    <w:jc w:val="center"/>
                    <w:rPr>
                      <w:szCs w:val="21"/>
                    </w:rPr>
                  </w:pPr>
                  <w:bookmarkStart w:id="154" w:name="OLE_LINK112"/>
                  <w:bookmarkStart w:id="155" w:name="OLE_LINK113"/>
                  <w:r>
                    <w:rPr>
                      <w:szCs w:val="21"/>
                    </w:rPr>
                    <w:t>胶粘剂</w:t>
                  </w:r>
                  <w:bookmarkEnd w:id="154"/>
                  <w:bookmarkEnd w:id="155"/>
                </w:p>
              </w:tc>
              <w:tc>
                <w:tcPr>
                  <w:tcW w:w="2031" w:type="dxa"/>
                  <w:vAlign w:val="center"/>
                </w:tcPr>
                <w:p w14:paraId="01E0386B">
                  <w:pPr>
                    <w:widowControl/>
                    <w:jc w:val="center"/>
                    <w:textAlignment w:val="center"/>
                    <w:rPr>
                      <w:szCs w:val="21"/>
                    </w:rPr>
                  </w:pPr>
                  <w:r>
                    <w:rPr>
                      <w:rFonts w:hint="eastAsia"/>
                      <w:szCs w:val="21"/>
                    </w:rPr>
                    <w:t>0.2</w:t>
                  </w:r>
                </w:p>
              </w:tc>
              <w:tc>
                <w:tcPr>
                  <w:tcW w:w="1710" w:type="dxa"/>
                  <w:vAlign w:val="center"/>
                </w:tcPr>
                <w:p w14:paraId="01CC3240">
                  <w:pPr>
                    <w:adjustRightInd w:val="0"/>
                    <w:snapToGrid w:val="0"/>
                    <w:jc w:val="center"/>
                    <w:rPr>
                      <w:szCs w:val="21"/>
                    </w:rPr>
                  </w:pPr>
                  <w:r>
                    <w:rPr>
                      <w:rFonts w:hint="eastAsia"/>
                      <w:szCs w:val="21"/>
                    </w:rPr>
                    <w:t>50</w:t>
                  </w:r>
                </w:p>
              </w:tc>
              <w:tc>
                <w:tcPr>
                  <w:tcW w:w="1710" w:type="dxa"/>
                  <w:vAlign w:val="center"/>
                </w:tcPr>
                <w:p w14:paraId="60665B07">
                  <w:pPr>
                    <w:adjustRightInd w:val="0"/>
                    <w:snapToGrid w:val="0"/>
                    <w:jc w:val="center"/>
                    <w:rPr>
                      <w:szCs w:val="21"/>
                    </w:rPr>
                  </w:pPr>
                  <w:r>
                    <w:rPr>
                      <w:rFonts w:hint="eastAsia"/>
                      <w:szCs w:val="21"/>
                    </w:rPr>
                    <w:t>0.004</w:t>
                  </w:r>
                </w:p>
              </w:tc>
            </w:tr>
            <w:tr w14:paraId="56243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0" w:type="dxa"/>
                  <w:vAlign w:val="center"/>
                </w:tcPr>
                <w:p w14:paraId="0B3ED53F">
                  <w:pPr>
                    <w:adjustRightInd w:val="0"/>
                    <w:snapToGrid w:val="0"/>
                    <w:jc w:val="center"/>
                    <w:rPr>
                      <w:szCs w:val="21"/>
                    </w:rPr>
                  </w:pPr>
                  <w:r>
                    <w:rPr>
                      <w:rFonts w:hint="eastAsia"/>
                      <w:szCs w:val="21"/>
                    </w:rPr>
                    <w:t>2</w:t>
                  </w:r>
                </w:p>
              </w:tc>
              <w:tc>
                <w:tcPr>
                  <w:tcW w:w="2444" w:type="dxa"/>
                  <w:vAlign w:val="center"/>
                </w:tcPr>
                <w:p w14:paraId="6631C675">
                  <w:pPr>
                    <w:adjustRightInd w:val="0"/>
                    <w:snapToGrid w:val="0"/>
                    <w:jc w:val="center"/>
                    <w:rPr>
                      <w:szCs w:val="21"/>
                    </w:rPr>
                  </w:pPr>
                  <w:bookmarkStart w:id="156" w:name="OLE_LINK118"/>
                  <w:bookmarkStart w:id="157" w:name="OLE_LINK119"/>
                  <w:r>
                    <w:rPr>
                      <w:szCs w:val="21"/>
                    </w:rPr>
                    <w:t>油类物质</w:t>
                  </w:r>
                  <w:r>
                    <w:rPr>
                      <w:kern w:val="0"/>
                      <w:szCs w:val="21"/>
                    </w:rPr>
                    <w:t>（石蜡油、切削液等）</w:t>
                  </w:r>
                  <w:bookmarkEnd w:id="156"/>
                  <w:bookmarkEnd w:id="157"/>
                </w:p>
              </w:tc>
              <w:tc>
                <w:tcPr>
                  <w:tcW w:w="2031" w:type="dxa"/>
                  <w:vAlign w:val="center"/>
                </w:tcPr>
                <w:p w14:paraId="35D8E6F5">
                  <w:pPr>
                    <w:widowControl/>
                    <w:jc w:val="center"/>
                    <w:textAlignment w:val="center"/>
                    <w:rPr>
                      <w:szCs w:val="21"/>
                    </w:rPr>
                  </w:pPr>
                  <w:r>
                    <w:rPr>
                      <w:rFonts w:hint="eastAsia"/>
                      <w:szCs w:val="21"/>
                    </w:rPr>
                    <w:t>2.17</w:t>
                  </w:r>
                </w:p>
              </w:tc>
              <w:tc>
                <w:tcPr>
                  <w:tcW w:w="1710" w:type="dxa"/>
                  <w:vAlign w:val="center"/>
                </w:tcPr>
                <w:p w14:paraId="3A0F8C8B">
                  <w:pPr>
                    <w:adjustRightInd w:val="0"/>
                    <w:snapToGrid w:val="0"/>
                    <w:jc w:val="center"/>
                    <w:rPr>
                      <w:szCs w:val="21"/>
                    </w:rPr>
                  </w:pPr>
                  <w:r>
                    <w:rPr>
                      <w:szCs w:val="21"/>
                    </w:rPr>
                    <w:t>2500</w:t>
                  </w:r>
                </w:p>
              </w:tc>
              <w:tc>
                <w:tcPr>
                  <w:tcW w:w="1710" w:type="dxa"/>
                  <w:vAlign w:val="center"/>
                </w:tcPr>
                <w:p w14:paraId="1C2F0D2D">
                  <w:pPr>
                    <w:adjustRightInd w:val="0"/>
                    <w:snapToGrid w:val="0"/>
                    <w:jc w:val="center"/>
                    <w:rPr>
                      <w:szCs w:val="21"/>
                    </w:rPr>
                  </w:pPr>
                  <w:r>
                    <w:rPr>
                      <w:rFonts w:hint="eastAsia"/>
                      <w:szCs w:val="21"/>
                    </w:rPr>
                    <w:t xml:space="preserve">0.00087 </w:t>
                  </w:r>
                </w:p>
              </w:tc>
            </w:tr>
            <w:tr w14:paraId="7BC4C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0" w:type="dxa"/>
                  <w:vAlign w:val="center"/>
                </w:tcPr>
                <w:p w14:paraId="7F2D3129">
                  <w:pPr>
                    <w:adjustRightInd w:val="0"/>
                    <w:snapToGrid w:val="0"/>
                    <w:jc w:val="center"/>
                    <w:rPr>
                      <w:szCs w:val="21"/>
                    </w:rPr>
                  </w:pPr>
                  <w:r>
                    <w:rPr>
                      <w:rFonts w:hint="eastAsia"/>
                      <w:szCs w:val="21"/>
                    </w:rPr>
                    <w:t>3</w:t>
                  </w:r>
                </w:p>
              </w:tc>
              <w:tc>
                <w:tcPr>
                  <w:tcW w:w="2444" w:type="dxa"/>
                  <w:vAlign w:val="center"/>
                </w:tcPr>
                <w:p w14:paraId="378A982D">
                  <w:pPr>
                    <w:adjustRightInd w:val="0"/>
                    <w:snapToGrid w:val="0"/>
                    <w:jc w:val="center"/>
                    <w:rPr>
                      <w:szCs w:val="21"/>
                    </w:rPr>
                  </w:pPr>
                  <w:r>
                    <w:rPr>
                      <w:szCs w:val="21"/>
                    </w:rPr>
                    <w:t>危险废物</w:t>
                  </w:r>
                </w:p>
              </w:tc>
              <w:tc>
                <w:tcPr>
                  <w:tcW w:w="2031" w:type="dxa"/>
                  <w:vAlign w:val="center"/>
                </w:tcPr>
                <w:p w14:paraId="663C596A">
                  <w:pPr>
                    <w:widowControl/>
                    <w:jc w:val="center"/>
                    <w:textAlignment w:val="center"/>
                    <w:rPr>
                      <w:szCs w:val="21"/>
                    </w:rPr>
                  </w:pPr>
                  <w:r>
                    <w:rPr>
                      <w:rFonts w:hint="eastAsia"/>
                      <w:szCs w:val="21"/>
                    </w:rPr>
                    <w:t>12</w:t>
                  </w:r>
                </w:p>
              </w:tc>
              <w:tc>
                <w:tcPr>
                  <w:tcW w:w="1710" w:type="dxa"/>
                  <w:vAlign w:val="center"/>
                </w:tcPr>
                <w:p w14:paraId="4D069789">
                  <w:pPr>
                    <w:adjustRightInd w:val="0"/>
                    <w:snapToGrid w:val="0"/>
                    <w:jc w:val="center"/>
                    <w:rPr>
                      <w:szCs w:val="21"/>
                    </w:rPr>
                  </w:pPr>
                  <w:r>
                    <w:rPr>
                      <w:szCs w:val="21"/>
                    </w:rPr>
                    <w:t>50</w:t>
                  </w:r>
                </w:p>
              </w:tc>
              <w:tc>
                <w:tcPr>
                  <w:tcW w:w="1710" w:type="dxa"/>
                  <w:vAlign w:val="center"/>
                </w:tcPr>
                <w:p w14:paraId="7C1EB850">
                  <w:pPr>
                    <w:adjustRightInd w:val="0"/>
                    <w:snapToGrid w:val="0"/>
                    <w:jc w:val="center"/>
                    <w:rPr>
                      <w:szCs w:val="21"/>
                    </w:rPr>
                  </w:pPr>
                  <w:r>
                    <w:rPr>
                      <w:rFonts w:hint="eastAsia"/>
                      <w:szCs w:val="21"/>
                    </w:rPr>
                    <w:t>0.24</w:t>
                  </w:r>
                </w:p>
              </w:tc>
            </w:tr>
            <w:tr w14:paraId="5B2528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0" w:type="dxa"/>
                  <w:vAlign w:val="center"/>
                </w:tcPr>
                <w:p w14:paraId="0F74F2B8">
                  <w:pPr>
                    <w:adjustRightInd w:val="0"/>
                    <w:snapToGrid w:val="0"/>
                    <w:jc w:val="center"/>
                    <w:rPr>
                      <w:szCs w:val="21"/>
                    </w:rPr>
                  </w:pPr>
                  <w:r>
                    <w:rPr>
                      <w:rFonts w:hint="eastAsia"/>
                      <w:szCs w:val="21"/>
                    </w:rPr>
                    <w:t>4</w:t>
                  </w:r>
                </w:p>
              </w:tc>
              <w:tc>
                <w:tcPr>
                  <w:tcW w:w="2444" w:type="dxa"/>
                  <w:vAlign w:val="center"/>
                </w:tcPr>
                <w:p w14:paraId="5430DD24">
                  <w:pPr>
                    <w:adjustRightInd w:val="0"/>
                    <w:snapToGrid w:val="0"/>
                    <w:jc w:val="center"/>
                    <w:rPr>
                      <w:szCs w:val="21"/>
                    </w:rPr>
                  </w:pPr>
                  <w:r>
                    <w:rPr>
                      <w:szCs w:val="21"/>
                    </w:rPr>
                    <w:t>生产废水</w:t>
                  </w:r>
                </w:p>
              </w:tc>
              <w:tc>
                <w:tcPr>
                  <w:tcW w:w="2031" w:type="dxa"/>
                  <w:vAlign w:val="center"/>
                </w:tcPr>
                <w:p w14:paraId="48FA4A15">
                  <w:pPr>
                    <w:widowControl/>
                    <w:jc w:val="center"/>
                    <w:textAlignment w:val="center"/>
                    <w:rPr>
                      <w:szCs w:val="21"/>
                    </w:rPr>
                  </w:pPr>
                  <w:r>
                    <w:rPr>
                      <w:rFonts w:hint="eastAsia"/>
                      <w:szCs w:val="21"/>
                    </w:rPr>
                    <w:t>21.39</w:t>
                  </w:r>
                </w:p>
              </w:tc>
              <w:tc>
                <w:tcPr>
                  <w:tcW w:w="1710" w:type="dxa"/>
                  <w:vAlign w:val="center"/>
                </w:tcPr>
                <w:p w14:paraId="1FCF2E58">
                  <w:pPr>
                    <w:adjustRightInd w:val="0"/>
                    <w:snapToGrid w:val="0"/>
                    <w:jc w:val="center"/>
                    <w:rPr>
                      <w:szCs w:val="21"/>
                    </w:rPr>
                  </w:pPr>
                  <w:r>
                    <w:rPr>
                      <w:szCs w:val="21"/>
                    </w:rPr>
                    <w:t>50</w:t>
                  </w:r>
                </w:p>
              </w:tc>
              <w:tc>
                <w:tcPr>
                  <w:tcW w:w="1710" w:type="dxa"/>
                  <w:vAlign w:val="center"/>
                </w:tcPr>
                <w:p w14:paraId="2BB45BA4">
                  <w:pPr>
                    <w:adjustRightInd w:val="0"/>
                    <w:snapToGrid w:val="0"/>
                    <w:jc w:val="center"/>
                    <w:rPr>
                      <w:szCs w:val="21"/>
                    </w:rPr>
                  </w:pPr>
                  <w:r>
                    <w:rPr>
                      <w:rFonts w:hint="eastAsia"/>
                      <w:szCs w:val="21"/>
                    </w:rPr>
                    <w:t>0.4278</w:t>
                  </w:r>
                </w:p>
              </w:tc>
            </w:tr>
            <w:tr w14:paraId="687107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835" w:type="dxa"/>
                  <w:gridSpan w:val="4"/>
                  <w:vAlign w:val="center"/>
                </w:tcPr>
                <w:p w14:paraId="6B5D300D">
                  <w:pPr>
                    <w:adjustRightInd w:val="0"/>
                    <w:snapToGrid w:val="0"/>
                    <w:jc w:val="center"/>
                    <w:rPr>
                      <w:szCs w:val="21"/>
                    </w:rPr>
                  </w:pPr>
                  <w:r>
                    <w:rPr>
                      <w:szCs w:val="21"/>
                    </w:rPr>
                    <w:t>合计（∑/Q）</w:t>
                  </w:r>
                </w:p>
              </w:tc>
              <w:tc>
                <w:tcPr>
                  <w:tcW w:w="1710" w:type="dxa"/>
                  <w:vAlign w:val="center"/>
                </w:tcPr>
                <w:p w14:paraId="5E8D177F">
                  <w:pPr>
                    <w:widowControl/>
                    <w:jc w:val="center"/>
                    <w:textAlignment w:val="center"/>
                    <w:rPr>
                      <w:kern w:val="0"/>
                      <w:szCs w:val="21"/>
                    </w:rPr>
                  </w:pPr>
                  <w:r>
                    <w:rPr>
                      <w:rFonts w:hint="eastAsia"/>
                      <w:kern w:val="0"/>
                      <w:szCs w:val="21"/>
                    </w:rPr>
                    <w:t>0.67267</w:t>
                  </w:r>
                </w:p>
              </w:tc>
            </w:tr>
          </w:tbl>
          <w:p w14:paraId="11AC2539">
            <w:pPr>
              <w:pStyle w:val="11"/>
              <w:spacing w:beforeLines="50" w:line="360" w:lineRule="auto"/>
              <w:ind w:left="0" w:leftChars="0" w:right="0" w:rightChars="0" w:firstLine="482" w:firstLineChars="0"/>
              <w:jc w:val="left"/>
              <w:rPr>
                <w:color w:val="auto"/>
                <w:sz w:val="21"/>
                <w:szCs w:val="21"/>
              </w:rPr>
            </w:pPr>
            <w:r>
              <w:rPr>
                <w:color w:val="auto"/>
                <w:sz w:val="21"/>
                <w:szCs w:val="21"/>
              </w:rPr>
              <w:t>由上表计算可知，项目建成后全厂风险物质最大储存量均未超出临界量，重大危险源辨识指标&lt;1，未构成重大危险源；且Q值&lt;1，风险潜势为I，仅需进行简单分析。</w:t>
            </w:r>
          </w:p>
          <w:p w14:paraId="32B7045E">
            <w:pPr>
              <w:pStyle w:val="11"/>
              <w:spacing w:line="360" w:lineRule="auto"/>
              <w:ind w:left="0" w:leftChars="0" w:right="0" w:rightChars="0" w:firstLine="422"/>
              <w:rPr>
                <w:b/>
                <w:bCs/>
                <w:color w:val="auto"/>
                <w:sz w:val="21"/>
                <w:szCs w:val="21"/>
              </w:rPr>
            </w:pPr>
            <w:r>
              <w:rPr>
                <w:b/>
                <w:bCs/>
                <w:color w:val="auto"/>
                <w:sz w:val="21"/>
                <w:szCs w:val="21"/>
              </w:rPr>
              <w:t>（2）环境风险防范措施及应急要求</w:t>
            </w:r>
          </w:p>
          <w:p w14:paraId="4F740DDA">
            <w:pPr>
              <w:pStyle w:val="8"/>
              <w:widowControl/>
              <w:adjustRightInd w:val="0"/>
              <w:snapToGrid w:val="0"/>
              <w:spacing w:line="360" w:lineRule="auto"/>
              <w:ind w:firstLine="422" w:firstLineChars="200"/>
              <w:rPr>
                <w:b/>
                <w:bCs/>
                <w:szCs w:val="21"/>
              </w:rPr>
            </w:pPr>
            <w:r>
              <w:rPr>
                <w:b/>
                <w:bCs/>
                <w:szCs w:val="21"/>
              </w:rPr>
              <w:t>1）环境风险防范措施</w:t>
            </w:r>
          </w:p>
          <w:p w14:paraId="4B602F3D">
            <w:pPr>
              <w:adjustRightInd w:val="0"/>
              <w:snapToGrid w:val="0"/>
              <w:spacing w:line="360" w:lineRule="auto"/>
              <w:ind w:firstLine="420" w:firstLineChars="200"/>
              <w:rPr>
                <w:szCs w:val="21"/>
              </w:rPr>
            </w:pPr>
            <w:r>
              <w:rPr>
                <w:szCs w:val="21"/>
              </w:rPr>
              <w:t>①可燃物料火灾事故防范措施</w:t>
            </w:r>
          </w:p>
          <w:p w14:paraId="74F7FC4F">
            <w:pPr>
              <w:pStyle w:val="23"/>
              <w:adjustRightInd w:val="0"/>
              <w:snapToGrid w:val="0"/>
              <w:spacing w:line="360" w:lineRule="auto"/>
              <w:ind w:firstLineChars="200"/>
              <w:rPr>
                <w:rFonts w:ascii="Times New Roman"/>
                <w:szCs w:val="21"/>
              </w:rPr>
            </w:pPr>
            <w:r>
              <w:rPr>
                <w:rFonts w:ascii="Times New Roman"/>
                <w:szCs w:val="21"/>
              </w:rPr>
              <w:t>项目原料中</w:t>
            </w:r>
            <w:bookmarkStart w:id="158" w:name="OLE_LINK102"/>
            <w:bookmarkStart w:id="159" w:name="OLE_LINK101"/>
            <w:r>
              <w:rPr>
                <w:szCs w:val="21"/>
              </w:rPr>
              <w:t>氢化丁腈橡胶、</w:t>
            </w:r>
            <w:r>
              <w:rPr>
                <w:rFonts w:ascii="Times New Roman"/>
                <w:szCs w:val="21"/>
              </w:rPr>
              <w:t>丁腈橡胶、三元乙丙胶、</w:t>
            </w:r>
            <w:r>
              <w:rPr>
                <w:szCs w:val="21"/>
              </w:rPr>
              <w:t>丙烯酸酯橡胶、氟橡胶、硅橡胶</w:t>
            </w:r>
            <w:r>
              <w:rPr>
                <w:rFonts w:ascii="Times New Roman"/>
                <w:szCs w:val="21"/>
              </w:rPr>
              <w:t>、</w:t>
            </w:r>
            <w:r>
              <w:rPr>
                <w:szCs w:val="21"/>
              </w:rPr>
              <w:t>交联剂、硫化剂</w:t>
            </w:r>
            <w:r>
              <w:rPr>
                <w:rFonts w:ascii="Times New Roman"/>
                <w:szCs w:val="21"/>
              </w:rPr>
              <w:t>、</w:t>
            </w:r>
            <w:r>
              <w:rPr>
                <w:szCs w:val="21"/>
              </w:rPr>
              <w:t>防老剂、石蜡油</w:t>
            </w:r>
            <w:r>
              <w:rPr>
                <w:rFonts w:ascii="Times New Roman"/>
                <w:szCs w:val="21"/>
              </w:rPr>
              <w:t>、四氟棒、</w:t>
            </w:r>
            <w:r>
              <w:rPr>
                <w:szCs w:val="21"/>
              </w:rPr>
              <w:t>胶粘剂</w:t>
            </w:r>
            <w:r>
              <w:rPr>
                <w:rFonts w:ascii="Times New Roman"/>
                <w:szCs w:val="21"/>
              </w:rPr>
              <w:t>等各类橡胶、油类及有机溶剂物质均具可燃性</w:t>
            </w:r>
            <w:bookmarkEnd w:id="158"/>
            <w:bookmarkEnd w:id="159"/>
            <w:r>
              <w:rPr>
                <w:rFonts w:ascii="Times New Roman"/>
                <w:szCs w:val="21"/>
              </w:rPr>
              <w:t>，可燃性物料一旦接触火源易发生火灾事故，为减少事故发生概率建设单位应采取以下措施：</w:t>
            </w:r>
          </w:p>
          <w:p w14:paraId="3D42D40C">
            <w:pPr>
              <w:snapToGrid w:val="0"/>
              <w:spacing w:line="360" w:lineRule="auto"/>
              <w:ind w:firstLine="420" w:firstLineChars="200"/>
              <w:rPr>
                <w:szCs w:val="21"/>
              </w:rPr>
            </w:pPr>
            <w:r>
              <w:rPr>
                <w:bCs/>
                <w:szCs w:val="21"/>
              </w:rPr>
              <w:t>I）</w:t>
            </w:r>
            <w:r>
              <w:rPr>
                <w:szCs w:val="21"/>
              </w:rPr>
              <w:t>可燃性物质应储存于干燥、通风良好区域，避免直接接触阳光和热源，同时远离火源、静电和明火，避免火灾事故的发生；</w:t>
            </w:r>
          </w:p>
          <w:p w14:paraId="6CCF5C81">
            <w:pPr>
              <w:snapToGrid w:val="0"/>
              <w:spacing w:line="360" w:lineRule="auto"/>
              <w:ind w:firstLine="420" w:firstLineChars="200"/>
              <w:rPr>
                <w:szCs w:val="21"/>
              </w:rPr>
            </w:pPr>
            <w:r>
              <w:rPr>
                <w:szCs w:val="21"/>
              </w:rPr>
              <w:t>II）储存容器需要标明可燃性物质的名称、规格、数量和危险性等级，在储存、搬运和使用过程中应采取相关安全防范措施，严禁滚动、摩擦、拖拉等危及安全的操作；</w:t>
            </w:r>
          </w:p>
          <w:p w14:paraId="6124DB32">
            <w:pPr>
              <w:snapToGrid w:val="0"/>
              <w:spacing w:line="360" w:lineRule="auto"/>
              <w:ind w:firstLine="420" w:firstLineChars="200"/>
              <w:rPr>
                <w:szCs w:val="21"/>
              </w:rPr>
            </w:pPr>
            <w:r>
              <w:rPr>
                <w:szCs w:val="21"/>
              </w:rPr>
              <w:t>III）生产作业过程中加强火源管理，严禁烟火带入作业场所及储存仓库；严格按工艺规程进行操作，在易发生事故工序，应坚决禁止生产过程中吸烟、点明火等情况，对设备需进行维修焊接，应经安全部门确认、准许，并有记录；</w:t>
            </w:r>
          </w:p>
          <w:p w14:paraId="21D9C11B">
            <w:pPr>
              <w:snapToGrid w:val="0"/>
              <w:spacing w:line="360" w:lineRule="auto"/>
              <w:ind w:firstLine="420" w:firstLineChars="200"/>
              <w:rPr>
                <w:szCs w:val="21"/>
              </w:rPr>
            </w:pPr>
            <w:r>
              <w:rPr>
                <w:szCs w:val="21"/>
              </w:rPr>
              <w:t>IV）企业需建立健全安全操作规程及值勤制度，设置通讯、报警装置；根据易燃/可燃液体的性质，准备相应的消防器材，并使其始终保持良好的状态；定期组织消防演练，使职工熟练使用各种消防器材；</w:t>
            </w:r>
          </w:p>
          <w:p w14:paraId="799FEE8C">
            <w:pPr>
              <w:snapToGrid w:val="0"/>
              <w:spacing w:line="360" w:lineRule="auto"/>
              <w:ind w:firstLine="420" w:firstLineChars="200"/>
              <w:rPr>
                <w:szCs w:val="21"/>
              </w:rPr>
            </w:pPr>
            <w:r>
              <w:rPr>
                <w:szCs w:val="21"/>
              </w:rPr>
              <w:t>②废气处理装置事故防范措施</w:t>
            </w:r>
          </w:p>
          <w:p w14:paraId="51C47048">
            <w:pPr>
              <w:pStyle w:val="5"/>
              <w:adjustRightInd w:val="0"/>
              <w:snapToGrid w:val="0"/>
              <w:spacing w:line="360" w:lineRule="auto"/>
              <w:ind w:firstLine="420"/>
              <w:rPr>
                <w:bCs/>
                <w:szCs w:val="21"/>
              </w:rPr>
            </w:pPr>
            <w:r>
              <w:rPr>
                <w:bCs/>
                <w:szCs w:val="21"/>
              </w:rPr>
              <w:t>项目厂区内已建设多套废气处理装置，为减少废气非正常排放事故的发生和影响建设单位应采取以下措施：</w:t>
            </w:r>
          </w:p>
          <w:p w14:paraId="69BE96DC">
            <w:pPr>
              <w:pStyle w:val="5"/>
              <w:adjustRightInd w:val="0"/>
              <w:snapToGrid w:val="0"/>
              <w:spacing w:line="360" w:lineRule="auto"/>
              <w:ind w:firstLine="420"/>
              <w:rPr>
                <w:bCs/>
                <w:szCs w:val="21"/>
              </w:rPr>
            </w:pPr>
            <w:r>
              <w:rPr>
                <w:bCs/>
                <w:szCs w:val="21"/>
              </w:rPr>
              <w:t>I）建立严格的操作规程，实行目标责任制，保证各环境保护设施的正常运行；</w:t>
            </w:r>
          </w:p>
          <w:p w14:paraId="54336A26">
            <w:pPr>
              <w:pStyle w:val="5"/>
              <w:adjustRightInd w:val="0"/>
              <w:snapToGrid w:val="0"/>
              <w:spacing w:line="360" w:lineRule="auto"/>
              <w:ind w:firstLine="420"/>
              <w:rPr>
                <w:bCs/>
                <w:szCs w:val="21"/>
              </w:rPr>
            </w:pPr>
            <w:r>
              <w:rPr>
                <w:bCs/>
                <w:szCs w:val="21"/>
              </w:rPr>
              <w:t>II）对废气处理系统进行定期的监测和检修，如发生腐蚀、设备运行不稳定的情况，需对设备进行更换和修理，确保废气处理装置的正常运行；</w:t>
            </w:r>
          </w:p>
          <w:p w14:paraId="4A6D201A">
            <w:pPr>
              <w:pStyle w:val="5"/>
              <w:adjustRightInd w:val="0"/>
              <w:snapToGrid w:val="0"/>
              <w:spacing w:line="360" w:lineRule="auto"/>
              <w:ind w:firstLine="420"/>
              <w:rPr>
                <w:bCs/>
                <w:szCs w:val="21"/>
              </w:rPr>
            </w:pPr>
            <w:r>
              <w:rPr>
                <w:bCs/>
                <w:szCs w:val="21"/>
              </w:rPr>
              <w:t>III）应定期对二级活性炭进行更换，并设置备用的二级活性炭吸附装置；</w:t>
            </w:r>
            <w:r>
              <w:rPr>
                <w:szCs w:val="21"/>
              </w:rPr>
              <w:t>定期检查喷淋塔排气口的气体净化程度，当超过标准时底池吸收液及时更换</w:t>
            </w:r>
            <w:r>
              <w:rPr>
                <w:bCs/>
                <w:szCs w:val="21"/>
              </w:rPr>
              <w:t>，以确保废气的有效处理；</w:t>
            </w:r>
          </w:p>
          <w:p w14:paraId="0E60CD8F">
            <w:pPr>
              <w:pStyle w:val="5"/>
              <w:adjustRightInd w:val="0"/>
              <w:snapToGrid w:val="0"/>
              <w:spacing w:line="360" w:lineRule="auto"/>
              <w:ind w:firstLine="420"/>
              <w:rPr>
                <w:bCs/>
                <w:szCs w:val="21"/>
              </w:rPr>
            </w:pPr>
            <w:r>
              <w:rPr>
                <w:bCs/>
                <w:szCs w:val="21"/>
              </w:rPr>
              <w:t>IV）定期检查各废气处理装置气路系统、排灰系统工作情况，发生异常应及时排除；废气处理装置一旦出现故障，应立即停止相应产废工段生产，避免废气未经处理进入大气环境；</w:t>
            </w:r>
          </w:p>
          <w:p w14:paraId="53007641">
            <w:pPr>
              <w:pStyle w:val="5"/>
              <w:adjustRightInd w:val="0"/>
              <w:snapToGrid w:val="0"/>
              <w:spacing w:line="360" w:lineRule="auto"/>
              <w:ind w:firstLine="420"/>
              <w:rPr>
                <w:bCs/>
                <w:szCs w:val="21"/>
              </w:rPr>
            </w:pPr>
            <w:r>
              <w:rPr>
                <w:bCs/>
                <w:szCs w:val="21"/>
              </w:rPr>
              <w:t>V）二级活性炭吸附装置产生的废活性炭应妥善保存，避免过滤介质、二级活性炭接触明火和高温设备而引发的火灾及其次伴生环境风险事故；</w:t>
            </w:r>
          </w:p>
          <w:p w14:paraId="283D5DFB">
            <w:pPr>
              <w:snapToGrid w:val="0"/>
              <w:spacing w:line="360" w:lineRule="auto"/>
              <w:ind w:firstLine="420" w:firstLineChars="200"/>
              <w:rPr>
                <w:bCs/>
                <w:szCs w:val="21"/>
              </w:rPr>
            </w:pPr>
            <w:r>
              <w:rPr>
                <w:szCs w:val="21"/>
              </w:rPr>
              <w:fldChar w:fldCharType="begin"/>
            </w:r>
            <w:r>
              <w:rPr>
                <w:szCs w:val="21"/>
              </w:rPr>
              <w:instrText xml:space="preserve"> = 6 \* ROMAN \* MERGEFORMAT </w:instrText>
            </w:r>
            <w:r>
              <w:rPr>
                <w:szCs w:val="21"/>
              </w:rPr>
              <w:fldChar w:fldCharType="separate"/>
            </w:r>
            <w:r>
              <w:rPr>
                <w:szCs w:val="21"/>
              </w:rPr>
              <w:t>VI</w:t>
            </w:r>
            <w:r>
              <w:rPr>
                <w:szCs w:val="21"/>
              </w:rPr>
              <w:fldChar w:fldCharType="end"/>
            </w:r>
            <w:r>
              <w:rPr>
                <w:szCs w:val="21"/>
              </w:rPr>
              <w:t>）</w:t>
            </w:r>
            <w:r>
              <w:rPr>
                <w:bCs/>
                <w:szCs w:val="21"/>
              </w:rPr>
              <w:t>每年定期组织一次污染治理设施意外事故的应急措施落实情况和应急设备（备用设备）完好情况的检查。</w:t>
            </w:r>
          </w:p>
          <w:p w14:paraId="6A64ECB5">
            <w:pPr>
              <w:snapToGrid w:val="0"/>
              <w:spacing w:line="360" w:lineRule="auto"/>
              <w:ind w:firstLine="420" w:firstLineChars="200"/>
              <w:rPr>
                <w:bCs/>
                <w:szCs w:val="21"/>
              </w:rPr>
            </w:pPr>
            <w:r>
              <w:rPr>
                <w:bCs/>
                <w:szCs w:val="21"/>
              </w:rPr>
              <w:t>③物料</w:t>
            </w:r>
            <w:r>
              <w:rPr>
                <w:szCs w:val="21"/>
              </w:rPr>
              <w:t>泄漏</w:t>
            </w:r>
            <w:r>
              <w:rPr>
                <w:bCs/>
                <w:szCs w:val="21"/>
              </w:rPr>
              <w:t>故防范措施</w:t>
            </w:r>
          </w:p>
          <w:p w14:paraId="1C448905">
            <w:pPr>
              <w:pStyle w:val="8"/>
              <w:widowControl/>
              <w:adjustRightInd w:val="0"/>
              <w:snapToGrid w:val="0"/>
              <w:spacing w:line="360" w:lineRule="auto"/>
              <w:ind w:firstLine="420" w:firstLineChars="200"/>
              <w:rPr>
                <w:b/>
                <w:bCs/>
                <w:szCs w:val="21"/>
              </w:rPr>
            </w:pPr>
            <w:r>
              <w:rPr>
                <w:szCs w:val="21"/>
              </w:rPr>
              <w:t>I）生产车间内生产装置区域、危险废物仓库、原料仓库、化学品仓库等区域地面均采用抗渗混凝土浇制地面底板，防止物料泄漏污染；</w:t>
            </w:r>
          </w:p>
          <w:p w14:paraId="0D72E648">
            <w:pPr>
              <w:pStyle w:val="8"/>
              <w:widowControl/>
              <w:adjustRightInd w:val="0"/>
              <w:snapToGrid w:val="0"/>
              <w:spacing w:line="360" w:lineRule="auto"/>
              <w:ind w:firstLine="420" w:firstLineChars="200"/>
              <w:rPr>
                <w:szCs w:val="21"/>
              </w:rPr>
            </w:pPr>
            <w:r>
              <w:rPr>
                <w:szCs w:val="21"/>
              </w:rPr>
              <w:t>II）定期检查液态物料包装桶有无破损，需对破损包装桶及时更换，确保物料不发生泄漏；</w:t>
            </w:r>
          </w:p>
          <w:p w14:paraId="49682F5A">
            <w:pPr>
              <w:pStyle w:val="8"/>
              <w:widowControl/>
              <w:adjustRightInd w:val="0"/>
              <w:snapToGrid w:val="0"/>
              <w:spacing w:line="360" w:lineRule="auto"/>
              <w:ind w:firstLine="420" w:firstLineChars="200"/>
              <w:rPr>
                <w:szCs w:val="21"/>
              </w:rPr>
            </w:pPr>
            <w:r>
              <w:rPr>
                <w:szCs w:val="21"/>
              </w:rPr>
              <w:t>III）对于少量的液体泄漏，及时用沙土或其它不燃吸附剂吸附，收集后进行处理；</w:t>
            </w:r>
          </w:p>
          <w:p w14:paraId="64D80CD9">
            <w:pPr>
              <w:pStyle w:val="8"/>
              <w:widowControl/>
              <w:adjustRightInd w:val="0"/>
              <w:snapToGrid w:val="0"/>
              <w:spacing w:line="360" w:lineRule="auto"/>
              <w:ind w:firstLine="420" w:firstLineChars="200"/>
              <w:rPr>
                <w:b/>
                <w:bCs/>
                <w:szCs w:val="21"/>
              </w:rPr>
            </w:pPr>
            <w:r>
              <w:rPr>
                <w:szCs w:val="21"/>
              </w:rPr>
              <w:t>IV）大量液体泄漏后四处蔓延扩散，难以收集处理时，可以采用筑堤堵截或者引流到安全地点。为降低泄漏物向大气的蒸发，可用泡沫或其他覆盖物进行覆盖，在其表面形成覆盖后，抑制其蒸发，然后进行转移处理。</w:t>
            </w:r>
          </w:p>
          <w:p w14:paraId="11F54709">
            <w:pPr>
              <w:pStyle w:val="8"/>
              <w:widowControl/>
              <w:adjustRightInd w:val="0"/>
              <w:snapToGrid w:val="0"/>
              <w:spacing w:line="360" w:lineRule="auto"/>
              <w:ind w:firstLine="420" w:firstLineChars="200"/>
              <w:rPr>
                <w:szCs w:val="21"/>
              </w:rPr>
            </w:pPr>
            <w:r>
              <w:rPr>
                <w:szCs w:val="21"/>
              </w:rPr>
              <w:t>④危险废物仓库风险防范措施</w:t>
            </w:r>
          </w:p>
          <w:p w14:paraId="668AF310">
            <w:pPr>
              <w:pStyle w:val="8"/>
              <w:widowControl/>
              <w:adjustRightInd w:val="0"/>
              <w:snapToGrid w:val="0"/>
              <w:spacing w:line="360" w:lineRule="auto"/>
              <w:ind w:firstLine="420" w:firstLineChars="200"/>
              <w:rPr>
                <w:b/>
                <w:bCs/>
                <w:szCs w:val="21"/>
              </w:rPr>
            </w:pPr>
            <w:r>
              <w:rPr>
                <w:szCs w:val="21"/>
              </w:rPr>
              <w:t>项目全厂危险废物仓库中含液体危险废物及可燃性危险废物，存在泄漏及火灾等环境风险，为避免环境风险事故发生应加强危险废物在储存、运送、处理或处置过程中安全监控；按照危险废物特性分区贮存危险废物，性质不相容而未经安全性处置的危险废物禁止混合贮存；危险废物的包装容器、包装物以及危险废物仓库均应当按照规定设置危险废物识别标志；危险废物仓库管理人员均须作好危险废物台账，台账须注明危险废物的名称、来源、数量、特性和包装容器的类别、入库日期、存放库位、废物出库日期及接收单位名称；仓库内需做好防渗，液体废物应设置防渗漏托盘。</w:t>
            </w:r>
          </w:p>
          <w:p w14:paraId="28BFFD96">
            <w:pPr>
              <w:pStyle w:val="8"/>
              <w:widowControl/>
              <w:adjustRightInd w:val="0"/>
              <w:snapToGrid w:val="0"/>
              <w:spacing w:line="360" w:lineRule="auto"/>
              <w:ind w:firstLine="422" w:firstLineChars="200"/>
              <w:rPr>
                <w:b/>
                <w:bCs/>
                <w:szCs w:val="21"/>
              </w:rPr>
            </w:pPr>
            <w:r>
              <w:rPr>
                <w:b/>
                <w:bCs/>
                <w:szCs w:val="21"/>
              </w:rPr>
              <w:t>2）环境风险应急措施</w:t>
            </w:r>
          </w:p>
          <w:p w14:paraId="3661D2F7">
            <w:pPr>
              <w:pStyle w:val="8"/>
              <w:widowControl/>
              <w:adjustRightInd w:val="0"/>
              <w:snapToGrid w:val="0"/>
              <w:spacing w:line="360" w:lineRule="auto"/>
              <w:ind w:firstLine="420" w:firstLineChars="200"/>
              <w:rPr>
                <w:szCs w:val="21"/>
              </w:rPr>
            </w:pPr>
            <w:r>
              <w:rPr>
                <w:szCs w:val="21"/>
              </w:rPr>
              <w:t>①火灾和爆炸事故应急措施</w:t>
            </w:r>
          </w:p>
          <w:p w14:paraId="5CC0B316">
            <w:pPr>
              <w:pStyle w:val="8"/>
              <w:widowControl/>
              <w:adjustRightInd w:val="0"/>
              <w:snapToGrid w:val="0"/>
              <w:spacing w:line="360" w:lineRule="auto"/>
              <w:ind w:firstLine="420" w:firstLineChars="200"/>
              <w:rPr>
                <w:szCs w:val="21"/>
              </w:rPr>
            </w:pPr>
            <w:r>
              <w:rPr>
                <w:szCs w:val="21"/>
              </w:rPr>
              <w:t>现场人员一旦发现火灾爆炸事故，应立即逐级报告，汇报时应明确发生的时间、地点、简要经过、人员伤亡情况等，并运用各种应急设施和器具急救，防止事故扩大。配电室或电器设备着火，应立即切断电源，采用二氧化碳或干粉灭火器进行灭火。如火势较大影响自身安全时，应迅速组织人员疏散，发现火情人迅速向应急救援总指挥报告，请求支援。发生粉尘爆炸时，首先组织人员撤离到安全地带，消防人员必须佩戴防毒面具、穿全身消防服，在确保消防人员安全的前提下用雾状水喷射，降低粉尘浓度。全警戒通讯组在引导人员紧急疏散时，要用湿毛巾或用其他棉织物捂住嘴、鼻逃离，要求人员低首俯身，贴近地面，以避开处于空气上方的毒烟，疏散到空旷的安全地带。</w:t>
            </w:r>
          </w:p>
          <w:p w14:paraId="301680B8">
            <w:pPr>
              <w:pStyle w:val="8"/>
              <w:widowControl/>
              <w:adjustRightInd w:val="0"/>
              <w:snapToGrid w:val="0"/>
              <w:spacing w:line="360" w:lineRule="auto"/>
              <w:ind w:firstLine="420" w:firstLineChars="200"/>
              <w:rPr>
                <w:szCs w:val="21"/>
              </w:rPr>
            </w:pPr>
            <w:r>
              <w:rPr>
                <w:szCs w:val="21"/>
              </w:rPr>
              <w:t>②废气处理装置事故应急措施</w:t>
            </w:r>
          </w:p>
          <w:p w14:paraId="75081128">
            <w:pPr>
              <w:pStyle w:val="8"/>
              <w:widowControl/>
              <w:adjustRightInd w:val="0"/>
              <w:snapToGrid w:val="0"/>
              <w:spacing w:line="360" w:lineRule="auto"/>
              <w:ind w:firstLine="420" w:firstLineChars="200"/>
              <w:rPr>
                <w:szCs w:val="21"/>
              </w:rPr>
            </w:pPr>
            <w:r>
              <w:rPr>
                <w:szCs w:val="21"/>
              </w:rPr>
              <w:t>现场操作人员发现废气处理装置发生故障后，应立即停止相应产废工段生产，相关人员对废气处理装置进行故障排除，待故障解决、装置运行正常后再进行生产。</w:t>
            </w:r>
          </w:p>
          <w:p w14:paraId="0153EEB8">
            <w:pPr>
              <w:pStyle w:val="8"/>
              <w:widowControl/>
              <w:adjustRightInd w:val="0"/>
              <w:snapToGrid w:val="0"/>
              <w:spacing w:line="360" w:lineRule="auto"/>
              <w:ind w:firstLine="420" w:firstLineChars="200"/>
              <w:rPr>
                <w:szCs w:val="21"/>
              </w:rPr>
            </w:pPr>
            <w:r>
              <w:rPr>
                <w:szCs w:val="21"/>
              </w:rPr>
              <w:t>③物料泄漏事故应急措施</w:t>
            </w:r>
          </w:p>
          <w:p w14:paraId="47410C69">
            <w:pPr>
              <w:pStyle w:val="8"/>
              <w:widowControl/>
              <w:adjustRightInd w:val="0"/>
              <w:snapToGrid w:val="0"/>
              <w:spacing w:line="360" w:lineRule="auto"/>
              <w:ind w:firstLine="420" w:firstLineChars="200"/>
              <w:rPr>
                <w:szCs w:val="21"/>
              </w:rPr>
            </w:pPr>
            <w:r>
              <w:rPr>
                <w:szCs w:val="21"/>
              </w:rPr>
              <w:t>在物料泄漏区域关闭阀门、停止作业或改变工艺流程、物料走副线、局部停车、打循环、减负荷运行等，并采用合适的材料和技术手段堵住泄漏处。</w:t>
            </w:r>
          </w:p>
          <w:p w14:paraId="74FBDF73">
            <w:pPr>
              <w:pStyle w:val="8"/>
              <w:widowControl/>
              <w:adjustRightInd w:val="0"/>
              <w:snapToGrid w:val="0"/>
              <w:spacing w:line="360" w:lineRule="auto"/>
              <w:ind w:firstLine="420" w:firstLineChars="200"/>
              <w:rPr>
                <w:szCs w:val="21"/>
              </w:rPr>
            </w:pPr>
            <w:r>
              <w:rPr>
                <w:szCs w:val="21"/>
              </w:rPr>
              <w:t>向有害物蒸汽云喷射雾状水，加速气体向高空扩散。对于可燃物，也可在现场施放大量水蒸气或氮气，破坏燃烧条件。对于液体泄漏，为降低物料向大气中的蒸发速度，可用泡沫或其他有盖物品覆盖外泄的物料，在其表面形成覆盖层，抑制其蒸发。对于大型泄漏，可选择用隔膜泵将泄漏出的物料抽入容器内或槽车内，当泄漏量较少时，可用沙子、吸附材料、中和材料等吸收中和。将收集的泄漏物运至废物处理场所处置。用消防水冲洗剩下的少量物料，冲洗水排入事故应急池。</w:t>
            </w:r>
          </w:p>
          <w:p w14:paraId="0F87981F">
            <w:pPr>
              <w:pStyle w:val="8"/>
              <w:widowControl/>
              <w:adjustRightInd w:val="0"/>
              <w:snapToGrid w:val="0"/>
              <w:spacing w:line="360" w:lineRule="auto"/>
              <w:ind w:firstLine="420" w:firstLineChars="200"/>
              <w:rPr>
                <w:szCs w:val="21"/>
              </w:rPr>
            </w:pPr>
            <w:r>
              <w:rPr>
                <w:szCs w:val="21"/>
              </w:rPr>
              <w:t>企业已在雨水排口处建设雨水阀门，厂区内已建设</w:t>
            </w:r>
            <w:r>
              <w:rPr>
                <w:rFonts w:hint="eastAsia"/>
                <w:szCs w:val="21"/>
              </w:rPr>
              <w:t>130</w:t>
            </w:r>
            <w:r>
              <w:rPr>
                <w:szCs w:val="21"/>
              </w:rPr>
              <w:t>m</w:t>
            </w:r>
            <w:r>
              <w:rPr>
                <w:szCs w:val="21"/>
                <w:vertAlign w:val="superscript"/>
              </w:rPr>
              <w:t>3</w:t>
            </w:r>
            <w:r>
              <w:rPr>
                <w:szCs w:val="21"/>
              </w:rPr>
              <w:t>事故应急池可用于收集事故状态下产生的废水，当发生物料泄漏或火灾事故产生消防废水后，将事故废水收集至事故应急池内暂存，防止泄漏物质或消防废水通过雨水管网排入外环境，事后将收集尾水委托处置。</w:t>
            </w:r>
          </w:p>
          <w:p w14:paraId="5B2C544F">
            <w:pPr>
              <w:pStyle w:val="8"/>
              <w:widowControl/>
              <w:adjustRightInd w:val="0"/>
              <w:snapToGrid w:val="0"/>
              <w:spacing w:line="360" w:lineRule="auto"/>
              <w:ind w:firstLine="420" w:firstLineChars="200"/>
              <w:rPr>
                <w:szCs w:val="21"/>
              </w:rPr>
            </w:pPr>
            <w:r>
              <w:rPr>
                <w:szCs w:val="21"/>
              </w:rPr>
              <w:t>④可燃风险物质应急措施</w:t>
            </w:r>
          </w:p>
          <w:p w14:paraId="0060518C">
            <w:pPr>
              <w:pStyle w:val="8"/>
              <w:widowControl/>
              <w:adjustRightInd w:val="0"/>
              <w:snapToGrid w:val="0"/>
              <w:spacing w:line="360" w:lineRule="auto"/>
              <w:ind w:firstLine="420" w:firstLineChars="200"/>
              <w:rPr>
                <w:szCs w:val="21"/>
              </w:rPr>
            </w:pPr>
            <w:r>
              <w:rPr>
                <w:szCs w:val="21"/>
              </w:rPr>
              <w:t>项目原料中</w:t>
            </w:r>
            <w:bookmarkStart w:id="160" w:name="OLE_LINK103"/>
            <w:bookmarkStart w:id="161" w:name="OLE_LINK104"/>
            <w:r>
              <w:rPr>
                <w:szCs w:val="21"/>
              </w:rPr>
              <w:t>氢化丁腈橡胶、丁腈橡胶、三元乙丙胶、丙烯酸酯橡胶、氟橡胶、硅橡胶、交联剂、硫化剂、防老剂、石蜡油、四氟棒、胶粘剂等各类橡胶、油类及有机溶剂物质均具可燃性</w:t>
            </w:r>
            <w:bookmarkEnd w:id="160"/>
            <w:bookmarkEnd w:id="161"/>
            <w:r>
              <w:rPr>
                <w:szCs w:val="21"/>
              </w:rPr>
              <w:t>，贮存场所应保持阴凉、通风、干燥，电气设备应切合防爆要求。在生产储存过程中发现着火时，在岗人员应立刻用消防器材灭火，并上报负责人员。事故发生初期，事故部门或现场人员应积极采取应急自救措施，防止事故扩大，警戒组成员迅速布置安全警戒，禁止无关人员或车辆进入危险区域；对易燃、易爆危险物质大量泄漏的救援，应使用防爆型器材和工具，应急救援人员不得穿带钉的鞋或化纤衣物，应穿戴防护服及安全防护面罩等。</w:t>
            </w:r>
          </w:p>
          <w:p w14:paraId="6D7D6CE7">
            <w:pPr>
              <w:pStyle w:val="8"/>
              <w:widowControl/>
              <w:adjustRightInd w:val="0"/>
              <w:snapToGrid w:val="0"/>
              <w:spacing w:line="360" w:lineRule="auto"/>
              <w:ind w:firstLine="422" w:firstLineChars="200"/>
              <w:rPr>
                <w:b/>
                <w:szCs w:val="21"/>
              </w:rPr>
            </w:pPr>
            <w:r>
              <w:rPr>
                <w:b/>
                <w:szCs w:val="21"/>
              </w:rPr>
              <w:t>3）突发环境事件情景源强分析</w:t>
            </w:r>
          </w:p>
          <w:p w14:paraId="0D77AD96">
            <w:pPr>
              <w:pStyle w:val="8"/>
              <w:widowControl/>
              <w:adjustRightInd w:val="0"/>
              <w:snapToGrid w:val="0"/>
              <w:spacing w:line="360" w:lineRule="auto"/>
              <w:ind w:firstLine="420" w:firstLineChars="200"/>
              <w:rPr>
                <w:bCs/>
                <w:szCs w:val="21"/>
              </w:rPr>
            </w:pPr>
            <w:r>
              <w:rPr>
                <w:bCs/>
                <w:szCs w:val="21"/>
              </w:rPr>
              <w:t>①物料泄漏事故源强</w:t>
            </w:r>
          </w:p>
          <w:p w14:paraId="701B0DA0">
            <w:pPr>
              <w:pStyle w:val="8"/>
              <w:widowControl/>
              <w:adjustRightInd w:val="0"/>
              <w:snapToGrid w:val="0"/>
              <w:spacing w:line="360" w:lineRule="auto"/>
              <w:ind w:firstLine="420" w:firstLineChars="200"/>
              <w:rPr>
                <w:bCs/>
                <w:szCs w:val="21"/>
              </w:rPr>
            </w:pPr>
            <w:r>
              <w:rPr>
                <w:bCs/>
                <w:szCs w:val="21"/>
              </w:rPr>
              <w:t>企业生产过程中涉及到的液态物料主要为切削液、石蜡油等油类物质及胶粘剂，脱脂剂、表调剂、</w:t>
            </w:r>
            <w:r>
              <w:rPr>
                <w:rFonts w:hint="eastAsia"/>
                <w:bCs/>
                <w:szCs w:val="21"/>
                <w:highlight w:val="black"/>
                <w:lang w:val="en-US" w:eastAsia="zh-CN"/>
              </w:rPr>
              <w:t xml:space="preserve">       </w:t>
            </w:r>
            <w:r>
              <w:rPr>
                <w:bCs/>
                <w:szCs w:val="21"/>
              </w:rPr>
              <w:t>、模具清洗剂等辅料及废胶黏剂等危险废物，若发生泄漏将对附近土壤和地下水环境有一定的影响。</w:t>
            </w:r>
          </w:p>
          <w:p w14:paraId="4A014ADD">
            <w:pPr>
              <w:pStyle w:val="8"/>
              <w:widowControl/>
              <w:adjustRightInd w:val="0"/>
              <w:snapToGrid w:val="0"/>
              <w:spacing w:line="360" w:lineRule="auto"/>
              <w:ind w:firstLine="420" w:firstLineChars="200"/>
              <w:rPr>
                <w:bCs/>
                <w:szCs w:val="21"/>
              </w:rPr>
            </w:pPr>
            <w:r>
              <w:rPr>
                <w:bCs/>
                <w:szCs w:val="21"/>
              </w:rPr>
              <w:t>建设单位已按照要求建设原料仓库、化学品仓库及危险废物仓库，各区域地面均已做硬化防渗处理，且液态物料均采用密封无损包装桶进行储存，液态危险废物下方设置防渗漏托盘，并设置专人定期巡检，物料发生泄漏可能性较小。各区域内均配置吸附棉、收集容器等应急物资，物料一旦发生泄漏可采用吸附棉吸附地面蔓延的物料，再采用无火花收容工具收集，不会扩散至厂区或厂外环境，因此泄漏到外环境的概率较低。</w:t>
            </w:r>
          </w:p>
          <w:p w14:paraId="5D32FFF5">
            <w:pPr>
              <w:pStyle w:val="8"/>
              <w:widowControl/>
              <w:adjustRightInd w:val="0"/>
              <w:snapToGrid w:val="0"/>
              <w:spacing w:line="360" w:lineRule="auto"/>
              <w:ind w:firstLine="420" w:firstLineChars="200"/>
              <w:rPr>
                <w:bCs/>
                <w:szCs w:val="21"/>
              </w:rPr>
            </w:pPr>
            <w:r>
              <w:rPr>
                <w:bCs/>
                <w:szCs w:val="21"/>
              </w:rPr>
              <w:t>②火灾爆炸事故源强</w:t>
            </w:r>
          </w:p>
          <w:p w14:paraId="4516703C">
            <w:pPr>
              <w:pStyle w:val="8"/>
              <w:widowControl/>
              <w:adjustRightInd w:val="0"/>
              <w:snapToGrid w:val="0"/>
              <w:spacing w:line="360" w:lineRule="auto"/>
              <w:ind w:firstLine="420" w:firstLineChars="200"/>
              <w:rPr>
                <w:bCs/>
                <w:szCs w:val="21"/>
              </w:rPr>
            </w:pPr>
            <w:r>
              <w:rPr>
                <w:szCs w:val="21"/>
              </w:rPr>
              <w:t>项目原料中氢化丁腈橡胶、丁腈橡胶、三元乙丙胶、丙烯酸酯橡胶、氟橡胶、硅橡胶、交联剂、硫化剂、防老剂、石蜡油、四氟棒、胶粘剂等各类橡胶、油类及有机溶剂物质均具可燃性，一旦接触火源易发生火灾事故，</w:t>
            </w:r>
            <w:r>
              <w:rPr>
                <w:bCs/>
                <w:szCs w:val="21"/>
              </w:rPr>
              <w:t>火灾、爆炸会产生伴生/次生灾害，本次主要考虑火灾爆炸后衍生的废气污染物及消防尾水的环境影响。</w:t>
            </w:r>
          </w:p>
          <w:p w14:paraId="3087A681">
            <w:pPr>
              <w:pStyle w:val="8"/>
              <w:widowControl/>
              <w:adjustRightInd w:val="0"/>
              <w:snapToGrid w:val="0"/>
              <w:spacing w:line="360" w:lineRule="auto"/>
              <w:ind w:firstLine="420" w:firstLineChars="200"/>
              <w:rPr>
                <w:bCs/>
                <w:szCs w:val="21"/>
              </w:rPr>
            </w:pPr>
            <w:r>
              <w:rPr>
                <w:bCs/>
                <w:szCs w:val="21"/>
              </w:rPr>
              <w:t>I）火灾爆炸伴生/次生污染物</w:t>
            </w:r>
          </w:p>
          <w:p w14:paraId="1DC6E730">
            <w:pPr>
              <w:pStyle w:val="8"/>
              <w:widowControl/>
              <w:adjustRightInd w:val="0"/>
              <w:snapToGrid w:val="0"/>
              <w:spacing w:line="360" w:lineRule="auto"/>
              <w:ind w:firstLine="420" w:firstLineChars="200"/>
              <w:rPr>
                <w:bCs/>
                <w:szCs w:val="21"/>
              </w:rPr>
            </w:pPr>
            <w:r>
              <w:rPr>
                <w:bCs/>
                <w:szCs w:val="21"/>
              </w:rPr>
              <w:t>建设单位可能发生的火灾爆炸环境事件主要是生产过程中可燃物料遇到明火引发的火灾事故及次生的大气污染，如氟橡胶燃烧分解产生碳酰氟、氟化氢、氟化烯烃等物质、胶粘剂燃烧分解产生氮氧化物等物质、丁腈橡胶燃烧分解产生丙烯腈等物质，燃烧产物均为刺激性有毒气体，将造成大气环境污染并危害人体健康。项目原料均贮存于原料</w:t>
            </w:r>
            <w:r>
              <w:rPr>
                <w:szCs w:val="21"/>
              </w:rPr>
              <w:t>仓库</w:t>
            </w:r>
            <w:r>
              <w:rPr>
                <w:bCs/>
                <w:szCs w:val="21"/>
              </w:rPr>
              <w:t>内、危险废物暂存于危险废物仓库，生产作业过程中加强火源管理，严禁烟火，设置报警装置，发生火灾爆炸的概率较低。</w:t>
            </w:r>
          </w:p>
          <w:p w14:paraId="011DA28E">
            <w:pPr>
              <w:pStyle w:val="8"/>
              <w:widowControl/>
              <w:adjustRightInd w:val="0"/>
              <w:snapToGrid w:val="0"/>
              <w:spacing w:line="360" w:lineRule="auto"/>
              <w:ind w:firstLine="420" w:firstLineChars="200"/>
              <w:rPr>
                <w:bCs/>
                <w:szCs w:val="21"/>
              </w:rPr>
            </w:pPr>
            <w:r>
              <w:rPr>
                <w:bCs/>
                <w:szCs w:val="21"/>
              </w:rPr>
              <w:t>II）火灾爆炸衍生的消防尾水</w:t>
            </w:r>
          </w:p>
          <w:p w14:paraId="4D09363E">
            <w:pPr>
              <w:pStyle w:val="8"/>
              <w:widowControl/>
              <w:adjustRightInd w:val="0"/>
              <w:snapToGrid w:val="0"/>
              <w:spacing w:line="360" w:lineRule="auto"/>
              <w:ind w:firstLine="420" w:firstLineChars="200"/>
              <w:rPr>
                <w:bCs/>
                <w:szCs w:val="21"/>
              </w:rPr>
            </w:pPr>
            <w:r>
              <w:rPr>
                <w:bCs/>
                <w:szCs w:val="21"/>
              </w:rPr>
              <w:t>项目厂区内已建设一座</w:t>
            </w:r>
            <w:r>
              <w:rPr>
                <w:rFonts w:hint="eastAsia"/>
                <w:bCs/>
                <w:szCs w:val="21"/>
              </w:rPr>
              <w:t>130</w:t>
            </w:r>
            <w:r>
              <w:rPr>
                <w:bCs/>
                <w:szCs w:val="21"/>
              </w:rPr>
              <w:t>m</w:t>
            </w:r>
            <w:r>
              <w:rPr>
                <w:bCs/>
                <w:szCs w:val="21"/>
                <w:vertAlign w:val="superscript"/>
              </w:rPr>
              <w:t>3</w:t>
            </w:r>
            <w:r>
              <w:rPr>
                <w:bCs/>
                <w:szCs w:val="21"/>
              </w:rPr>
              <w:t>应急事故池，且已在雨水排口处建设雨水阀门，事故状态下通过关闭雨水阀门，将产生的消防尾水收集至应急事故池内暂存，消防废水泄露至外环境的概率较低。</w:t>
            </w:r>
          </w:p>
          <w:p w14:paraId="29AA4837">
            <w:pPr>
              <w:pStyle w:val="8"/>
              <w:widowControl/>
              <w:adjustRightInd w:val="0"/>
              <w:snapToGrid w:val="0"/>
              <w:spacing w:line="360" w:lineRule="auto"/>
              <w:ind w:firstLine="422" w:firstLineChars="200"/>
              <w:rPr>
                <w:b/>
                <w:szCs w:val="21"/>
              </w:rPr>
            </w:pPr>
            <w:r>
              <w:rPr>
                <w:b/>
                <w:szCs w:val="21"/>
              </w:rPr>
              <w:t>4）应急事故池容积核算</w:t>
            </w:r>
          </w:p>
          <w:p w14:paraId="14158ED0">
            <w:pPr>
              <w:pStyle w:val="82"/>
              <w:ind w:firstLine="420"/>
              <w:rPr>
                <w:color w:val="auto"/>
                <w:sz w:val="21"/>
                <w:szCs w:val="21"/>
              </w:rPr>
            </w:pPr>
            <w:r>
              <w:rPr>
                <w:color w:val="auto"/>
                <w:sz w:val="21"/>
                <w:szCs w:val="21"/>
              </w:rPr>
              <w:t>项目厂区单独设置事故废水收集管网，并已设置应急事故池，企业发生环境事故产生事故废水通过收集管网进入事故应急池。</w:t>
            </w:r>
          </w:p>
          <w:p w14:paraId="1F1CA37A">
            <w:pPr>
              <w:pStyle w:val="82"/>
              <w:ind w:firstLine="420"/>
              <w:rPr>
                <w:color w:val="auto"/>
                <w:sz w:val="21"/>
                <w:szCs w:val="21"/>
              </w:rPr>
            </w:pPr>
            <w:r>
              <w:rPr>
                <w:color w:val="auto"/>
                <w:sz w:val="21"/>
                <w:szCs w:val="21"/>
              </w:rPr>
              <w:t>事故池容积根据以下公式（中石化集团公司与建设部编制的《水体污染防控紧急措施设计导则》）确定：V</w:t>
            </w:r>
            <w:r>
              <w:rPr>
                <w:color w:val="auto"/>
                <w:sz w:val="21"/>
                <w:szCs w:val="21"/>
                <w:vertAlign w:val="subscript"/>
              </w:rPr>
              <w:t>总</w:t>
            </w:r>
            <w:r>
              <w:rPr>
                <w:color w:val="auto"/>
                <w:sz w:val="21"/>
                <w:szCs w:val="21"/>
              </w:rPr>
              <w:t>=（V</w:t>
            </w:r>
            <w:r>
              <w:rPr>
                <w:color w:val="auto"/>
                <w:sz w:val="21"/>
                <w:szCs w:val="21"/>
                <w:vertAlign w:val="subscript"/>
              </w:rPr>
              <w:t>1</w:t>
            </w:r>
            <w:r>
              <w:rPr>
                <w:color w:val="auto"/>
                <w:sz w:val="21"/>
                <w:szCs w:val="21"/>
              </w:rPr>
              <w:t>+V</w:t>
            </w:r>
            <w:r>
              <w:rPr>
                <w:color w:val="auto"/>
                <w:sz w:val="21"/>
                <w:szCs w:val="21"/>
                <w:vertAlign w:val="subscript"/>
              </w:rPr>
              <w:t>2</w:t>
            </w:r>
            <w:r>
              <w:rPr>
                <w:color w:val="auto"/>
                <w:sz w:val="21"/>
                <w:szCs w:val="21"/>
              </w:rPr>
              <w:t>-V</w:t>
            </w:r>
            <w:r>
              <w:rPr>
                <w:color w:val="auto"/>
                <w:sz w:val="21"/>
                <w:szCs w:val="21"/>
                <w:vertAlign w:val="subscript"/>
              </w:rPr>
              <w:t>3</w:t>
            </w:r>
            <w:r>
              <w:rPr>
                <w:color w:val="auto"/>
                <w:sz w:val="21"/>
                <w:szCs w:val="21"/>
              </w:rPr>
              <w:t>）</w:t>
            </w:r>
            <w:r>
              <w:rPr>
                <w:color w:val="auto"/>
                <w:sz w:val="21"/>
                <w:szCs w:val="21"/>
                <w:vertAlign w:val="subscript"/>
              </w:rPr>
              <w:t>max</w:t>
            </w:r>
            <w:r>
              <w:rPr>
                <w:color w:val="auto"/>
                <w:sz w:val="21"/>
                <w:szCs w:val="21"/>
              </w:rPr>
              <w:t>+V</w:t>
            </w:r>
            <w:r>
              <w:rPr>
                <w:color w:val="auto"/>
                <w:sz w:val="21"/>
                <w:szCs w:val="21"/>
                <w:vertAlign w:val="subscript"/>
              </w:rPr>
              <w:t>4</w:t>
            </w:r>
            <w:r>
              <w:rPr>
                <w:color w:val="auto"/>
                <w:sz w:val="21"/>
                <w:szCs w:val="21"/>
              </w:rPr>
              <w:t>+V</w:t>
            </w:r>
            <w:r>
              <w:rPr>
                <w:color w:val="auto"/>
                <w:sz w:val="21"/>
                <w:szCs w:val="21"/>
                <w:vertAlign w:val="subscript"/>
              </w:rPr>
              <w:t>5</w:t>
            </w:r>
          </w:p>
          <w:p w14:paraId="1E5FF642">
            <w:pPr>
              <w:pStyle w:val="82"/>
              <w:ind w:firstLine="420"/>
              <w:rPr>
                <w:color w:val="auto"/>
                <w:sz w:val="21"/>
                <w:szCs w:val="21"/>
              </w:rPr>
            </w:pPr>
            <w:r>
              <w:rPr>
                <w:color w:val="auto"/>
                <w:sz w:val="21"/>
                <w:szCs w:val="21"/>
              </w:rPr>
              <w:t>式中：（V</w:t>
            </w:r>
            <w:r>
              <w:rPr>
                <w:color w:val="auto"/>
                <w:sz w:val="21"/>
                <w:szCs w:val="21"/>
                <w:vertAlign w:val="subscript"/>
              </w:rPr>
              <w:t>1</w:t>
            </w:r>
            <w:r>
              <w:rPr>
                <w:color w:val="auto"/>
                <w:sz w:val="21"/>
                <w:szCs w:val="21"/>
              </w:rPr>
              <w:t>+V</w:t>
            </w:r>
            <w:r>
              <w:rPr>
                <w:color w:val="auto"/>
                <w:sz w:val="21"/>
                <w:szCs w:val="21"/>
                <w:vertAlign w:val="subscript"/>
              </w:rPr>
              <w:t>2</w:t>
            </w:r>
            <w:r>
              <w:rPr>
                <w:color w:val="auto"/>
                <w:sz w:val="21"/>
                <w:szCs w:val="21"/>
              </w:rPr>
              <w:t>-V</w:t>
            </w:r>
            <w:r>
              <w:rPr>
                <w:color w:val="auto"/>
                <w:sz w:val="21"/>
                <w:szCs w:val="21"/>
                <w:vertAlign w:val="subscript"/>
              </w:rPr>
              <w:t>3</w:t>
            </w:r>
            <w:r>
              <w:rPr>
                <w:color w:val="auto"/>
                <w:sz w:val="21"/>
                <w:szCs w:val="21"/>
              </w:rPr>
              <w:t>）</w:t>
            </w:r>
            <w:r>
              <w:rPr>
                <w:color w:val="auto"/>
                <w:sz w:val="21"/>
                <w:szCs w:val="21"/>
                <w:vertAlign w:val="subscript"/>
              </w:rPr>
              <w:t>max</w:t>
            </w:r>
            <w:r>
              <w:rPr>
                <w:color w:val="auto"/>
                <w:sz w:val="21"/>
                <w:szCs w:val="21"/>
              </w:rPr>
              <w:t>——对收集系统范围内不同装置区域分别计算V</w:t>
            </w:r>
            <w:r>
              <w:rPr>
                <w:color w:val="auto"/>
                <w:sz w:val="21"/>
                <w:szCs w:val="21"/>
                <w:vertAlign w:val="subscript"/>
              </w:rPr>
              <w:t>1</w:t>
            </w:r>
            <w:r>
              <w:rPr>
                <w:color w:val="auto"/>
                <w:sz w:val="21"/>
                <w:szCs w:val="21"/>
              </w:rPr>
              <w:t>+V</w:t>
            </w:r>
            <w:r>
              <w:rPr>
                <w:color w:val="auto"/>
                <w:sz w:val="21"/>
                <w:szCs w:val="21"/>
                <w:vertAlign w:val="subscript"/>
              </w:rPr>
              <w:t>2</w:t>
            </w:r>
            <w:r>
              <w:rPr>
                <w:color w:val="auto"/>
                <w:sz w:val="21"/>
                <w:szCs w:val="21"/>
              </w:rPr>
              <w:t>-V</w:t>
            </w:r>
            <w:r>
              <w:rPr>
                <w:color w:val="auto"/>
                <w:sz w:val="21"/>
                <w:szCs w:val="21"/>
                <w:vertAlign w:val="subscript"/>
              </w:rPr>
              <w:t>3</w:t>
            </w:r>
            <w:r>
              <w:rPr>
                <w:color w:val="auto"/>
                <w:sz w:val="21"/>
                <w:szCs w:val="21"/>
              </w:rPr>
              <w:t>而取出的最大值；</w:t>
            </w:r>
          </w:p>
          <w:p w14:paraId="7F414D94">
            <w:pPr>
              <w:pStyle w:val="82"/>
              <w:ind w:firstLine="420"/>
              <w:rPr>
                <w:color w:val="auto"/>
                <w:sz w:val="21"/>
                <w:szCs w:val="21"/>
              </w:rPr>
            </w:pPr>
            <w:r>
              <w:rPr>
                <w:color w:val="auto"/>
                <w:sz w:val="21"/>
                <w:szCs w:val="21"/>
              </w:rPr>
              <w:t>V</w:t>
            </w:r>
            <w:r>
              <w:rPr>
                <w:color w:val="auto"/>
                <w:sz w:val="21"/>
                <w:szCs w:val="21"/>
                <w:vertAlign w:val="subscript"/>
              </w:rPr>
              <w:t>1</w:t>
            </w:r>
            <w:r>
              <w:rPr>
                <w:color w:val="auto"/>
                <w:sz w:val="21"/>
                <w:szCs w:val="21"/>
              </w:rPr>
              <w:t>--收集系统范围内发生事故时的泄漏物料量，m</w:t>
            </w:r>
            <w:r>
              <w:rPr>
                <w:color w:val="auto"/>
                <w:sz w:val="21"/>
                <w:szCs w:val="21"/>
                <w:vertAlign w:val="superscript"/>
              </w:rPr>
              <w:t>3</w:t>
            </w:r>
            <w:r>
              <w:rPr>
                <w:color w:val="auto"/>
                <w:sz w:val="21"/>
                <w:szCs w:val="21"/>
              </w:rPr>
              <w:t>；</w:t>
            </w:r>
            <w:r>
              <w:rPr>
                <w:snapToGrid w:val="0"/>
                <w:color w:val="auto"/>
                <w:sz w:val="21"/>
                <w:szCs w:val="21"/>
              </w:rPr>
              <w:t>泄漏量按最大存储量来计，</w:t>
            </w:r>
            <w:r>
              <w:rPr>
                <w:color w:val="auto"/>
                <w:sz w:val="21"/>
                <w:szCs w:val="21"/>
              </w:rPr>
              <w:t>本项目</w:t>
            </w:r>
            <w:r>
              <w:rPr>
                <w:snapToGrid w:val="0"/>
                <w:color w:val="auto"/>
                <w:sz w:val="21"/>
                <w:szCs w:val="21"/>
              </w:rPr>
              <w:t>取值</w:t>
            </w:r>
            <w:r>
              <w:rPr>
                <w:rFonts w:hint="eastAsia"/>
                <w:snapToGrid w:val="0"/>
                <w:color w:val="auto"/>
                <w:sz w:val="21"/>
                <w:szCs w:val="21"/>
              </w:rPr>
              <w:t>1.5</w:t>
            </w:r>
            <w:r>
              <w:rPr>
                <w:snapToGrid w:val="0"/>
                <w:color w:val="auto"/>
                <w:sz w:val="21"/>
                <w:szCs w:val="21"/>
              </w:rPr>
              <w:t>m</w:t>
            </w:r>
            <w:r>
              <w:rPr>
                <w:snapToGrid w:val="0"/>
                <w:color w:val="auto"/>
                <w:sz w:val="21"/>
                <w:szCs w:val="21"/>
                <w:vertAlign w:val="superscript"/>
              </w:rPr>
              <w:t>3</w:t>
            </w:r>
            <w:r>
              <w:rPr>
                <w:color w:val="auto"/>
                <w:sz w:val="21"/>
                <w:szCs w:val="21"/>
              </w:rPr>
              <w:t>。</w:t>
            </w:r>
          </w:p>
          <w:p w14:paraId="7FEFCA7C">
            <w:pPr>
              <w:pStyle w:val="82"/>
              <w:ind w:firstLine="420"/>
              <w:rPr>
                <w:color w:val="auto"/>
                <w:sz w:val="21"/>
                <w:szCs w:val="21"/>
              </w:rPr>
            </w:pPr>
            <w:r>
              <w:rPr>
                <w:color w:val="auto"/>
                <w:sz w:val="21"/>
                <w:szCs w:val="21"/>
              </w:rPr>
              <w:t>V</w:t>
            </w:r>
            <w:r>
              <w:rPr>
                <w:color w:val="auto"/>
                <w:sz w:val="21"/>
                <w:szCs w:val="21"/>
                <w:vertAlign w:val="subscript"/>
              </w:rPr>
              <w:t>2</w:t>
            </w:r>
            <w:r>
              <w:rPr>
                <w:color w:val="auto"/>
                <w:sz w:val="21"/>
                <w:szCs w:val="21"/>
              </w:rPr>
              <w:t>--发生事故时的消防水量；V</w:t>
            </w:r>
            <w:r>
              <w:rPr>
                <w:color w:val="auto"/>
                <w:sz w:val="21"/>
                <w:szCs w:val="21"/>
                <w:vertAlign w:val="subscript"/>
              </w:rPr>
              <w:t>2</w:t>
            </w:r>
            <w:r>
              <w:rPr>
                <w:color w:val="auto"/>
                <w:sz w:val="21"/>
                <w:szCs w:val="21"/>
              </w:rPr>
              <w:t>=∑Q消×t消；Q消——发生事故的工艺装置同时使用的消防设施给水流量，包括室内外消火栓、消防炮、喷淋系统等等，各种设施的配置和流量根据保护对象的火灾危险程度，按相关消防规范确定；t消——各种消防设施对应的设计消防历时。</w:t>
            </w:r>
          </w:p>
          <w:p w14:paraId="4C91ADF2">
            <w:pPr>
              <w:pStyle w:val="82"/>
              <w:ind w:firstLine="420"/>
              <w:rPr>
                <w:color w:val="auto"/>
                <w:sz w:val="21"/>
                <w:szCs w:val="21"/>
              </w:rPr>
            </w:pPr>
            <w:r>
              <w:rPr>
                <w:snapToGrid w:val="0"/>
                <w:color w:val="auto"/>
                <w:sz w:val="21"/>
                <w:szCs w:val="21"/>
              </w:rPr>
              <w:t>消火栓流量按</w:t>
            </w:r>
            <w:r>
              <w:rPr>
                <w:rFonts w:hint="eastAsia"/>
                <w:snapToGrid w:val="0"/>
                <w:color w:val="auto"/>
                <w:sz w:val="21"/>
                <w:szCs w:val="21"/>
              </w:rPr>
              <w:t>1</w:t>
            </w:r>
            <w:r>
              <w:rPr>
                <w:snapToGrid w:val="0"/>
                <w:color w:val="auto"/>
                <w:sz w:val="21"/>
                <w:szCs w:val="21"/>
              </w:rPr>
              <w:t>0L/s考虑，</w:t>
            </w:r>
            <w:r>
              <w:rPr>
                <w:color w:val="auto"/>
                <w:sz w:val="21"/>
                <w:szCs w:val="21"/>
              </w:rPr>
              <w:t>以一次事故消防灭火所需时间为</w:t>
            </w:r>
            <w:r>
              <w:rPr>
                <w:rFonts w:hint="eastAsia"/>
                <w:color w:val="auto"/>
                <w:sz w:val="21"/>
                <w:szCs w:val="21"/>
              </w:rPr>
              <w:t>2</w:t>
            </w:r>
            <w:r>
              <w:rPr>
                <w:color w:val="auto"/>
                <w:sz w:val="21"/>
                <w:szCs w:val="21"/>
              </w:rPr>
              <w:t>h计，则</w:t>
            </w:r>
            <w:r>
              <w:rPr>
                <w:snapToGrid w:val="0"/>
                <w:color w:val="auto"/>
                <w:sz w:val="21"/>
                <w:szCs w:val="21"/>
              </w:rPr>
              <w:t>V2取值</w:t>
            </w:r>
            <w:r>
              <w:rPr>
                <w:rFonts w:hint="eastAsia"/>
                <w:snapToGrid w:val="0"/>
                <w:color w:val="auto"/>
                <w:sz w:val="21"/>
                <w:szCs w:val="21"/>
              </w:rPr>
              <w:t>72</w:t>
            </w:r>
            <w:r>
              <w:rPr>
                <w:snapToGrid w:val="0"/>
                <w:color w:val="auto"/>
                <w:sz w:val="21"/>
                <w:szCs w:val="21"/>
              </w:rPr>
              <w:t>m</w:t>
            </w:r>
            <w:r>
              <w:rPr>
                <w:snapToGrid w:val="0"/>
                <w:color w:val="auto"/>
                <w:sz w:val="21"/>
                <w:szCs w:val="21"/>
                <w:vertAlign w:val="superscript"/>
              </w:rPr>
              <w:t>3</w:t>
            </w:r>
            <w:r>
              <w:rPr>
                <w:color w:val="auto"/>
                <w:sz w:val="21"/>
                <w:szCs w:val="21"/>
              </w:rPr>
              <w:t>。</w:t>
            </w:r>
          </w:p>
          <w:p w14:paraId="3E1E770E">
            <w:pPr>
              <w:pStyle w:val="82"/>
              <w:ind w:firstLine="420"/>
              <w:rPr>
                <w:color w:val="auto"/>
                <w:sz w:val="21"/>
                <w:szCs w:val="21"/>
              </w:rPr>
            </w:pPr>
            <w:r>
              <w:rPr>
                <w:color w:val="auto"/>
                <w:sz w:val="21"/>
                <w:szCs w:val="21"/>
              </w:rPr>
              <w:t>V</w:t>
            </w:r>
            <w:r>
              <w:rPr>
                <w:color w:val="auto"/>
                <w:sz w:val="21"/>
                <w:szCs w:val="21"/>
                <w:vertAlign w:val="subscript"/>
              </w:rPr>
              <w:t>3</w:t>
            </w:r>
            <w:r>
              <w:rPr>
                <w:color w:val="auto"/>
                <w:sz w:val="21"/>
                <w:szCs w:val="21"/>
              </w:rPr>
              <w:t>--发生事故时可以转输至其它储存或处理设施的物料量</w:t>
            </w:r>
            <w:bookmarkStart w:id="162" w:name="OLE_LINK105"/>
            <w:r>
              <w:rPr>
                <w:color w:val="auto"/>
                <w:sz w:val="21"/>
                <w:szCs w:val="21"/>
              </w:rPr>
              <w:t>（m</w:t>
            </w:r>
            <w:r>
              <w:rPr>
                <w:color w:val="auto"/>
                <w:sz w:val="21"/>
                <w:szCs w:val="21"/>
                <w:vertAlign w:val="superscript"/>
              </w:rPr>
              <w:t>3</w:t>
            </w:r>
            <w:r>
              <w:rPr>
                <w:color w:val="auto"/>
                <w:sz w:val="21"/>
                <w:szCs w:val="21"/>
              </w:rPr>
              <w:t>）</w:t>
            </w:r>
            <w:bookmarkEnd w:id="162"/>
            <w:r>
              <w:rPr>
                <w:color w:val="auto"/>
                <w:sz w:val="21"/>
                <w:szCs w:val="21"/>
              </w:rPr>
              <w:t>，厂区雨水管网长度约</w:t>
            </w:r>
            <w:r>
              <w:rPr>
                <w:rFonts w:hint="eastAsia"/>
                <w:color w:val="auto"/>
                <w:sz w:val="21"/>
                <w:szCs w:val="21"/>
              </w:rPr>
              <w:t>1000</w:t>
            </w:r>
            <w:r>
              <w:rPr>
                <w:color w:val="auto"/>
                <w:sz w:val="21"/>
                <w:szCs w:val="21"/>
              </w:rPr>
              <w:t>m、管径取</w:t>
            </w:r>
            <w:r>
              <w:rPr>
                <w:rFonts w:hint="eastAsia"/>
                <w:color w:val="auto"/>
                <w:sz w:val="21"/>
                <w:szCs w:val="21"/>
              </w:rPr>
              <w:t>5</w:t>
            </w:r>
            <w:r>
              <w:rPr>
                <w:color w:val="auto"/>
                <w:sz w:val="21"/>
                <w:szCs w:val="21"/>
              </w:rPr>
              <w:t>00mm，则雨水管网可容纳消防尾水量约</w:t>
            </w:r>
            <w:r>
              <w:rPr>
                <w:rFonts w:hint="eastAsia"/>
                <w:color w:val="auto"/>
                <w:sz w:val="21"/>
                <w:szCs w:val="21"/>
              </w:rPr>
              <w:t>157</w:t>
            </w:r>
            <w:r>
              <w:rPr>
                <w:snapToGrid w:val="0"/>
                <w:color w:val="auto"/>
                <w:sz w:val="21"/>
                <w:szCs w:val="21"/>
              </w:rPr>
              <w:t>m</w:t>
            </w:r>
            <w:r>
              <w:rPr>
                <w:snapToGrid w:val="0"/>
                <w:color w:val="auto"/>
                <w:sz w:val="21"/>
                <w:szCs w:val="21"/>
                <w:vertAlign w:val="superscript"/>
              </w:rPr>
              <w:t>3</w:t>
            </w:r>
            <w:r>
              <w:rPr>
                <w:color w:val="auto"/>
                <w:sz w:val="21"/>
                <w:szCs w:val="21"/>
              </w:rPr>
              <w:t>（以雨水管网总容积的</w:t>
            </w:r>
            <w:r>
              <w:rPr>
                <w:rFonts w:hint="eastAsia"/>
                <w:color w:val="auto"/>
                <w:sz w:val="21"/>
                <w:szCs w:val="21"/>
              </w:rPr>
              <w:t>80%计</w:t>
            </w:r>
            <w:r>
              <w:rPr>
                <w:color w:val="auto"/>
                <w:sz w:val="21"/>
                <w:szCs w:val="21"/>
              </w:rPr>
              <w:t>）。</w:t>
            </w:r>
          </w:p>
          <w:p w14:paraId="1C873788">
            <w:pPr>
              <w:pStyle w:val="82"/>
              <w:ind w:firstLine="420"/>
              <w:rPr>
                <w:color w:val="auto"/>
                <w:sz w:val="21"/>
                <w:szCs w:val="21"/>
              </w:rPr>
            </w:pPr>
            <w:r>
              <w:rPr>
                <w:color w:val="auto"/>
                <w:sz w:val="21"/>
                <w:szCs w:val="21"/>
              </w:rPr>
              <w:t>V</w:t>
            </w:r>
            <w:r>
              <w:rPr>
                <w:color w:val="auto"/>
                <w:sz w:val="21"/>
                <w:szCs w:val="21"/>
                <w:vertAlign w:val="subscript"/>
              </w:rPr>
              <w:t>4</w:t>
            </w:r>
            <w:r>
              <w:rPr>
                <w:color w:val="auto"/>
                <w:sz w:val="21"/>
                <w:szCs w:val="21"/>
              </w:rPr>
              <w:t>--发生事故时仍必须进入该收集池的生产废水量（m</w:t>
            </w:r>
            <w:r>
              <w:rPr>
                <w:color w:val="auto"/>
                <w:sz w:val="21"/>
                <w:szCs w:val="21"/>
                <w:vertAlign w:val="superscript"/>
              </w:rPr>
              <w:t>3</w:t>
            </w:r>
            <w:r>
              <w:rPr>
                <w:color w:val="auto"/>
                <w:sz w:val="21"/>
                <w:szCs w:val="21"/>
              </w:rPr>
              <w:t>），</w:t>
            </w:r>
            <w:r>
              <w:rPr>
                <w:snapToGrid w:val="0"/>
                <w:color w:val="auto"/>
                <w:sz w:val="21"/>
                <w:szCs w:val="21"/>
              </w:rPr>
              <w:t>事故废水量考虑从发现处理设施出现故障、出水达不到排放标准时开始计算，已进入处理设备、正在进行处理或已做好准备即将处理的，无法立即停止生产，需等到完成后方能停机。本项目无生产废水进入事故池，V4取值</w:t>
            </w:r>
            <w:r>
              <w:rPr>
                <w:rFonts w:hint="eastAsia"/>
                <w:snapToGrid w:val="0"/>
                <w:color w:val="auto"/>
                <w:sz w:val="21"/>
                <w:szCs w:val="21"/>
              </w:rPr>
              <w:t>0</w:t>
            </w:r>
            <w:r>
              <w:rPr>
                <w:snapToGrid w:val="0"/>
                <w:color w:val="auto"/>
                <w:sz w:val="21"/>
                <w:szCs w:val="21"/>
              </w:rPr>
              <w:t>m</w:t>
            </w:r>
            <w:r>
              <w:rPr>
                <w:snapToGrid w:val="0"/>
                <w:color w:val="auto"/>
                <w:sz w:val="21"/>
                <w:szCs w:val="21"/>
                <w:vertAlign w:val="superscript"/>
              </w:rPr>
              <w:t>3</w:t>
            </w:r>
            <w:r>
              <w:rPr>
                <w:snapToGrid w:val="0"/>
                <w:color w:val="auto"/>
                <w:sz w:val="21"/>
                <w:szCs w:val="21"/>
              </w:rPr>
              <w:t>。</w:t>
            </w:r>
          </w:p>
          <w:p w14:paraId="5D8BE9FE">
            <w:pPr>
              <w:pStyle w:val="82"/>
              <w:ind w:firstLine="420"/>
              <w:rPr>
                <w:color w:val="auto"/>
                <w:sz w:val="21"/>
                <w:szCs w:val="21"/>
              </w:rPr>
            </w:pPr>
            <w:r>
              <w:rPr>
                <w:color w:val="auto"/>
                <w:sz w:val="21"/>
                <w:szCs w:val="21"/>
              </w:rPr>
              <w:t>V</w:t>
            </w:r>
            <w:r>
              <w:rPr>
                <w:color w:val="auto"/>
                <w:sz w:val="21"/>
                <w:szCs w:val="21"/>
                <w:vertAlign w:val="subscript"/>
              </w:rPr>
              <w:t>5</w:t>
            </w:r>
            <w:r>
              <w:rPr>
                <w:color w:val="auto"/>
                <w:sz w:val="21"/>
                <w:szCs w:val="21"/>
              </w:rPr>
              <w:t>--发生事故时可能进入该收集池的降雨量，m</w:t>
            </w:r>
            <w:r>
              <w:rPr>
                <w:color w:val="auto"/>
                <w:sz w:val="21"/>
                <w:szCs w:val="21"/>
                <w:vertAlign w:val="superscript"/>
              </w:rPr>
              <w:t>3</w:t>
            </w:r>
            <w:r>
              <w:rPr>
                <w:color w:val="auto"/>
                <w:sz w:val="21"/>
                <w:szCs w:val="21"/>
              </w:rPr>
              <w:t>。V</w:t>
            </w:r>
            <w:r>
              <w:rPr>
                <w:color w:val="auto"/>
                <w:sz w:val="21"/>
                <w:szCs w:val="21"/>
                <w:vertAlign w:val="subscript"/>
              </w:rPr>
              <w:t>5</w:t>
            </w:r>
            <w:r>
              <w:rPr>
                <w:color w:val="auto"/>
                <w:sz w:val="21"/>
                <w:szCs w:val="21"/>
              </w:rPr>
              <w:t>=10qFt，q=q</w:t>
            </w:r>
            <w:r>
              <w:rPr>
                <w:color w:val="auto"/>
                <w:sz w:val="21"/>
                <w:szCs w:val="21"/>
                <w:vertAlign w:val="subscript"/>
              </w:rPr>
              <w:t>n</w:t>
            </w:r>
            <w:r>
              <w:rPr>
                <w:color w:val="auto"/>
                <w:sz w:val="21"/>
                <w:szCs w:val="21"/>
              </w:rPr>
              <w:t>/n式中：q--平均日降雨量（mm）；q</w:t>
            </w:r>
            <w:r>
              <w:rPr>
                <w:color w:val="auto"/>
                <w:sz w:val="21"/>
                <w:szCs w:val="21"/>
                <w:vertAlign w:val="subscript"/>
              </w:rPr>
              <w:t>n</w:t>
            </w:r>
            <w:r>
              <w:rPr>
                <w:color w:val="auto"/>
                <w:sz w:val="21"/>
                <w:szCs w:val="21"/>
              </w:rPr>
              <w:t>--年平均降雨量（mm），</w:t>
            </w:r>
            <w:r>
              <w:rPr>
                <w:rFonts w:hint="eastAsia"/>
                <w:color w:val="auto"/>
                <w:sz w:val="21"/>
                <w:szCs w:val="21"/>
              </w:rPr>
              <w:t>1106.7mm</w:t>
            </w:r>
            <w:r>
              <w:rPr>
                <w:color w:val="auto"/>
                <w:sz w:val="21"/>
                <w:szCs w:val="21"/>
              </w:rPr>
              <w:t>；n--年平均降雨日数（天），</w:t>
            </w:r>
            <w:r>
              <w:rPr>
                <w:rFonts w:hint="eastAsia"/>
                <w:color w:val="auto"/>
                <w:sz w:val="21"/>
                <w:szCs w:val="21"/>
              </w:rPr>
              <w:t>150d</w:t>
            </w:r>
            <w:r>
              <w:rPr>
                <w:color w:val="auto"/>
                <w:sz w:val="21"/>
                <w:szCs w:val="21"/>
              </w:rPr>
              <w:t>；F--必须进入事故废水收集系统的雨水汇水面积（ha），</w:t>
            </w:r>
            <w:r>
              <w:rPr>
                <w:rFonts w:hint="eastAsia"/>
                <w:color w:val="auto"/>
                <w:sz w:val="21"/>
                <w:szCs w:val="21"/>
              </w:rPr>
              <w:t>2ha</w:t>
            </w:r>
            <w:r>
              <w:rPr>
                <w:color w:val="auto"/>
                <w:sz w:val="21"/>
                <w:szCs w:val="21"/>
              </w:rPr>
              <w:t>；t--降雨持续时间（h）。</w:t>
            </w:r>
            <w:r>
              <w:rPr>
                <w:bCs/>
                <w:color w:val="auto"/>
                <w:sz w:val="21"/>
                <w:szCs w:val="21"/>
                <w:lang w:bidi="zh-CN"/>
              </w:rPr>
              <w:t>V</w:t>
            </w:r>
            <w:r>
              <w:rPr>
                <w:bCs/>
                <w:color w:val="auto"/>
                <w:sz w:val="21"/>
                <w:szCs w:val="21"/>
                <w:vertAlign w:val="subscript"/>
                <w:lang w:bidi="zh-CN"/>
              </w:rPr>
              <w:t>5</w:t>
            </w:r>
            <w:r>
              <w:rPr>
                <w:bCs/>
                <w:color w:val="auto"/>
                <w:sz w:val="21"/>
                <w:szCs w:val="21"/>
                <w:lang w:bidi="zh-CN"/>
              </w:rPr>
              <w:t>=</w:t>
            </w:r>
            <w:r>
              <w:rPr>
                <w:rFonts w:hint="eastAsia"/>
                <w:bCs/>
                <w:color w:val="auto"/>
                <w:sz w:val="21"/>
                <w:szCs w:val="21"/>
                <w:lang w:bidi="zh-CN"/>
              </w:rPr>
              <w:t>147.56</w:t>
            </w:r>
            <w:r>
              <w:rPr>
                <w:bCs/>
                <w:color w:val="auto"/>
                <w:sz w:val="21"/>
                <w:szCs w:val="21"/>
                <w:lang w:bidi="zh-CN"/>
              </w:rPr>
              <w:t>m</w:t>
            </w:r>
            <w:r>
              <w:rPr>
                <w:bCs/>
                <w:color w:val="auto"/>
                <w:sz w:val="21"/>
                <w:szCs w:val="21"/>
                <w:vertAlign w:val="superscript"/>
                <w:lang w:bidi="zh-CN"/>
              </w:rPr>
              <w:t>3</w:t>
            </w:r>
            <w:r>
              <w:rPr>
                <w:bCs/>
                <w:color w:val="auto"/>
                <w:sz w:val="21"/>
                <w:szCs w:val="21"/>
                <w:lang w:bidi="zh-CN"/>
              </w:rPr>
              <w:t>。</w:t>
            </w:r>
          </w:p>
          <w:p w14:paraId="2EC016AA">
            <w:pPr>
              <w:pStyle w:val="82"/>
              <w:ind w:firstLine="420"/>
              <w:rPr>
                <w:color w:val="auto"/>
                <w:sz w:val="21"/>
                <w:szCs w:val="21"/>
              </w:rPr>
            </w:pPr>
            <w:r>
              <w:rPr>
                <w:color w:val="auto"/>
                <w:sz w:val="21"/>
                <w:szCs w:val="21"/>
              </w:rPr>
              <w:t>V</w:t>
            </w:r>
            <w:r>
              <w:rPr>
                <w:color w:val="auto"/>
                <w:sz w:val="21"/>
                <w:szCs w:val="21"/>
                <w:vertAlign w:val="subscript"/>
              </w:rPr>
              <w:t>总</w:t>
            </w:r>
            <w:r>
              <w:rPr>
                <w:color w:val="auto"/>
                <w:sz w:val="21"/>
                <w:szCs w:val="21"/>
              </w:rPr>
              <w:t>=</w:t>
            </w:r>
            <w:bookmarkStart w:id="163" w:name="OLE_LINK106"/>
            <w:bookmarkStart w:id="164" w:name="OLE_LINK107"/>
            <w:r>
              <w:rPr>
                <w:color w:val="auto"/>
                <w:sz w:val="21"/>
                <w:szCs w:val="21"/>
              </w:rPr>
              <w:t>（V</w:t>
            </w:r>
            <w:r>
              <w:rPr>
                <w:color w:val="auto"/>
                <w:sz w:val="21"/>
                <w:szCs w:val="21"/>
                <w:vertAlign w:val="subscript"/>
              </w:rPr>
              <w:t>1</w:t>
            </w:r>
            <w:r>
              <w:rPr>
                <w:color w:val="auto"/>
                <w:sz w:val="21"/>
                <w:szCs w:val="21"/>
              </w:rPr>
              <w:t>+V</w:t>
            </w:r>
            <w:r>
              <w:rPr>
                <w:color w:val="auto"/>
                <w:sz w:val="21"/>
                <w:szCs w:val="21"/>
                <w:vertAlign w:val="subscript"/>
              </w:rPr>
              <w:t>2</w:t>
            </w:r>
            <w:r>
              <w:rPr>
                <w:color w:val="auto"/>
                <w:sz w:val="21"/>
                <w:szCs w:val="21"/>
              </w:rPr>
              <w:t>-V</w:t>
            </w:r>
            <w:r>
              <w:rPr>
                <w:color w:val="auto"/>
                <w:sz w:val="21"/>
                <w:szCs w:val="21"/>
                <w:vertAlign w:val="subscript"/>
              </w:rPr>
              <w:t>3</w:t>
            </w:r>
            <w:r>
              <w:rPr>
                <w:color w:val="auto"/>
                <w:sz w:val="21"/>
                <w:szCs w:val="21"/>
              </w:rPr>
              <w:t>）</w:t>
            </w:r>
            <w:bookmarkEnd w:id="163"/>
            <w:bookmarkEnd w:id="164"/>
            <w:r>
              <w:rPr>
                <w:color w:val="auto"/>
                <w:sz w:val="21"/>
                <w:szCs w:val="21"/>
                <w:vertAlign w:val="subscript"/>
              </w:rPr>
              <w:t>max</w:t>
            </w:r>
            <w:r>
              <w:rPr>
                <w:color w:val="auto"/>
                <w:sz w:val="21"/>
                <w:szCs w:val="21"/>
              </w:rPr>
              <w:t>+V</w:t>
            </w:r>
            <w:r>
              <w:rPr>
                <w:color w:val="auto"/>
                <w:sz w:val="21"/>
                <w:szCs w:val="21"/>
                <w:vertAlign w:val="subscript"/>
              </w:rPr>
              <w:t>4</w:t>
            </w:r>
            <w:r>
              <w:rPr>
                <w:color w:val="auto"/>
                <w:sz w:val="21"/>
                <w:szCs w:val="21"/>
              </w:rPr>
              <w:t>+V</w:t>
            </w:r>
            <w:r>
              <w:rPr>
                <w:color w:val="auto"/>
                <w:sz w:val="21"/>
                <w:szCs w:val="21"/>
                <w:vertAlign w:val="subscript"/>
              </w:rPr>
              <w:t>5</w:t>
            </w:r>
            <w:r>
              <w:rPr>
                <w:color w:val="auto"/>
                <w:sz w:val="21"/>
                <w:szCs w:val="21"/>
              </w:rPr>
              <w:t>=（</w:t>
            </w:r>
            <w:r>
              <w:rPr>
                <w:rFonts w:hint="eastAsia"/>
                <w:color w:val="auto"/>
                <w:sz w:val="21"/>
                <w:szCs w:val="21"/>
              </w:rPr>
              <w:t>1.5</w:t>
            </w:r>
            <w:r>
              <w:rPr>
                <w:color w:val="auto"/>
                <w:sz w:val="21"/>
                <w:szCs w:val="21"/>
              </w:rPr>
              <w:t>+</w:t>
            </w:r>
            <w:r>
              <w:rPr>
                <w:rFonts w:hint="eastAsia"/>
                <w:color w:val="auto"/>
                <w:sz w:val="21"/>
                <w:szCs w:val="21"/>
              </w:rPr>
              <w:t>72</w:t>
            </w:r>
            <w:r>
              <w:rPr>
                <w:color w:val="auto"/>
                <w:sz w:val="21"/>
                <w:szCs w:val="21"/>
              </w:rPr>
              <w:t>-</w:t>
            </w:r>
            <w:r>
              <w:rPr>
                <w:rFonts w:hint="eastAsia"/>
                <w:color w:val="auto"/>
                <w:sz w:val="21"/>
                <w:szCs w:val="21"/>
              </w:rPr>
              <w:t>157</w:t>
            </w:r>
            <w:r>
              <w:rPr>
                <w:color w:val="auto"/>
                <w:sz w:val="21"/>
                <w:szCs w:val="21"/>
              </w:rPr>
              <w:t>）+</w:t>
            </w:r>
            <w:r>
              <w:rPr>
                <w:rFonts w:hint="eastAsia"/>
                <w:color w:val="auto"/>
                <w:sz w:val="21"/>
                <w:szCs w:val="21"/>
              </w:rPr>
              <w:t>0+147.56</w:t>
            </w:r>
            <w:r>
              <w:rPr>
                <w:color w:val="auto"/>
                <w:sz w:val="21"/>
                <w:szCs w:val="21"/>
              </w:rPr>
              <w:t>=</w:t>
            </w:r>
            <w:r>
              <w:rPr>
                <w:rFonts w:hint="eastAsia"/>
                <w:color w:val="auto"/>
                <w:sz w:val="21"/>
                <w:szCs w:val="21"/>
              </w:rPr>
              <w:t>64.06</w:t>
            </w:r>
            <w:r>
              <w:rPr>
                <w:bCs/>
                <w:color w:val="auto"/>
                <w:sz w:val="21"/>
                <w:szCs w:val="21"/>
                <w:lang w:bidi="zh-CN"/>
              </w:rPr>
              <w:t>m</w:t>
            </w:r>
            <w:r>
              <w:rPr>
                <w:bCs/>
                <w:color w:val="auto"/>
                <w:sz w:val="21"/>
                <w:szCs w:val="21"/>
                <w:vertAlign w:val="superscript"/>
                <w:lang w:bidi="zh-CN"/>
              </w:rPr>
              <w:t>3</w:t>
            </w:r>
            <w:r>
              <w:rPr>
                <w:bCs/>
                <w:color w:val="auto"/>
                <w:sz w:val="21"/>
                <w:szCs w:val="21"/>
                <w:lang w:bidi="zh-CN"/>
              </w:rPr>
              <w:t>。</w:t>
            </w:r>
          </w:p>
          <w:p w14:paraId="52CB3C32">
            <w:pPr>
              <w:pStyle w:val="82"/>
              <w:ind w:firstLine="420"/>
              <w:rPr>
                <w:color w:val="auto"/>
                <w:sz w:val="21"/>
                <w:szCs w:val="21"/>
              </w:rPr>
            </w:pPr>
            <w:r>
              <w:rPr>
                <w:color w:val="auto"/>
                <w:sz w:val="21"/>
                <w:szCs w:val="21"/>
              </w:rPr>
              <w:t>项目现有厂区内已建设一座</w:t>
            </w:r>
            <w:r>
              <w:rPr>
                <w:rFonts w:hint="eastAsia"/>
                <w:color w:val="auto"/>
                <w:sz w:val="21"/>
                <w:szCs w:val="21"/>
              </w:rPr>
              <w:t>13</w:t>
            </w:r>
            <w:r>
              <w:rPr>
                <w:color w:val="auto"/>
                <w:sz w:val="21"/>
                <w:szCs w:val="21"/>
              </w:rPr>
              <w:t>0m</w:t>
            </w:r>
            <w:r>
              <w:rPr>
                <w:color w:val="auto"/>
                <w:sz w:val="21"/>
                <w:szCs w:val="21"/>
                <w:vertAlign w:val="superscript"/>
              </w:rPr>
              <w:t>3</w:t>
            </w:r>
            <w:r>
              <w:rPr>
                <w:color w:val="auto"/>
                <w:sz w:val="21"/>
                <w:szCs w:val="21"/>
              </w:rPr>
              <w:t>的应急事故池，可满足事故排放蓄水或消防废水收集的要求；且厂区内已建有消防水池，正常情况下可满足消防用水量储存需求。厂区雨水排口处已建设截流阀，事故发生时，厂区内应立即停止生产，并关闭雨水排放口前阀门，同时打开事故应急池前阀门，因此一旦发生事故时，雨水管网兼做应急事故废水管网，消防废水通过雨水管网进入事故应急池，实现对事故废水的有效收集。厂区的应急收集池容量设置合理，若发生泄漏和火灾、爆炸事故时，泄漏物料和消防废水直接排放的可能性极小，其环境风险不大。</w:t>
            </w:r>
          </w:p>
          <w:p w14:paraId="1751D014">
            <w:pPr>
              <w:pStyle w:val="8"/>
              <w:widowControl/>
              <w:adjustRightInd w:val="0"/>
              <w:snapToGrid w:val="0"/>
              <w:spacing w:line="360" w:lineRule="auto"/>
              <w:ind w:firstLine="422" w:firstLineChars="200"/>
              <w:rPr>
                <w:b/>
                <w:bCs/>
                <w:szCs w:val="21"/>
              </w:rPr>
            </w:pPr>
            <w:r>
              <w:rPr>
                <w:b/>
                <w:szCs w:val="21"/>
              </w:rPr>
              <w:t>5）</w:t>
            </w:r>
            <w:r>
              <w:rPr>
                <w:b/>
                <w:bCs/>
                <w:szCs w:val="21"/>
              </w:rPr>
              <w:t>突发事故对策和应急预案</w:t>
            </w:r>
          </w:p>
          <w:p w14:paraId="479DBEF4">
            <w:pPr>
              <w:adjustRightInd w:val="0"/>
              <w:snapToGrid w:val="0"/>
              <w:spacing w:line="360" w:lineRule="auto"/>
              <w:ind w:firstLine="420" w:firstLineChars="200"/>
              <w:rPr>
                <w:szCs w:val="21"/>
              </w:rPr>
            </w:pPr>
            <w:r>
              <w:rPr>
                <w:szCs w:val="21"/>
              </w:rPr>
              <w:t>企业现有项目已按照《企事业单位和工业园区突发环境事件应急预案编制导则》（DB32/T3795-2020）的通知要求编制突发环境事件应急预案并已取得备案。企业应按照应急预案要求定期组织学习事故应急预案和演练，根据演习情况结合实际对预案进行适当修改；应急队伍要进行专业培训，并要有培训记录和档案；同时，加强各应急救援专业队伍的建设，配备相应器材并确保设备性能完好，保证与各级应急预案相衔接与联动有效，接受上级应急机构的指导。针对应急救援，企业已配备相应的应急救援物资，一旦出现突发事故须按应急预案方案进行紧急处理。建设单位必须严格管理，配备相应的应急设施，采取一系列严密的应急防范措施，制定切实可行的消防及安全应急预案，并加强职工的安全防范意识。</w:t>
            </w:r>
          </w:p>
          <w:p w14:paraId="489AC5A3">
            <w:pPr>
              <w:pStyle w:val="8"/>
              <w:adjustRightInd w:val="0"/>
              <w:snapToGrid w:val="0"/>
              <w:spacing w:line="360" w:lineRule="auto"/>
              <w:ind w:firstLine="420" w:firstLineChars="200"/>
              <w:rPr>
                <w:b/>
                <w:szCs w:val="21"/>
              </w:rPr>
            </w:pPr>
            <w:r>
              <w:rPr>
                <w:bCs/>
                <w:szCs w:val="21"/>
              </w:rPr>
              <w:t>企业现有厂区内已建设一座应急事故池及消防水池，且厂区内已配备相应应急物资、建立相应应急管理制度，可对突发环境事件及时作出响应。当企业内部力量不足时，应立即向江苏省金坛华罗庚高新技术产业开发区汇报情况并请求支援，在必要情况下园区可提供应急救援队伍、应急物资和装备等，支持现场应急救援及处置工作。</w:t>
            </w:r>
          </w:p>
          <w:p w14:paraId="3AFD5668">
            <w:pPr>
              <w:pStyle w:val="8"/>
              <w:adjustRightInd w:val="0"/>
              <w:snapToGrid w:val="0"/>
              <w:spacing w:line="360" w:lineRule="auto"/>
              <w:ind w:firstLine="422" w:firstLineChars="200"/>
              <w:rPr>
                <w:b/>
                <w:szCs w:val="21"/>
              </w:rPr>
            </w:pPr>
            <w:r>
              <w:rPr>
                <w:b/>
                <w:szCs w:val="21"/>
              </w:rPr>
              <w:t>（3）环境风险分析结论</w:t>
            </w:r>
          </w:p>
          <w:p w14:paraId="519D8B6A">
            <w:pPr>
              <w:adjustRightInd w:val="0"/>
              <w:snapToGrid w:val="0"/>
              <w:spacing w:line="360" w:lineRule="auto"/>
              <w:ind w:firstLine="420" w:firstLineChars="200"/>
              <w:rPr>
                <w:szCs w:val="21"/>
              </w:rPr>
            </w:pPr>
            <w:r>
              <w:rPr>
                <w:szCs w:val="21"/>
              </w:rPr>
              <w:t>综上所述，项目厂区应设立风险防范措施，最大限度防止风险事故的发生并进行有效处置，结合企业在下一步设计、运营过程中不断制定和完善的风险防范和应急措施，将发生环境风险的可能性降至最低。在各环境风险防范措施落实到位的情况下，可降低本项目的环境风险，最大程度减少对环境可能造成的危害。</w:t>
            </w:r>
          </w:p>
          <w:p w14:paraId="741AA277">
            <w:pPr>
              <w:pStyle w:val="5"/>
              <w:adjustRightInd w:val="0"/>
              <w:snapToGrid w:val="0"/>
              <w:spacing w:line="360" w:lineRule="auto"/>
              <w:ind w:firstLine="420"/>
              <w:rPr>
                <w:szCs w:val="21"/>
              </w:rPr>
            </w:pPr>
            <w:r>
              <w:rPr>
                <w:szCs w:val="21"/>
              </w:rPr>
              <w:t>企业环境风险简单分析见表4-33。</w:t>
            </w:r>
          </w:p>
          <w:p w14:paraId="12727630">
            <w:pPr>
              <w:pStyle w:val="5"/>
              <w:adjustRightInd w:val="0"/>
              <w:snapToGrid w:val="0"/>
              <w:ind w:firstLine="0" w:firstLineChars="0"/>
              <w:jc w:val="center"/>
              <w:rPr>
                <w:b/>
                <w:bCs/>
                <w:szCs w:val="21"/>
              </w:rPr>
            </w:pPr>
            <w:r>
              <w:rPr>
                <w:b/>
                <w:bCs/>
                <w:szCs w:val="21"/>
              </w:rPr>
              <w:t>表4-33  建设项目环境风险简单分析内容表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725"/>
              <w:gridCol w:w="1189"/>
              <w:gridCol w:w="1268"/>
              <w:gridCol w:w="1160"/>
              <w:gridCol w:w="941"/>
              <w:gridCol w:w="2262"/>
            </w:tblGrid>
            <w:tr w14:paraId="6CCD7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5" w:type="dxa"/>
                  <w:tcBorders>
                    <w:top w:val="single" w:color="auto" w:sz="12" w:space="0"/>
                    <w:left w:val="nil"/>
                    <w:bottom w:val="single" w:color="auto" w:sz="4" w:space="0"/>
                    <w:right w:val="single" w:color="auto" w:sz="4" w:space="0"/>
                  </w:tcBorders>
                  <w:vAlign w:val="center"/>
                </w:tcPr>
                <w:p w14:paraId="60451706">
                  <w:pPr>
                    <w:pStyle w:val="8"/>
                    <w:jc w:val="center"/>
                    <w:rPr>
                      <w:b/>
                      <w:szCs w:val="21"/>
                    </w:rPr>
                  </w:pPr>
                  <w:r>
                    <w:rPr>
                      <w:b/>
                      <w:szCs w:val="21"/>
                    </w:rPr>
                    <w:t>建设项目名称</w:t>
                  </w:r>
                </w:p>
              </w:tc>
              <w:tc>
                <w:tcPr>
                  <w:tcW w:w="6820" w:type="dxa"/>
                  <w:gridSpan w:val="5"/>
                  <w:tcBorders>
                    <w:top w:val="single" w:color="auto" w:sz="12" w:space="0"/>
                    <w:left w:val="single" w:color="auto" w:sz="4" w:space="0"/>
                    <w:bottom w:val="single" w:color="auto" w:sz="4" w:space="0"/>
                    <w:right w:val="nil"/>
                  </w:tcBorders>
                  <w:vAlign w:val="center"/>
                </w:tcPr>
                <w:p w14:paraId="2B10BA6A">
                  <w:pPr>
                    <w:pStyle w:val="8"/>
                    <w:jc w:val="center"/>
                    <w:rPr>
                      <w:b/>
                      <w:szCs w:val="21"/>
                    </w:rPr>
                  </w:pPr>
                  <w:r>
                    <w:rPr>
                      <w:b/>
                      <w:szCs w:val="21"/>
                    </w:rPr>
                    <w:t>常州朗博密封科技股份有限公司新建新能源汽车配套橡胶功能件项目</w:t>
                  </w:r>
                </w:p>
              </w:tc>
            </w:tr>
            <w:tr w14:paraId="5EB0E0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5" w:type="dxa"/>
                  <w:tcBorders>
                    <w:top w:val="single" w:color="auto" w:sz="4" w:space="0"/>
                    <w:left w:val="nil"/>
                    <w:bottom w:val="single" w:color="auto" w:sz="4" w:space="0"/>
                    <w:right w:val="single" w:color="auto" w:sz="4" w:space="0"/>
                  </w:tcBorders>
                  <w:vAlign w:val="center"/>
                </w:tcPr>
                <w:p w14:paraId="6D3BFA5F">
                  <w:pPr>
                    <w:pStyle w:val="8"/>
                    <w:jc w:val="center"/>
                    <w:rPr>
                      <w:szCs w:val="21"/>
                    </w:rPr>
                  </w:pPr>
                  <w:r>
                    <w:rPr>
                      <w:szCs w:val="21"/>
                    </w:rPr>
                    <w:t>建设地点</w:t>
                  </w:r>
                </w:p>
              </w:tc>
              <w:tc>
                <w:tcPr>
                  <w:tcW w:w="1189" w:type="dxa"/>
                  <w:tcBorders>
                    <w:top w:val="single" w:color="auto" w:sz="4" w:space="0"/>
                    <w:left w:val="single" w:color="auto" w:sz="4" w:space="0"/>
                    <w:bottom w:val="single" w:color="auto" w:sz="4" w:space="0"/>
                    <w:right w:val="single" w:color="auto" w:sz="4" w:space="0"/>
                  </w:tcBorders>
                  <w:vAlign w:val="center"/>
                </w:tcPr>
                <w:p w14:paraId="3319EC5F">
                  <w:pPr>
                    <w:pStyle w:val="8"/>
                    <w:jc w:val="center"/>
                    <w:rPr>
                      <w:szCs w:val="21"/>
                    </w:rPr>
                  </w:pPr>
                  <w:r>
                    <w:rPr>
                      <w:szCs w:val="21"/>
                    </w:rPr>
                    <w:t>（江苏）省</w:t>
                  </w:r>
                </w:p>
              </w:tc>
              <w:tc>
                <w:tcPr>
                  <w:tcW w:w="1268" w:type="dxa"/>
                  <w:tcBorders>
                    <w:top w:val="single" w:color="auto" w:sz="4" w:space="0"/>
                    <w:left w:val="single" w:color="auto" w:sz="4" w:space="0"/>
                    <w:bottom w:val="single" w:color="auto" w:sz="4" w:space="0"/>
                    <w:right w:val="single" w:color="auto" w:sz="4" w:space="0"/>
                  </w:tcBorders>
                  <w:vAlign w:val="center"/>
                </w:tcPr>
                <w:p w14:paraId="3961F420">
                  <w:pPr>
                    <w:pStyle w:val="8"/>
                    <w:jc w:val="center"/>
                    <w:rPr>
                      <w:szCs w:val="21"/>
                    </w:rPr>
                  </w:pPr>
                  <w:r>
                    <w:rPr>
                      <w:szCs w:val="21"/>
                    </w:rPr>
                    <w:t>（常州）市</w:t>
                  </w:r>
                </w:p>
              </w:tc>
              <w:tc>
                <w:tcPr>
                  <w:tcW w:w="1160" w:type="dxa"/>
                  <w:tcBorders>
                    <w:top w:val="single" w:color="auto" w:sz="4" w:space="0"/>
                    <w:left w:val="single" w:color="auto" w:sz="4" w:space="0"/>
                    <w:bottom w:val="single" w:color="auto" w:sz="4" w:space="0"/>
                    <w:right w:val="single" w:color="auto" w:sz="4" w:space="0"/>
                  </w:tcBorders>
                  <w:vAlign w:val="center"/>
                </w:tcPr>
                <w:p w14:paraId="738C1B37">
                  <w:pPr>
                    <w:pStyle w:val="8"/>
                    <w:jc w:val="center"/>
                    <w:rPr>
                      <w:szCs w:val="21"/>
                    </w:rPr>
                  </w:pPr>
                  <w:r>
                    <w:rPr>
                      <w:szCs w:val="21"/>
                    </w:rPr>
                    <w:t>（金坛）区</w:t>
                  </w:r>
                </w:p>
              </w:tc>
              <w:tc>
                <w:tcPr>
                  <w:tcW w:w="941" w:type="dxa"/>
                  <w:tcBorders>
                    <w:top w:val="single" w:color="auto" w:sz="4" w:space="0"/>
                    <w:left w:val="single" w:color="auto" w:sz="4" w:space="0"/>
                    <w:bottom w:val="single" w:color="auto" w:sz="4" w:space="0"/>
                    <w:right w:val="single" w:color="auto" w:sz="4" w:space="0"/>
                  </w:tcBorders>
                  <w:vAlign w:val="center"/>
                </w:tcPr>
                <w:p w14:paraId="7C752CE5">
                  <w:pPr>
                    <w:pStyle w:val="8"/>
                    <w:jc w:val="center"/>
                    <w:rPr>
                      <w:szCs w:val="21"/>
                    </w:rPr>
                  </w:pPr>
                  <w:r>
                    <w:rPr>
                      <w:szCs w:val="21"/>
                    </w:rPr>
                    <w:t>（/）县</w:t>
                  </w:r>
                </w:p>
              </w:tc>
              <w:tc>
                <w:tcPr>
                  <w:tcW w:w="2262" w:type="dxa"/>
                  <w:tcBorders>
                    <w:top w:val="single" w:color="auto" w:sz="4" w:space="0"/>
                    <w:left w:val="single" w:color="auto" w:sz="4" w:space="0"/>
                    <w:bottom w:val="single" w:color="auto" w:sz="4" w:space="0"/>
                    <w:right w:val="nil"/>
                  </w:tcBorders>
                  <w:vAlign w:val="center"/>
                </w:tcPr>
                <w:p w14:paraId="75229098">
                  <w:pPr>
                    <w:pStyle w:val="8"/>
                    <w:jc w:val="center"/>
                    <w:rPr>
                      <w:szCs w:val="21"/>
                    </w:rPr>
                  </w:pPr>
                  <w:r>
                    <w:rPr>
                      <w:szCs w:val="21"/>
                    </w:rPr>
                    <w:t>（江苏省金坛华罗庚高新技术产业开发区）园区</w:t>
                  </w:r>
                </w:p>
              </w:tc>
            </w:tr>
            <w:tr w14:paraId="7CFA32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5" w:type="dxa"/>
                  <w:tcBorders>
                    <w:top w:val="single" w:color="auto" w:sz="4" w:space="0"/>
                    <w:left w:val="nil"/>
                    <w:bottom w:val="single" w:color="auto" w:sz="4" w:space="0"/>
                    <w:right w:val="single" w:color="auto" w:sz="4" w:space="0"/>
                  </w:tcBorders>
                  <w:vAlign w:val="center"/>
                </w:tcPr>
                <w:p w14:paraId="25E2EE0C">
                  <w:pPr>
                    <w:pStyle w:val="8"/>
                    <w:jc w:val="center"/>
                    <w:rPr>
                      <w:szCs w:val="21"/>
                    </w:rPr>
                  </w:pPr>
                  <w:r>
                    <w:rPr>
                      <w:szCs w:val="21"/>
                    </w:rPr>
                    <w:t>地理坐标</w:t>
                  </w:r>
                </w:p>
              </w:tc>
              <w:tc>
                <w:tcPr>
                  <w:tcW w:w="6820" w:type="dxa"/>
                  <w:gridSpan w:val="5"/>
                  <w:tcBorders>
                    <w:top w:val="single" w:color="auto" w:sz="4" w:space="0"/>
                    <w:left w:val="single" w:color="auto" w:sz="4" w:space="0"/>
                    <w:bottom w:val="single" w:color="auto" w:sz="4" w:space="0"/>
                    <w:right w:val="nil"/>
                  </w:tcBorders>
                  <w:vAlign w:val="center"/>
                </w:tcPr>
                <w:p w14:paraId="387E5338">
                  <w:pPr>
                    <w:jc w:val="center"/>
                    <w:rPr>
                      <w:szCs w:val="21"/>
                    </w:rPr>
                  </w:pPr>
                  <w:r>
                    <w:rPr>
                      <w:szCs w:val="21"/>
                    </w:rPr>
                    <w:t>E119.</w:t>
                  </w:r>
                  <w:r>
                    <w:rPr>
                      <w:rFonts w:hint="eastAsia"/>
                      <w:szCs w:val="21"/>
                    </w:rPr>
                    <w:t>629399</w:t>
                  </w:r>
                  <w:bookmarkStart w:id="165" w:name="OLE_LINK87"/>
                  <w:bookmarkStart w:id="166" w:name="OLE_LINK88"/>
                  <w:r>
                    <w:rPr>
                      <w:rFonts w:hint="eastAsia" w:ascii="宋体" w:hAnsi="宋体"/>
                      <w:szCs w:val="21"/>
                    </w:rPr>
                    <w:t>°</w:t>
                  </w:r>
                  <w:bookmarkEnd w:id="165"/>
                  <w:bookmarkEnd w:id="166"/>
                  <w:r>
                    <w:rPr>
                      <w:szCs w:val="21"/>
                    </w:rPr>
                    <w:t>，N</w:t>
                  </w:r>
                  <w:r>
                    <w:rPr>
                      <w:kern w:val="18"/>
                      <w:szCs w:val="21"/>
                    </w:rPr>
                    <w:t>31.</w:t>
                  </w:r>
                  <w:r>
                    <w:rPr>
                      <w:rFonts w:hint="eastAsia"/>
                      <w:kern w:val="18"/>
                      <w:szCs w:val="21"/>
                    </w:rPr>
                    <w:t>669629</w:t>
                  </w:r>
                  <w:r>
                    <w:rPr>
                      <w:rFonts w:hint="eastAsia" w:ascii="宋体" w:hAnsi="宋体"/>
                      <w:szCs w:val="21"/>
                    </w:rPr>
                    <w:t>°</w:t>
                  </w:r>
                </w:p>
              </w:tc>
            </w:tr>
            <w:tr w14:paraId="703CF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5" w:type="dxa"/>
                  <w:tcBorders>
                    <w:top w:val="single" w:color="auto" w:sz="4" w:space="0"/>
                    <w:left w:val="nil"/>
                    <w:bottom w:val="single" w:color="auto" w:sz="4" w:space="0"/>
                    <w:right w:val="single" w:color="auto" w:sz="4" w:space="0"/>
                  </w:tcBorders>
                  <w:vAlign w:val="center"/>
                </w:tcPr>
                <w:p w14:paraId="2FFC5B48">
                  <w:pPr>
                    <w:pStyle w:val="8"/>
                    <w:jc w:val="center"/>
                    <w:rPr>
                      <w:szCs w:val="21"/>
                    </w:rPr>
                  </w:pPr>
                  <w:r>
                    <w:rPr>
                      <w:szCs w:val="21"/>
                    </w:rPr>
                    <w:t>主要危险物质及分布</w:t>
                  </w:r>
                </w:p>
              </w:tc>
              <w:tc>
                <w:tcPr>
                  <w:tcW w:w="6820" w:type="dxa"/>
                  <w:gridSpan w:val="5"/>
                  <w:tcBorders>
                    <w:top w:val="single" w:color="auto" w:sz="4" w:space="0"/>
                    <w:left w:val="single" w:color="auto" w:sz="4" w:space="0"/>
                    <w:bottom w:val="single" w:color="auto" w:sz="4" w:space="0"/>
                    <w:right w:val="nil"/>
                  </w:tcBorders>
                  <w:vAlign w:val="center"/>
                </w:tcPr>
                <w:p w14:paraId="66712C3F">
                  <w:pPr>
                    <w:pStyle w:val="8"/>
                    <w:jc w:val="center"/>
                    <w:rPr>
                      <w:szCs w:val="21"/>
                    </w:rPr>
                  </w:pPr>
                  <w:r>
                    <w:rPr>
                      <w:szCs w:val="21"/>
                    </w:rPr>
                    <w:t>各类橡胶原料、油类物质、胶黏剂等位于原料仓库、化学品仓库及生产装置区域；危险废物位于危险废物仓库</w:t>
                  </w:r>
                </w:p>
              </w:tc>
            </w:tr>
            <w:tr w14:paraId="2E72A8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5" w:type="dxa"/>
                  <w:tcBorders>
                    <w:top w:val="single" w:color="auto" w:sz="4" w:space="0"/>
                    <w:left w:val="nil"/>
                    <w:bottom w:val="single" w:color="auto" w:sz="4" w:space="0"/>
                    <w:right w:val="single" w:color="auto" w:sz="4" w:space="0"/>
                  </w:tcBorders>
                  <w:vAlign w:val="center"/>
                </w:tcPr>
                <w:p w14:paraId="3DA44BF0">
                  <w:pPr>
                    <w:pStyle w:val="8"/>
                    <w:jc w:val="center"/>
                    <w:rPr>
                      <w:szCs w:val="21"/>
                    </w:rPr>
                  </w:pPr>
                  <w:r>
                    <w:rPr>
                      <w:szCs w:val="21"/>
                    </w:rPr>
                    <w:t>环境影响途径及危害后果</w:t>
                  </w:r>
                </w:p>
              </w:tc>
              <w:tc>
                <w:tcPr>
                  <w:tcW w:w="6820" w:type="dxa"/>
                  <w:gridSpan w:val="5"/>
                  <w:tcBorders>
                    <w:top w:val="single" w:color="auto" w:sz="4" w:space="0"/>
                    <w:left w:val="single" w:color="auto" w:sz="4" w:space="0"/>
                    <w:bottom w:val="single" w:color="auto" w:sz="4" w:space="0"/>
                    <w:right w:val="nil"/>
                  </w:tcBorders>
                  <w:vAlign w:val="center"/>
                </w:tcPr>
                <w:p w14:paraId="6A35E823">
                  <w:pPr>
                    <w:snapToGrid w:val="0"/>
                    <w:jc w:val="center"/>
                    <w:outlineLvl w:val="3"/>
                    <w:rPr>
                      <w:szCs w:val="21"/>
                    </w:rPr>
                  </w:pPr>
                  <w:r>
                    <w:rPr>
                      <w:szCs w:val="21"/>
                    </w:rPr>
                    <w:t>在发生火灾的情况下可燃物质燃烧会产生有毒有害气体危害大气环境，泄漏情况下危害土壤、地下水环境</w:t>
                  </w:r>
                </w:p>
              </w:tc>
            </w:tr>
            <w:tr w14:paraId="184672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725" w:type="dxa"/>
                  <w:tcBorders>
                    <w:top w:val="single" w:color="auto" w:sz="4" w:space="0"/>
                    <w:left w:val="nil"/>
                    <w:bottom w:val="single" w:color="auto" w:sz="4" w:space="0"/>
                    <w:right w:val="single" w:color="auto" w:sz="4" w:space="0"/>
                  </w:tcBorders>
                  <w:vAlign w:val="center"/>
                </w:tcPr>
                <w:p w14:paraId="468E313A">
                  <w:pPr>
                    <w:pStyle w:val="8"/>
                    <w:jc w:val="center"/>
                    <w:rPr>
                      <w:szCs w:val="21"/>
                    </w:rPr>
                  </w:pPr>
                  <w:r>
                    <w:rPr>
                      <w:szCs w:val="21"/>
                    </w:rPr>
                    <w:t>风险防范措施要求</w:t>
                  </w:r>
                </w:p>
              </w:tc>
              <w:tc>
                <w:tcPr>
                  <w:tcW w:w="6820" w:type="dxa"/>
                  <w:gridSpan w:val="5"/>
                  <w:tcBorders>
                    <w:top w:val="single" w:color="auto" w:sz="4" w:space="0"/>
                    <w:left w:val="single" w:color="auto" w:sz="4" w:space="0"/>
                    <w:bottom w:val="single" w:color="auto" w:sz="4" w:space="0"/>
                    <w:right w:val="nil"/>
                  </w:tcBorders>
                  <w:vAlign w:val="center"/>
                </w:tcPr>
                <w:p w14:paraId="70E1CAEC">
                  <w:pPr>
                    <w:pStyle w:val="8"/>
                    <w:jc w:val="center"/>
                    <w:rPr>
                      <w:szCs w:val="21"/>
                    </w:rPr>
                  </w:pPr>
                  <w:r>
                    <w:rPr>
                      <w:szCs w:val="21"/>
                    </w:rPr>
                    <w:t>定期检查液态原料包装是否完整、有无破损等情况，坚决禁止生产过程中吸烟、点明火等行为，厂区内配置消防器材等应急物资</w:t>
                  </w:r>
                </w:p>
              </w:tc>
            </w:tr>
            <w:tr w14:paraId="593CB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45" w:type="dxa"/>
                  <w:gridSpan w:val="6"/>
                  <w:tcBorders>
                    <w:top w:val="single" w:color="auto" w:sz="4" w:space="0"/>
                    <w:left w:val="nil"/>
                    <w:bottom w:val="single" w:color="auto" w:sz="12" w:space="0"/>
                    <w:right w:val="nil"/>
                  </w:tcBorders>
                  <w:vAlign w:val="center"/>
                </w:tcPr>
                <w:p w14:paraId="43A5B238">
                  <w:pPr>
                    <w:pStyle w:val="8"/>
                    <w:jc w:val="center"/>
                    <w:rPr>
                      <w:szCs w:val="21"/>
                    </w:rPr>
                  </w:pPr>
                  <w:r>
                    <w:rPr>
                      <w:szCs w:val="21"/>
                    </w:rPr>
                    <w:t>填表说明：无</w:t>
                  </w:r>
                </w:p>
              </w:tc>
            </w:tr>
          </w:tbl>
          <w:p w14:paraId="789B7F60">
            <w:pPr>
              <w:pStyle w:val="64"/>
              <w:adjustRightInd w:val="0"/>
              <w:snapToGrid w:val="0"/>
              <w:spacing w:line="360" w:lineRule="auto"/>
              <w:ind w:firstLine="0" w:firstLineChars="0"/>
              <w:jc w:val="both"/>
              <w:rPr>
                <w:rFonts w:eastAsia="宋体"/>
                <w:sz w:val="21"/>
                <w:szCs w:val="21"/>
              </w:rPr>
            </w:pPr>
          </w:p>
          <w:p w14:paraId="0CBB1868">
            <w:pPr>
              <w:pStyle w:val="64"/>
              <w:adjustRightInd w:val="0"/>
              <w:snapToGrid w:val="0"/>
              <w:spacing w:line="360" w:lineRule="auto"/>
              <w:ind w:firstLine="0" w:firstLineChars="0"/>
              <w:jc w:val="both"/>
              <w:rPr>
                <w:rFonts w:eastAsia="宋体"/>
                <w:sz w:val="21"/>
                <w:szCs w:val="21"/>
              </w:rPr>
            </w:pPr>
          </w:p>
          <w:p w14:paraId="22E621DC">
            <w:pPr>
              <w:pStyle w:val="64"/>
              <w:adjustRightInd w:val="0"/>
              <w:snapToGrid w:val="0"/>
              <w:spacing w:line="360" w:lineRule="auto"/>
              <w:ind w:firstLine="0" w:firstLineChars="0"/>
              <w:jc w:val="both"/>
              <w:rPr>
                <w:rFonts w:eastAsia="宋体"/>
                <w:sz w:val="21"/>
                <w:szCs w:val="21"/>
              </w:rPr>
            </w:pPr>
          </w:p>
          <w:p w14:paraId="607B6B51">
            <w:pPr>
              <w:pStyle w:val="64"/>
              <w:adjustRightInd w:val="0"/>
              <w:snapToGrid w:val="0"/>
              <w:spacing w:line="360" w:lineRule="auto"/>
              <w:ind w:firstLine="0" w:firstLineChars="0"/>
              <w:jc w:val="both"/>
              <w:rPr>
                <w:rFonts w:eastAsia="宋体"/>
                <w:sz w:val="21"/>
                <w:szCs w:val="21"/>
              </w:rPr>
            </w:pPr>
          </w:p>
          <w:p w14:paraId="32C0EA19">
            <w:pPr>
              <w:pStyle w:val="64"/>
              <w:adjustRightInd w:val="0"/>
              <w:snapToGrid w:val="0"/>
              <w:spacing w:line="360" w:lineRule="auto"/>
              <w:ind w:firstLine="0" w:firstLineChars="0"/>
              <w:jc w:val="both"/>
              <w:rPr>
                <w:rFonts w:eastAsia="宋体"/>
                <w:sz w:val="21"/>
                <w:szCs w:val="21"/>
              </w:rPr>
            </w:pPr>
          </w:p>
          <w:p w14:paraId="671D4556">
            <w:pPr>
              <w:pStyle w:val="64"/>
              <w:adjustRightInd w:val="0"/>
              <w:snapToGrid w:val="0"/>
              <w:spacing w:line="360" w:lineRule="auto"/>
              <w:ind w:firstLine="0" w:firstLineChars="0"/>
              <w:jc w:val="both"/>
              <w:rPr>
                <w:rFonts w:eastAsia="宋体"/>
                <w:sz w:val="21"/>
                <w:szCs w:val="21"/>
              </w:rPr>
            </w:pPr>
          </w:p>
          <w:p w14:paraId="2BB5188B">
            <w:pPr>
              <w:pStyle w:val="64"/>
              <w:adjustRightInd w:val="0"/>
              <w:snapToGrid w:val="0"/>
              <w:spacing w:line="360" w:lineRule="auto"/>
              <w:ind w:firstLine="0" w:firstLineChars="0"/>
              <w:jc w:val="both"/>
              <w:rPr>
                <w:rFonts w:eastAsia="宋体"/>
                <w:sz w:val="21"/>
                <w:szCs w:val="21"/>
              </w:rPr>
            </w:pPr>
          </w:p>
          <w:p w14:paraId="68286FC8">
            <w:pPr>
              <w:pStyle w:val="64"/>
              <w:adjustRightInd w:val="0"/>
              <w:snapToGrid w:val="0"/>
              <w:spacing w:line="360" w:lineRule="auto"/>
              <w:ind w:firstLine="0" w:firstLineChars="0"/>
              <w:jc w:val="both"/>
              <w:rPr>
                <w:rFonts w:eastAsia="宋体"/>
                <w:sz w:val="21"/>
                <w:szCs w:val="21"/>
              </w:rPr>
            </w:pPr>
          </w:p>
          <w:p w14:paraId="53EB03E4">
            <w:pPr>
              <w:pStyle w:val="64"/>
              <w:adjustRightInd w:val="0"/>
              <w:snapToGrid w:val="0"/>
              <w:spacing w:line="360" w:lineRule="auto"/>
              <w:ind w:firstLine="0" w:firstLineChars="0"/>
              <w:jc w:val="both"/>
              <w:rPr>
                <w:rFonts w:eastAsia="宋体"/>
                <w:sz w:val="21"/>
                <w:szCs w:val="21"/>
              </w:rPr>
            </w:pPr>
          </w:p>
          <w:p w14:paraId="4A592FA2">
            <w:pPr>
              <w:pStyle w:val="64"/>
              <w:adjustRightInd w:val="0"/>
              <w:snapToGrid w:val="0"/>
              <w:spacing w:line="360" w:lineRule="auto"/>
              <w:ind w:firstLine="0" w:firstLineChars="0"/>
              <w:jc w:val="both"/>
              <w:rPr>
                <w:rFonts w:eastAsia="宋体"/>
                <w:sz w:val="21"/>
                <w:szCs w:val="21"/>
              </w:rPr>
            </w:pPr>
          </w:p>
          <w:p w14:paraId="5DA82A8F">
            <w:pPr>
              <w:pStyle w:val="64"/>
              <w:adjustRightInd w:val="0"/>
              <w:snapToGrid w:val="0"/>
              <w:spacing w:line="360" w:lineRule="auto"/>
              <w:ind w:firstLine="0" w:firstLineChars="0"/>
              <w:jc w:val="both"/>
              <w:rPr>
                <w:rFonts w:eastAsia="宋体"/>
                <w:sz w:val="21"/>
                <w:szCs w:val="21"/>
              </w:rPr>
            </w:pPr>
          </w:p>
          <w:p w14:paraId="01C99AA8">
            <w:pPr>
              <w:pStyle w:val="64"/>
              <w:adjustRightInd w:val="0"/>
              <w:snapToGrid w:val="0"/>
              <w:spacing w:line="360" w:lineRule="auto"/>
              <w:ind w:firstLine="0" w:firstLineChars="0"/>
              <w:jc w:val="both"/>
              <w:rPr>
                <w:rFonts w:eastAsia="宋体"/>
                <w:sz w:val="21"/>
                <w:szCs w:val="21"/>
              </w:rPr>
            </w:pPr>
          </w:p>
          <w:p w14:paraId="6C7EEC59">
            <w:pPr>
              <w:pStyle w:val="64"/>
              <w:adjustRightInd w:val="0"/>
              <w:snapToGrid w:val="0"/>
              <w:spacing w:line="360" w:lineRule="auto"/>
              <w:ind w:firstLine="0" w:firstLineChars="0"/>
              <w:jc w:val="both"/>
              <w:rPr>
                <w:rFonts w:eastAsia="宋体"/>
                <w:sz w:val="21"/>
                <w:szCs w:val="21"/>
              </w:rPr>
            </w:pPr>
          </w:p>
        </w:tc>
      </w:tr>
    </w:tbl>
    <w:p w14:paraId="4A731D4D">
      <w:pPr>
        <w:pStyle w:val="9"/>
        <w:rPr>
          <w:szCs w:val="21"/>
        </w:rPr>
        <w:sectPr>
          <w:pgSz w:w="11907" w:h="16840"/>
          <w:pgMar w:top="1701" w:right="1531" w:bottom="2127" w:left="1531" w:header="851" w:footer="851" w:gutter="0"/>
          <w:cols w:space="720" w:num="1"/>
          <w:docGrid w:linePitch="312" w:charSpace="0"/>
        </w:sectPr>
      </w:pPr>
    </w:p>
    <w:p w14:paraId="59BF91EB">
      <w:pPr>
        <w:pStyle w:val="21"/>
        <w:jc w:val="center"/>
        <w:outlineLvl w:val="0"/>
        <w:rPr>
          <w:rFonts w:ascii="Times New Roman" w:hAnsi="Times New Roman"/>
          <w:b/>
          <w:bCs/>
          <w:snapToGrid w:val="0"/>
          <w:szCs w:val="24"/>
        </w:rPr>
      </w:pPr>
      <w:bookmarkStart w:id="167" w:name="_Toc5914"/>
      <w:r>
        <w:rPr>
          <w:rFonts w:ascii="Times New Roman" w:hAnsi="Times New Roman"/>
          <w:b/>
          <w:bCs/>
          <w:snapToGrid w:val="0"/>
          <w:szCs w:val="24"/>
        </w:rPr>
        <w:t>五、</w:t>
      </w:r>
      <w:bookmarkStart w:id="168" w:name="_Hlk54167917"/>
      <w:r>
        <w:rPr>
          <w:rFonts w:ascii="Times New Roman" w:hAnsi="Times New Roman"/>
          <w:b/>
          <w:bCs/>
          <w:snapToGrid w:val="0"/>
          <w:szCs w:val="24"/>
        </w:rPr>
        <w:t>环境保护措施监督检查清单</w:t>
      </w:r>
      <w:bookmarkEnd w:id="167"/>
      <w:bookmarkEnd w:id="168"/>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64"/>
        <w:gridCol w:w="1349"/>
        <w:gridCol w:w="1955"/>
        <w:gridCol w:w="1916"/>
        <w:gridCol w:w="2916"/>
      </w:tblGrid>
      <w:tr w14:paraId="4F320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tcBorders>
              <w:tl2br w:val="single" w:color="auto" w:sz="4" w:space="0"/>
            </w:tcBorders>
            <w:vAlign w:val="center"/>
          </w:tcPr>
          <w:p w14:paraId="2CC7AED5">
            <w:pPr>
              <w:adjustRightInd w:val="0"/>
              <w:snapToGrid w:val="0"/>
              <w:jc w:val="center"/>
              <w:rPr>
                <w:b/>
                <w:bCs/>
                <w:szCs w:val="21"/>
              </w:rPr>
            </w:pPr>
            <w:r>
              <w:rPr>
                <w:b/>
                <w:bCs/>
                <w:szCs w:val="21"/>
              </w:rPr>
              <w:t xml:space="preserve">     内容</w:t>
            </w:r>
          </w:p>
          <w:p w14:paraId="04554BEA">
            <w:pPr>
              <w:adjustRightInd w:val="0"/>
              <w:snapToGrid w:val="0"/>
              <w:rPr>
                <w:b/>
                <w:bCs/>
                <w:szCs w:val="21"/>
              </w:rPr>
            </w:pPr>
            <w:r>
              <w:rPr>
                <w:b/>
                <w:bCs/>
                <w:szCs w:val="21"/>
              </w:rPr>
              <w:t>要素</w:t>
            </w:r>
          </w:p>
        </w:tc>
        <w:tc>
          <w:tcPr>
            <w:tcW w:w="1349" w:type="dxa"/>
            <w:vAlign w:val="center"/>
          </w:tcPr>
          <w:p w14:paraId="65D646BE">
            <w:pPr>
              <w:adjustRightInd w:val="0"/>
              <w:snapToGrid w:val="0"/>
              <w:jc w:val="center"/>
              <w:rPr>
                <w:b/>
                <w:bCs/>
                <w:szCs w:val="21"/>
              </w:rPr>
            </w:pPr>
            <w:r>
              <w:rPr>
                <w:b/>
                <w:bCs/>
                <w:szCs w:val="21"/>
              </w:rPr>
              <w:t>排放口(编号、名称)/污染源</w:t>
            </w:r>
          </w:p>
        </w:tc>
        <w:tc>
          <w:tcPr>
            <w:tcW w:w="1955" w:type="dxa"/>
            <w:vAlign w:val="center"/>
          </w:tcPr>
          <w:p w14:paraId="5F7837BB">
            <w:pPr>
              <w:adjustRightInd w:val="0"/>
              <w:snapToGrid w:val="0"/>
              <w:jc w:val="center"/>
              <w:rPr>
                <w:b/>
                <w:bCs/>
                <w:szCs w:val="21"/>
              </w:rPr>
            </w:pPr>
            <w:r>
              <w:rPr>
                <w:b/>
                <w:bCs/>
                <w:szCs w:val="21"/>
              </w:rPr>
              <w:t>污染物项目</w:t>
            </w:r>
          </w:p>
        </w:tc>
        <w:tc>
          <w:tcPr>
            <w:tcW w:w="1916" w:type="dxa"/>
            <w:vAlign w:val="center"/>
          </w:tcPr>
          <w:p w14:paraId="0FF50A2F">
            <w:pPr>
              <w:adjustRightInd w:val="0"/>
              <w:snapToGrid w:val="0"/>
              <w:jc w:val="center"/>
              <w:rPr>
                <w:b/>
                <w:bCs/>
                <w:szCs w:val="21"/>
              </w:rPr>
            </w:pPr>
            <w:r>
              <w:rPr>
                <w:b/>
                <w:bCs/>
                <w:szCs w:val="21"/>
              </w:rPr>
              <w:t>环境保护措施</w:t>
            </w:r>
          </w:p>
        </w:tc>
        <w:tc>
          <w:tcPr>
            <w:tcW w:w="2916" w:type="dxa"/>
            <w:vAlign w:val="center"/>
          </w:tcPr>
          <w:p w14:paraId="6C234883">
            <w:pPr>
              <w:adjustRightInd w:val="0"/>
              <w:snapToGrid w:val="0"/>
              <w:jc w:val="center"/>
              <w:rPr>
                <w:b/>
                <w:bCs/>
                <w:szCs w:val="21"/>
              </w:rPr>
            </w:pPr>
            <w:r>
              <w:rPr>
                <w:b/>
                <w:bCs/>
                <w:szCs w:val="21"/>
              </w:rPr>
              <w:t>执行标准</w:t>
            </w:r>
          </w:p>
        </w:tc>
      </w:tr>
      <w:tr w14:paraId="64492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restart"/>
            <w:vAlign w:val="center"/>
          </w:tcPr>
          <w:p w14:paraId="4C17B6BC">
            <w:pPr>
              <w:adjustRightInd w:val="0"/>
              <w:snapToGrid w:val="0"/>
              <w:jc w:val="center"/>
              <w:rPr>
                <w:szCs w:val="21"/>
              </w:rPr>
            </w:pPr>
            <w:bookmarkStart w:id="169" w:name="_Hlk201475923"/>
            <w:r>
              <w:rPr>
                <w:szCs w:val="21"/>
              </w:rPr>
              <w:t>大气环境</w:t>
            </w:r>
          </w:p>
        </w:tc>
        <w:tc>
          <w:tcPr>
            <w:tcW w:w="1349" w:type="dxa"/>
            <w:vAlign w:val="center"/>
          </w:tcPr>
          <w:p w14:paraId="566CE6EB">
            <w:pPr>
              <w:adjustRightInd w:val="0"/>
              <w:snapToGrid w:val="0"/>
              <w:jc w:val="center"/>
              <w:rPr>
                <w:szCs w:val="21"/>
              </w:rPr>
            </w:pPr>
            <w:r>
              <w:rPr>
                <w:szCs w:val="21"/>
              </w:rPr>
              <w:t>1#排气筒</w:t>
            </w:r>
          </w:p>
        </w:tc>
        <w:tc>
          <w:tcPr>
            <w:tcW w:w="1955" w:type="dxa"/>
            <w:tcBorders>
              <w:bottom w:val="single" w:color="auto" w:sz="4" w:space="0"/>
            </w:tcBorders>
            <w:vAlign w:val="center"/>
          </w:tcPr>
          <w:p w14:paraId="2A20F988">
            <w:pPr>
              <w:adjustRightInd w:val="0"/>
              <w:snapToGrid w:val="0"/>
              <w:jc w:val="center"/>
              <w:rPr>
                <w:szCs w:val="21"/>
              </w:rPr>
            </w:pPr>
            <w:r>
              <w:rPr>
                <w:rFonts w:hint="eastAsia"/>
                <w:szCs w:val="21"/>
              </w:rPr>
              <w:t>非甲烷总烃、</w:t>
            </w:r>
            <w:r>
              <w:rPr>
                <w:szCs w:val="21"/>
              </w:rPr>
              <w:t>H</w:t>
            </w:r>
            <w:r>
              <w:rPr>
                <w:szCs w:val="21"/>
                <w:vertAlign w:val="subscript"/>
              </w:rPr>
              <w:t>2</w:t>
            </w:r>
            <w:r>
              <w:rPr>
                <w:szCs w:val="21"/>
              </w:rPr>
              <w:t>S</w:t>
            </w:r>
            <w:r>
              <w:rPr>
                <w:rFonts w:hint="eastAsia"/>
                <w:szCs w:val="21"/>
              </w:rPr>
              <w:t>、氟化物</w:t>
            </w:r>
            <w:r>
              <w:rPr>
                <w:szCs w:val="21"/>
              </w:rPr>
              <w:t>、丙烯腈</w:t>
            </w:r>
          </w:p>
        </w:tc>
        <w:tc>
          <w:tcPr>
            <w:tcW w:w="1916" w:type="dxa"/>
            <w:vAlign w:val="center"/>
          </w:tcPr>
          <w:p w14:paraId="1B57723D">
            <w:pPr>
              <w:adjustRightInd w:val="0"/>
              <w:snapToGrid w:val="0"/>
              <w:jc w:val="center"/>
              <w:rPr>
                <w:szCs w:val="21"/>
              </w:rPr>
            </w:pPr>
            <w:bookmarkStart w:id="170" w:name="OLE_LINK61"/>
            <w:r>
              <w:rPr>
                <w:szCs w:val="21"/>
              </w:rPr>
              <w:t>两套（碱喷淋+除雾装置+二级活性炭吸附装置）</w:t>
            </w:r>
            <w:bookmarkEnd w:id="170"/>
            <w:r>
              <w:rPr>
                <w:szCs w:val="21"/>
              </w:rPr>
              <w:t>+</w:t>
            </w:r>
            <w:bookmarkStart w:id="171" w:name="OLE_LINK56"/>
            <w:bookmarkStart w:id="172" w:name="OLE_LINK55"/>
            <w:r>
              <w:rPr>
                <w:szCs w:val="21"/>
              </w:rPr>
              <w:t>15m排气筒（1#）</w:t>
            </w:r>
            <w:bookmarkEnd w:id="171"/>
            <w:bookmarkEnd w:id="172"/>
          </w:p>
        </w:tc>
        <w:tc>
          <w:tcPr>
            <w:tcW w:w="2916" w:type="dxa"/>
            <w:vMerge w:val="restart"/>
            <w:vAlign w:val="center"/>
          </w:tcPr>
          <w:p w14:paraId="162F5486">
            <w:pPr>
              <w:adjustRightInd w:val="0"/>
              <w:snapToGrid w:val="0"/>
              <w:jc w:val="center"/>
              <w:rPr>
                <w:szCs w:val="21"/>
              </w:rPr>
            </w:pPr>
            <w:r>
              <w:rPr>
                <w:szCs w:val="21"/>
              </w:rPr>
              <w:t>《橡胶制品工业污染物排放标准》（GB27632-2011）、《大气污染物综合排放标准》（DB32/4041-2021）、《恶臭污染物排放标准》（GB14554-93）、</w:t>
            </w:r>
            <w:r>
              <w:t>《制定地方大气污染物排放标准的技术方法》（GB/T13201-91）、</w:t>
            </w:r>
          </w:p>
        </w:tc>
      </w:tr>
      <w:bookmarkEnd w:id="169"/>
      <w:tr w14:paraId="23176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008B7591">
            <w:pPr>
              <w:adjustRightInd w:val="0"/>
              <w:snapToGrid w:val="0"/>
              <w:jc w:val="center"/>
              <w:rPr>
                <w:szCs w:val="21"/>
              </w:rPr>
            </w:pPr>
            <w:bookmarkStart w:id="173" w:name="_Hlk201475901"/>
          </w:p>
        </w:tc>
        <w:tc>
          <w:tcPr>
            <w:tcW w:w="1349" w:type="dxa"/>
            <w:vAlign w:val="center"/>
          </w:tcPr>
          <w:p w14:paraId="52A00D7F">
            <w:pPr>
              <w:adjustRightInd w:val="0"/>
              <w:snapToGrid w:val="0"/>
              <w:jc w:val="center"/>
              <w:rPr>
                <w:szCs w:val="21"/>
              </w:rPr>
            </w:pPr>
            <w:r>
              <w:rPr>
                <w:rFonts w:hint="eastAsia"/>
                <w:szCs w:val="21"/>
              </w:rPr>
              <w:t>2#排气筒</w:t>
            </w:r>
          </w:p>
        </w:tc>
        <w:tc>
          <w:tcPr>
            <w:tcW w:w="1955" w:type="dxa"/>
            <w:tcBorders>
              <w:bottom w:val="single" w:color="auto" w:sz="4" w:space="0"/>
            </w:tcBorders>
            <w:vAlign w:val="center"/>
          </w:tcPr>
          <w:p w14:paraId="0B353F6D">
            <w:pPr>
              <w:adjustRightInd w:val="0"/>
              <w:snapToGrid w:val="0"/>
              <w:jc w:val="center"/>
              <w:rPr>
                <w:szCs w:val="21"/>
              </w:rPr>
            </w:pPr>
            <w:r>
              <w:rPr>
                <w:rFonts w:hint="eastAsia"/>
                <w:szCs w:val="21"/>
              </w:rPr>
              <w:t>颗粒物、</w:t>
            </w:r>
            <w:r>
              <w:rPr>
                <w:szCs w:val="21"/>
              </w:rPr>
              <w:t>非甲烷总烃、H</w:t>
            </w:r>
            <w:r>
              <w:rPr>
                <w:szCs w:val="21"/>
                <w:vertAlign w:val="subscript"/>
              </w:rPr>
              <w:t>2</w:t>
            </w:r>
            <w:r>
              <w:rPr>
                <w:szCs w:val="21"/>
              </w:rPr>
              <w:t>S</w:t>
            </w:r>
          </w:p>
        </w:tc>
        <w:tc>
          <w:tcPr>
            <w:tcW w:w="1916" w:type="dxa"/>
            <w:vAlign w:val="center"/>
          </w:tcPr>
          <w:p w14:paraId="7FD2A509">
            <w:pPr>
              <w:adjustRightInd w:val="0"/>
              <w:snapToGrid w:val="0"/>
              <w:jc w:val="center"/>
              <w:rPr>
                <w:szCs w:val="21"/>
              </w:rPr>
            </w:pPr>
            <w:r>
              <w:rPr>
                <w:szCs w:val="21"/>
              </w:rPr>
              <w:t>布袋除尘器+二级活性炭吸附装置+15m排气筒（</w:t>
            </w:r>
            <w:r>
              <w:rPr>
                <w:rFonts w:hint="eastAsia"/>
                <w:szCs w:val="21"/>
              </w:rPr>
              <w:t>2</w:t>
            </w:r>
            <w:r>
              <w:rPr>
                <w:szCs w:val="21"/>
              </w:rPr>
              <w:t>#）</w:t>
            </w:r>
          </w:p>
        </w:tc>
        <w:tc>
          <w:tcPr>
            <w:tcW w:w="2916" w:type="dxa"/>
            <w:vMerge w:val="continue"/>
            <w:vAlign w:val="center"/>
          </w:tcPr>
          <w:p w14:paraId="7FBC0952">
            <w:pPr>
              <w:adjustRightInd w:val="0"/>
              <w:snapToGrid w:val="0"/>
              <w:jc w:val="center"/>
              <w:rPr>
                <w:szCs w:val="21"/>
              </w:rPr>
            </w:pPr>
          </w:p>
        </w:tc>
      </w:tr>
      <w:bookmarkEnd w:id="173"/>
      <w:tr w14:paraId="65E9B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65CC883B">
            <w:pPr>
              <w:adjustRightInd w:val="0"/>
              <w:snapToGrid w:val="0"/>
              <w:jc w:val="center"/>
              <w:rPr>
                <w:szCs w:val="21"/>
              </w:rPr>
            </w:pPr>
          </w:p>
        </w:tc>
        <w:tc>
          <w:tcPr>
            <w:tcW w:w="1349" w:type="dxa"/>
            <w:vAlign w:val="center"/>
          </w:tcPr>
          <w:p w14:paraId="05771373">
            <w:pPr>
              <w:adjustRightInd w:val="0"/>
              <w:snapToGrid w:val="0"/>
              <w:jc w:val="center"/>
              <w:rPr>
                <w:szCs w:val="21"/>
              </w:rPr>
            </w:pPr>
            <w:r>
              <w:rPr>
                <w:rFonts w:hint="eastAsia"/>
                <w:szCs w:val="21"/>
              </w:rPr>
              <w:t>3</w:t>
            </w:r>
            <w:r>
              <w:rPr>
                <w:szCs w:val="21"/>
              </w:rPr>
              <w:t>#排气筒</w:t>
            </w:r>
          </w:p>
        </w:tc>
        <w:tc>
          <w:tcPr>
            <w:tcW w:w="1955" w:type="dxa"/>
            <w:tcBorders>
              <w:bottom w:val="single" w:color="auto" w:sz="4" w:space="0"/>
            </w:tcBorders>
            <w:vAlign w:val="center"/>
          </w:tcPr>
          <w:p w14:paraId="7BBD32E7">
            <w:pPr>
              <w:adjustRightInd w:val="0"/>
              <w:snapToGrid w:val="0"/>
              <w:jc w:val="center"/>
              <w:rPr>
                <w:szCs w:val="21"/>
              </w:rPr>
            </w:pPr>
            <w:r>
              <w:rPr>
                <w:rFonts w:hint="eastAsia"/>
                <w:szCs w:val="21"/>
              </w:rPr>
              <w:t>非甲烷总烃、</w:t>
            </w:r>
            <w:r>
              <w:rPr>
                <w:szCs w:val="21"/>
              </w:rPr>
              <w:t>H</w:t>
            </w:r>
            <w:r>
              <w:rPr>
                <w:szCs w:val="21"/>
                <w:vertAlign w:val="subscript"/>
              </w:rPr>
              <w:t>2</w:t>
            </w:r>
            <w:r>
              <w:rPr>
                <w:szCs w:val="21"/>
              </w:rPr>
              <w:t>S</w:t>
            </w:r>
            <w:r>
              <w:rPr>
                <w:rFonts w:hint="eastAsia"/>
                <w:szCs w:val="21"/>
              </w:rPr>
              <w:t>、氟化物</w:t>
            </w:r>
            <w:r>
              <w:rPr>
                <w:szCs w:val="21"/>
              </w:rPr>
              <w:t>、丙烯腈</w:t>
            </w:r>
          </w:p>
        </w:tc>
        <w:tc>
          <w:tcPr>
            <w:tcW w:w="1916" w:type="dxa"/>
            <w:vAlign w:val="center"/>
          </w:tcPr>
          <w:p w14:paraId="4E86A7D9">
            <w:pPr>
              <w:adjustRightInd w:val="0"/>
              <w:snapToGrid w:val="0"/>
              <w:jc w:val="center"/>
              <w:rPr>
                <w:szCs w:val="21"/>
              </w:rPr>
            </w:pPr>
            <w:r>
              <w:rPr>
                <w:szCs w:val="21"/>
              </w:rPr>
              <w:t>两套（碱喷淋+除雾装置+二级活性炭吸附装置）+15m排气筒（</w:t>
            </w:r>
            <w:r>
              <w:rPr>
                <w:rFonts w:hint="eastAsia"/>
                <w:szCs w:val="21"/>
              </w:rPr>
              <w:t>3</w:t>
            </w:r>
            <w:r>
              <w:rPr>
                <w:szCs w:val="21"/>
              </w:rPr>
              <w:t>#）</w:t>
            </w:r>
          </w:p>
        </w:tc>
        <w:tc>
          <w:tcPr>
            <w:tcW w:w="2916" w:type="dxa"/>
            <w:vMerge w:val="continue"/>
            <w:vAlign w:val="center"/>
          </w:tcPr>
          <w:p w14:paraId="753CD8D1">
            <w:pPr>
              <w:adjustRightInd w:val="0"/>
              <w:snapToGrid w:val="0"/>
              <w:jc w:val="center"/>
              <w:rPr>
                <w:szCs w:val="21"/>
              </w:rPr>
            </w:pPr>
          </w:p>
        </w:tc>
      </w:tr>
      <w:tr w14:paraId="1843C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02257C53">
            <w:pPr>
              <w:adjustRightInd w:val="0"/>
              <w:snapToGrid w:val="0"/>
              <w:jc w:val="center"/>
              <w:rPr>
                <w:szCs w:val="21"/>
              </w:rPr>
            </w:pPr>
          </w:p>
        </w:tc>
        <w:tc>
          <w:tcPr>
            <w:tcW w:w="1349" w:type="dxa"/>
            <w:vAlign w:val="center"/>
          </w:tcPr>
          <w:p w14:paraId="1262FAAA">
            <w:pPr>
              <w:adjustRightInd w:val="0"/>
              <w:snapToGrid w:val="0"/>
              <w:jc w:val="center"/>
              <w:rPr>
                <w:szCs w:val="21"/>
              </w:rPr>
            </w:pPr>
            <w:r>
              <w:rPr>
                <w:rFonts w:hint="eastAsia"/>
                <w:szCs w:val="21"/>
              </w:rPr>
              <w:t>5#排气筒</w:t>
            </w:r>
          </w:p>
        </w:tc>
        <w:tc>
          <w:tcPr>
            <w:tcW w:w="1955" w:type="dxa"/>
            <w:tcBorders>
              <w:bottom w:val="single" w:color="auto" w:sz="4" w:space="0"/>
            </w:tcBorders>
            <w:vAlign w:val="center"/>
          </w:tcPr>
          <w:p w14:paraId="6DA07DEA">
            <w:pPr>
              <w:adjustRightInd w:val="0"/>
              <w:snapToGrid w:val="0"/>
              <w:jc w:val="center"/>
              <w:rPr>
                <w:szCs w:val="21"/>
              </w:rPr>
            </w:pPr>
            <w:r>
              <w:rPr>
                <w:szCs w:val="21"/>
              </w:rPr>
              <w:t>颗粒物</w:t>
            </w:r>
          </w:p>
        </w:tc>
        <w:tc>
          <w:tcPr>
            <w:tcW w:w="1916" w:type="dxa"/>
            <w:vAlign w:val="center"/>
          </w:tcPr>
          <w:p w14:paraId="206C4C79">
            <w:pPr>
              <w:adjustRightInd w:val="0"/>
              <w:snapToGrid w:val="0"/>
              <w:jc w:val="center"/>
              <w:rPr>
                <w:szCs w:val="21"/>
              </w:rPr>
            </w:pPr>
            <w:r>
              <w:rPr>
                <w:rFonts w:hint="eastAsia"/>
              </w:rPr>
              <w:t>各自自带</w:t>
            </w:r>
            <w:r>
              <w:t>滤芯脉冲反吹除尘装置</w:t>
            </w:r>
            <w:r>
              <w:rPr>
                <w:szCs w:val="21"/>
              </w:rPr>
              <w:t>+15m排气筒（</w:t>
            </w:r>
            <w:r>
              <w:rPr>
                <w:rFonts w:hint="eastAsia"/>
                <w:szCs w:val="21"/>
              </w:rPr>
              <w:t>5</w:t>
            </w:r>
            <w:r>
              <w:rPr>
                <w:szCs w:val="21"/>
              </w:rPr>
              <w:t>#）</w:t>
            </w:r>
          </w:p>
        </w:tc>
        <w:tc>
          <w:tcPr>
            <w:tcW w:w="2916" w:type="dxa"/>
            <w:vMerge w:val="continue"/>
            <w:vAlign w:val="center"/>
          </w:tcPr>
          <w:p w14:paraId="74FBF26B">
            <w:pPr>
              <w:adjustRightInd w:val="0"/>
              <w:snapToGrid w:val="0"/>
              <w:jc w:val="center"/>
              <w:rPr>
                <w:szCs w:val="21"/>
              </w:rPr>
            </w:pPr>
          </w:p>
        </w:tc>
      </w:tr>
      <w:tr w14:paraId="38064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0B6B949A">
            <w:pPr>
              <w:adjustRightInd w:val="0"/>
              <w:snapToGrid w:val="0"/>
              <w:jc w:val="center"/>
              <w:rPr>
                <w:szCs w:val="21"/>
              </w:rPr>
            </w:pPr>
          </w:p>
        </w:tc>
        <w:tc>
          <w:tcPr>
            <w:tcW w:w="1349" w:type="dxa"/>
            <w:vAlign w:val="center"/>
          </w:tcPr>
          <w:p w14:paraId="3E6B74E2">
            <w:pPr>
              <w:adjustRightInd w:val="0"/>
              <w:snapToGrid w:val="0"/>
              <w:jc w:val="center"/>
              <w:rPr>
                <w:szCs w:val="21"/>
              </w:rPr>
            </w:pPr>
            <w:r>
              <w:rPr>
                <w:rFonts w:hint="eastAsia"/>
                <w:szCs w:val="21"/>
              </w:rPr>
              <w:t>6</w:t>
            </w:r>
            <w:r>
              <w:rPr>
                <w:szCs w:val="21"/>
              </w:rPr>
              <w:t>#排气筒</w:t>
            </w:r>
          </w:p>
        </w:tc>
        <w:tc>
          <w:tcPr>
            <w:tcW w:w="1955" w:type="dxa"/>
            <w:tcBorders>
              <w:bottom w:val="single" w:color="auto" w:sz="4" w:space="0"/>
            </w:tcBorders>
            <w:vAlign w:val="center"/>
          </w:tcPr>
          <w:p w14:paraId="5A0CBF78">
            <w:pPr>
              <w:adjustRightInd w:val="0"/>
              <w:snapToGrid w:val="0"/>
              <w:jc w:val="center"/>
              <w:rPr>
                <w:szCs w:val="21"/>
              </w:rPr>
            </w:pPr>
            <w:r>
              <w:rPr>
                <w:szCs w:val="21"/>
              </w:rPr>
              <w:t>非甲烷总烃、二甲苯、乙苯、颗粒物</w:t>
            </w:r>
          </w:p>
        </w:tc>
        <w:tc>
          <w:tcPr>
            <w:tcW w:w="1916" w:type="dxa"/>
            <w:vAlign w:val="center"/>
          </w:tcPr>
          <w:p w14:paraId="5C72D2FF">
            <w:pPr>
              <w:adjustRightInd w:val="0"/>
              <w:snapToGrid w:val="0"/>
              <w:jc w:val="center"/>
              <w:rPr>
                <w:szCs w:val="21"/>
              </w:rPr>
            </w:pPr>
            <w:bookmarkStart w:id="174" w:name="OLE_LINK71"/>
            <w:bookmarkStart w:id="175" w:name="OLE_LINK70"/>
            <w:r>
              <w:rPr>
                <w:szCs w:val="21"/>
              </w:rPr>
              <w:t>二级活性炭吸附装置+15m排气筒（</w:t>
            </w:r>
            <w:r>
              <w:rPr>
                <w:rFonts w:hint="eastAsia"/>
                <w:szCs w:val="21"/>
              </w:rPr>
              <w:t>6</w:t>
            </w:r>
            <w:r>
              <w:rPr>
                <w:szCs w:val="21"/>
              </w:rPr>
              <w:t>#）</w:t>
            </w:r>
            <w:bookmarkEnd w:id="174"/>
            <w:bookmarkEnd w:id="175"/>
          </w:p>
        </w:tc>
        <w:tc>
          <w:tcPr>
            <w:tcW w:w="2916" w:type="dxa"/>
            <w:vMerge w:val="continue"/>
            <w:vAlign w:val="center"/>
          </w:tcPr>
          <w:p w14:paraId="7736B937">
            <w:pPr>
              <w:adjustRightInd w:val="0"/>
              <w:snapToGrid w:val="0"/>
              <w:jc w:val="center"/>
              <w:rPr>
                <w:szCs w:val="21"/>
              </w:rPr>
            </w:pPr>
          </w:p>
        </w:tc>
      </w:tr>
      <w:tr w14:paraId="1FFAC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0276787E">
            <w:pPr>
              <w:adjustRightInd w:val="0"/>
              <w:snapToGrid w:val="0"/>
              <w:jc w:val="center"/>
            </w:pPr>
          </w:p>
        </w:tc>
        <w:tc>
          <w:tcPr>
            <w:tcW w:w="1349" w:type="dxa"/>
            <w:vAlign w:val="center"/>
          </w:tcPr>
          <w:p w14:paraId="563E0FA8">
            <w:pPr>
              <w:adjustRightInd w:val="0"/>
              <w:snapToGrid w:val="0"/>
              <w:jc w:val="center"/>
              <w:rPr>
                <w:szCs w:val="21"/>
              </w:rPr>
            </w:pPr>
            <w:r>
              <w:rPr>
                <w:rFonts w:hint="eastAsia"/>
                <w:szCs w:val="21"/>
              </w:rPr>
              <w:t>7</w:t>
            </w:r>
            <w:r>
              <w:rPr>
                <w:szCs w:val="21"/>
              </w:rPr>
              <w:t>#排气筒</w:t>
            </w:r>
          </w:p>
        </w:tc>
        <w:tc>
          <w:tcPr>
            <w:tcW w:w="1955" w:type="dxa"/>
            <w:tcBorders>
              <w:bottom w:val="single" w:color="auto" w:sz="4" w:space="0"/>
            </w:tcBorders>
            <w:vAlign w:val="center"/>
          </w:tcPr>
          <w:p w14:paraId="38273512">
            <w:pPr>
              <w:adjustRightInd w:val="0"/>
              <w:snapToGrid w:val="0"/>
              <w:jc w:val="center"/>
              <w:rPr>
                <w:szCs w:val="21"/>
              </w:rPr>
            </w:pPr>
            <w:r>
              <w:rPr>
                <w:rFonts w:hint="eastAsia"/>
                <w:szCs w:val="21"/>
              </w:rPr>
              <w:t>颗粒物、</w:t>
            </w:r>
            <w:r>
              <w:rPr>
                <w:szCs w:val="21"/>
              </w:rPr>
              <w:t>非甲烷总烃、H</w:t>
            </w:r>
            <w:r>
              <w:rPr>
                <w:szCs w:val="21"/>
                <w:vertAlign w:val="subscript"/>
              </w:rPr>
              <w:t>2</w:t>
            </w:r>
            <w:r>
              <w:rPr>
                <w:szCs w:val="21"/>
              </w:rPr>
              <w:t>S</w:t>
            </w:r>
          </w:p>
        </w:tc>
        <w:tc>
          <w:tcPr>
            <w:tcW w:w="1916" w:type="dxa"/>
            <w:vAlign w:val="center"/>
          </w:tcPr>
          <w:p w14:paraId="56BBE6C0">
            <w:pPr>
              <w:adjustRightInd w:val="0"/>
              <w:snapToGrid w:val="0"/>
              <w:jc w:val="center"/>
              <w:rPr>
                <w:szCs w:val="21"/>
              </w:rPr>
            </w:pPr>
            <w:r>
              <w:rPr>
                <w:szCs w:val="21"/>
              </w:rPr>
              <w:t>布袋除尘器+二级活性炭吸附装置+15m排气筒（</w:t>
            </w:r>
            <w:r>
              <w:rPr>
                <w:rFonts w:hint="eastAsia"/>
                <w:szCs w:val="21"/>
              </w:rPr>
              <w:t>7</w:t>
            </w:r>
            <w:r>
              <w:rPr>
                <w:szCs w:val="21"/>
              </w:rPr>
              <w:t>#）</w:t>
            </w:r>
          </w:p>
        </w:tc>
        <w:tc>
          <w:tcPr>
            <w:tcW w:w="2916" w:type="dxa"/>
            <w:vMerge w:val="continue"/>
            <w:vAlign w:val="center"/>
          </w:tcPr>
          <w:p w14:paraId="40B8DAC4">
            <w:pPr>
              <w:adjustRightInd w:val="0"/>
              <w:snapToGrid w:val="0"/>
              <w:jc w:val="center"/>
              <w:rPr>
                <w:szCs w:val="21"/>
              </w:rPr>
            </w:pPr>
          </w:p>
        </w:tc>
      </w:tr>
      <w:tr w14:paraId="4CB31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5C1957F4">
            <w:pPr>
              <w:adjustRightInd w:val="0"/>
              <w:snapToGrid w:val="0"/>
              <w:jc w:val="center"/>
            </w:pPr>
          </w:p>
        </w:tc>
        <w:tc>
          <w:tcPr>
            <w:tcW w:w="1349" w:type="dxa"/>
            <w:vAlign w:val="center"/>
          </w:tcPr>
          <w:p w14:paraId="09A10A44">
            <w:pPr>
              <w:adjustRightInd w:val="0"/>
              <w:snapToGrid w:val="0"/>
              <w:jc w:val="center"/>
              <w:rPr>
                <w:szCs w:val="21"/>
              </w:rPr>
            </w:pPr>
            <w:r>
              <w:rPr>
                <w:rFonts w:hint="eastAsia"/>
                <w:szCs w:val="21"/>
              </w:rPr>
              <w:t>8</w:t>
            </w:r>
            <w:r>
              <w:rPr>
                <w:szCs w:val="21"/>
              </w:rPr>
              <w:t>#</w:t>
            </w:r>
            <w:r>
              <w:rPr>
                <w:rFonts w:hint="eastAsia"/>
                <w:szCs w:val="21"/>
              </w:rPr>
              <w:t>排气筒</w:t>
            </w:r>
          </w:p>
        </w:tc>
        <w:tc>
          <w:tcPr>
            <w:tcW w:w="1955" w:type="dxa"/>
            <w:tcBorders>
              <w:bottom w:val="single" w:color="auto" w:sz="4" w:space="0"/>
            </w:tcBorders>
            <w:vAlign w:val="center"/>
          </w:tcPr>
          <w:p w14:paraId="00E713A0">
            <w:pPr>
              <w:adjustRightInd w:val="0"/>
              <w:snapToGrid w:val="0"/>
              <w:jc w:val="center"/>
              <w:rPr>
                <w:szCs w:val="21"/>
              </w:rPr>
            </w:pPr>
            <w:r>
              <w:rPr>
                <w:rFonts w:hint="eastAsia"/>
                <w:szCs w:val="21"/>
              </w:rPr>
              <w:t>颗粒物、非甲烷总烃、</w:t>
            </w:r>
            <w:r>
              <w:rPr>
                <w:szCs w:val="21"/>
              </w:rPr>
              <w:t>H</w:t>
            </w:r>
            <w:r>
              <w:rPr>
                <w:szCs w:val="21"/>
                <w:vertAlign w:val="subscript"/>
              </w:rPr>
              <w:t>2</w:t>
            </w:r>
            <w:r>
              <w:rPr>
                <w:szCs w:val="21"/>
              </w:rPr>
              <w:t>S</w:t>
            </w:r>
          </w:p>
        </w:tc>
        <w:tc>
          <w:tcPr>
            <w:tcW w:w="1916" w:type="dxa"/>
            <w:vAlign w:val="center"/>
          </w:tcPr>
          <w:p w14:paraId="2CB7CB10">
            <w:pPr>
              <w:adjustRightInd w:val="0"/>
              <w:snapToGrid w:val="0"/>
              <w:jc w:val="center"/>
              <w:rPr>
                <w:szCs w:val="21"/>
              </w:rPr>
            </w:pPr>
            <w:r>
              <w:rPr>
                <w:rFonts w:hint="eastAsia"/>
                <w:szCs w:val="21"/>
              </w:rPr>
              <w:t>布袋除尘器</w:t>
            </w:r>
            <w:r>
              <w:rPr>
                <w:szCs w:val="21"/>
              </w:rPr>
              <w:t>+</w:t>
            </w:r>
            <w:r>
              <w:rPr>
                <w:rFonts w:hint="eastAsia"/>
                <w:szCs w:val="21"/>
              </w:rPr>
              <w:t>二级活性炭吸附装置</w:t>
            </w:r>
            <w:r>
              <w:rPr>
                <w:szCs w:val="21"/>
              </w:rPr>
              <w:t>+15m</w:t>
            </w:r>
            <w:r>
              <w:rPr>
                <w:rFonts w:hint="eastAsia"/>
                <w:szCs w:val="21"/>
              </w:rPr>
              <w:t>排气筒（8</w:t>
            </w:r>
            <w:r>
              <w:rPr>
                <w:szCs w:val="21"/>
              </w:rPr>
              <w:t>#</w:t>
            </w:r>
            <w:r>
              <w:rPr>
                <w:rFonts w:hint="eastAsia"/>
                <w:szCs w:val="21"/>
              </w:rPr>
              <w:t>）</w:t>
            </w:r>
          </w:p>
        </w:tc>
        <w:tc>
          <w:tcPr>
            <w:tcW w:w="2916" w:type="dxa"/>
            <w:vMerge w:val="continue"/>
            <w:vAlign w:val="center"/>
          </w:tcPr>
          <w:p w14:paraId="316D7BF3">
            <w:pPr>
              <w:adjustRightInd w:val="0"/>
              <w:snapToGrid w:val="0"/>
              <w:jc w:val="center"/>
              <w:rPr>
                <w:szCs w:val="21"/>
              </w:rPr>
            </w:pPr>
          </w:p>
        </w:tc>
      </w:tr>
      <w:tr w14:paraId="04E10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1CE60A33">
            <w:pPr>
              <w:adjustRightInd w:val="0"/>
              <w:snapToGrid w:val="0"/>
              <w:jc w:val="center"/>
            </w:pPr>
          </w:p>
        </w:tc>
        <w:tc>
          <w:tcPr>
            <w:tcW w:w="1349" w:type="dxa"/>
            <w:vAlign w:val="center"/>
          </w:tcPr>
          <w:p w14:paraId="1CB217ED">
            <w:pPr>
              <w:adjustRightInd w:val="0"/>
              <w:snapToGrid w:val="0"/>
              <w:jc w:val="center"/>
              <w:rPr>
                <w:szCs w:val="21"/>
              </w:rPr>
            </w:pPr>
            <w:r>
              <w:rPr>
                <w:rFonts w:hint="eastAsia"/>
                <w:szCs w:val="21"/>
              </w:rPr>
              <w:t>9#排气筒</w:t>
            </w:r>
          </w:p>
        </w:tc>
        <w:tc>
          <w:tcPr>
            <w:tcW w:w="1955" w:type="dxa"/>
            <w:tcBorders>
              <w:bottom w:val="single" w:color="auto" w:sz="4" w:space="0"/>
            </w:tcBorders>
            <w:vAlign w:val="center"/>
          </w:tcPr>
          <w:p w14:paraId="37E96E15">
            <w:pPr>
              <w:adjustRightInd w:val="0"/>
              <w:snapToGrid w:val="0"/>
              <w:jc w:val="center"/>
              <w:rPr>
                <w:szCs w:val="21"/>
              </w:rPr>
            </w:pPr>
            <w:r>
              <w:rPr>
                <w:rFonts w:hint="eastAsia"/>
                <w:szCs w:val="21"/>
              </w:rPr>
              <w:t>非甲烷总烃</w:t>
            </w:r>
          </w:p>
        </w:tc>
        <w:tc>
          <w:tcPr>
            <w:tcW w:w="1916" w:type="dxa"/>
            <w:vAlign w:val="center"/>
          </w:tcPr>
          <w:p w14:paraId="052917C2">
            <w:pPr>
              <w:adjustRightInd w:val="0"/>
              <w:snapToGrid w:val="0"/>
              <w:jc w:val="center"/>
              <w:rPr>
                <w:szCs w:val="21"/>
              </w:rPr>
            </w:pPr>
            <w:r>
              <w:rPr>
                <w:szCs w:val="21"/>
              </w:rPr>
              <w:t>二级活性炭吸附装置+15m排气筒（</w:t>
            </w:r>
            <w:r>
              <w:rPr>
                <w:rFonts w:hint="eastAsia"/>
                <w:szCs w:val="21"/>
              </w:rPr>
              <w:t>9</w:t>
            </w:r>
            <w:r>
              <w:rPr>
                <w:szCs w:val="21"/>
              </w:rPr>
              <w:t>#）</w:t>
            </w:r>
          </w:p>
        </w:tc>
        <w:tc>
          <w:tcPr>
            <w:tcW w:w="2916" w:type="dxa"/>
            <w:vMerge w:val="continue"/>
            <w:vAlign w:val="center"/>
          </w:tcPr>
          <w:p w14:paraId="663C1004">
            <w:pPr>
              <w:adjustRightInd w:val="0"/>
              <w:snapToGrid w:val="0"/>
              <w:jc w:val="center"/>
              <w:rPr>
                <w:szCs w:val="21"/>
              </w:rPr>
            </w:pPr>
          </w:p>
        </w:tc>
      </w:tr>
      <w:tr w14:paraId="27F83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311DDFE0">
            <w:pPr>
              <w:adjustRightInd w:val="0"/>
              <w:snapToGrid w:val="0"/>
              <w:jc w:val="center"/>
            </w:pPr>
          </w:p>
        </w:tc>
        <w:tc>
          <w:tcPr>
            <w:tcW w:w="1349" w:type="dxa"/>
            <w:vAlign w:val="center"/>
          </w:tcPr>
          <w:p w14:paraId="0036EC09">
            <w:pPr>
              <w:adjustRightInd w:val="0"/>
              <w:snapToGrid w:val="0"/>
              <w:jc w:val="center"/>
              <w:rPr>
                <w:szCs w:val="21"/>
              </w:rPr>
            </w:pPr>
            <w:r>
              <w:rPr>
                <w:rFonts w:hint="eastAsia"/>
                <w:szCs w:val="21"/>
              </w:rPr>
              <w:t>4#排气筒</w:t>
            </w:r>
          </w:p>
        </w:tc>
        <w:tc>
          <w:tcPr>
            <w:tcW w:w="1955" w:type="dxa"/>
            <w:tcBorders>
              <w:bottom w:val="single" w:color="auto" w:sz="4" w:space="0"/>
            </w:tcBorders>
            <w:vAlign w:val="center"/>
          </w:tcPr>
          <w:p w14:paraId="25B6B823">
            <w:pPr>
              <w:adjustRightInd w:val="0"/>
              <w:snapToGrid w:val="0"/>
              <w:jc w:val="center"/>
              <w:rPr>
                <w:szCs w:val="21"/>
              </w:rPr>
            </w:pPr>
            <w:r>
              <w:rPr>
                <w:szCs w:val="21"/>
              </w:rPr>
              <w:t>油烟</w:t>
            </w:r>
          </w:p>
        </w:tc>
        <w:tc>
          <w:tcPr>
            <w:tcW w:w="1916" w:type="dxa"/>
            <w:vAlign w:val="center"/>
          </w:tcPr>
          <w:p w14:paraId="41E042C9">
            <w:pPr>
              <w:adjustRightInd w:val="0"/>
              <w:snapToGrid w:val="0"/>
              <w:jc w:val="center"/>
              <w:rPr>
                <w:szCs w:val="21"/>
              </w:rPr>
            </w:pPr>
            <w:r>
              <w:rPr>
                <w:rFonts w:hint="eastAsia"/>
                <w:szCs w:val="21"/>
              </w:rPr>
              <w:t>油烟净化装置+8</w:t>
            </w:r>
            <w:r>
              <w:rPr>
                <w:szCs w:val="21"/>
              </w:rPr>
              <w:t>m排气筒（</w:t>
            </w:r>
            <w:r>
              <w:rPr>
                <w:rFonts w:hint="eastAsia"/>
                <w:szCs w:val="21"/>
              </w:rPr>
              <w:t>4</w:t>
            </w:r>
            <w:r>
              <w:rPr>
                <w:szCs w:val="21"/>
              </w:rPr>
              <w:t>#）</w:t>
            </w:r>
          </w:p>
        </w:tc>
        <w:tc>
          <w:tcPr>
            <w:tcW w:w="2916" w:type="dxa"/>
            <w:vAlign w:val="center"/>
          </w:tcPr>
          <w:p w14:paraId="59D50317">
            <w:pPr>
              <w:adjustRightInd w:val="0"/>
              <w:snapToGrid w:val="0"/>
              <w:jc w:val="center"/>
              <w:rPr>
                <w:szCs w:val="21"/>
              </w:rPr>
            </w:pPr>
            <w:r>
              <w:rPr>
                <w:rFonts w:hint="eastAsia"/>
                <w:kern w:val="0"/>
                <w:szCs w:val="21"/>
              </w:rPr>
              <w:t>《饮食业油烟排放标准（试行）》（GB18483-2001）</w:t>
            </w:r>
          </w:p>
        </w:tc>
      </w:tr>
      <w:tr w14:paraId="0FC77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05F78559">
            <w:pPr>
              <w:adjustRightInd w:val="0"/>
              <w:snapToGrid w:val="0"/>
              <w:jc w:val="center"/>
              <w:rPr>
                <w:szCs w:val="21"/>
              </w:rPr>
            </w:pPr>
          </w:p>
        </w:tc>
        <w:tc>
          <w:tcPr>
            <w:tcW w:w="1349" w:type="dxa"/>
            <w:vMerge w:val="restart"/>
            <w:vAlign w:val="center"/>
          </w:tcPr>
          <w:p w14:paraId="0D7F39E6">
            <w:pPr>
              <w:adjustRightInd w:val="0"/>
              <w:snapToGrid w:val="0"/>
              <w:jc w:val="center"/>
              <w:rPr>
                <w:szCs w:val="21"/>
              </w:rPr>
            </w:pPr>
            <w:r>
              <w:rPr>
                <w:szCs w:val="21"/>
              </w:rPr>
              <w:t>生产车间</w:t>
            </w:r>
          </w:p>
        </w:tc>
        <w:tc>
          <w:tcPr>
            <w:tcW w:w="1955" w:type="dxa"/>
            <w:tcBorders>
              <w:bottom w:val="single" w:color="auto" w:sz="4" w:space="0"/>
            </w:tcBorders>
            <w:vAlign w:val="center"/>
          </w:tcPr>
          <w:p w14:paraId="700880D8">
            <w:pPr>
              <w:adjustRightInd w:val="0"/>
              <w:snapToGrid w:val="0"/>
              <w:jc w:val="center"/>
              <w:rPr>
                <w:szCs w:val="21"/>
              </w:rPr>
            </w:pPr>
            <w:r>
              <w:rPr>
                <w:szCs w:val="21"/>
              </w:rPr>
              <w:t>氟化物</w:t>
            </w:r>
          </w:p>
        </w:tc>
        <w:tc>
          <w:tcPr>
            <w:tcW w:w="1916" w:type="dxa"/>
            <w:vAlign w:val="center"/>
          </w:tcPr>
          <w:p w14:paraId="07437748">
            <w:pPr>
              <w:adjustRightInd w:val="0"/>
              <w:snapToGrid w:val="0"/>
              <w:jc w:val="center"/>
              <w:rPr>
                <w:szCs w:val="21"/>
              </w:rPr>
            </w:pPr>
            <w:r>
              <w:rPr>
                <w:szCs w:val="21"/>
              </w:rPr>
              <w:t>/</w:t>
            </w:r>
          </w:p>
        </w:tc>
        <w:tc>
          <w:tcPr>
            <w:tcW w:w="2916" w:type="dxa"/>
            <w:vMerge w:val="restart"/>
            <w:vAlign w:val="center"/>
          </w:tcPr>
          <w:p w14:paraId="6D6F108A">
            <w:pPr>
              <w:adjustRightInd w:val="0"/>
              <w:snapToGrid w:val="0"/>
              <w:jc w:val="center"/>
              <w:rPr>
                <w:szCs w:val="21"/>
              </w:rPr>
            </w:pPr>
            <w:r>
              <w:rPr>
                <w:szCs w:val="21"/>
              </w:rPr>
              <w:t>《大气污染物综合排放标准》（DB32/4041-2021）</w:t>
            </w:r>
          </w:p>
        </w:tc>
      </w:tr>
      <w:tr w14:paraId="63B7A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06F97DBA">
            <w:pPr>
              <w:adjustRightInd w:val="0"/>
              <w:snapToGrid w:val="0"/>
              <w:jc w:val="center"/>
              <w:rPr>
                <w:szCs w:val="21"/>
              </w:rPr>
            </w:pPr>
          </w:p>
        </w:tc>
        <w:tc>
          <w:tcPr>
            <w:tcW w:w="1349" w:type="dxa"/>
            <w:vMerge w:val="continue"/>
            <w:vAlign w:val="center"/>
          </w:tcPr>
          <w:p w14:paraId="4E1681B5">
            <w:pPr>
              <w:adjustRightInd w:val="0"/>
              <w:snapToGrid w:val="0"/>
              <w:jc w:val="center"/>
              <w:rPr>
                <w:szCs w:val="21"/>
              </w:rPr>
            </w:pPr>
          </w:p>
        </w:tc>
        <w:tc>
          <w:tcPr>
            <w:tcW w:w="1955" w:type="dxa"/>
            <w:tcBorders>
              <w:bottom w:val="single" w:color="auto" w:sz="4" w:space="0"/>
            </w:tcBorders>
            <w:vAlign w:val="center"/>
          </w:tcPr>
          <w:p w14:paraId="19251578">
            <w:pPr>
              <w:adjustRightInd w:val="0"/>
              <w:snapToGrid w:val="0"/>
              <w:jc w:val="center"/>
              <w:rPr>
                <w:szCs w:val="21"/>
              </w:rPr>
            </w:pPr>
            <w:r>
              <w:rPr>
                <w:szCs w:val="21"/>
              </w:rPr>
              <w:t>丙烯腈</w:t>
            </w:r>
          </w:p>
        </w:tc>
        <w:tc>
          <w:tcPr>
            <w:tcW w:w="1916" w:type="dxa"/>
            <w:vAlign w:val="center"/>
          </w:tcPr>
          <w:p w14:paraId="0AF7EC44">
            <w:pPr>
              <w:adjustRightInd w:val="0"/>
              <w:snapToGrid w:val="0"/>
              <w:jc w:val="center"/>
              <w:rPr>
                <w:szCs w:val="21"/>
              </w:rPr>
            </w:pPr>
            <w:r>
              <w:rPr>
                <w:szCs w:val="21"/>
              </w:rPr>
              <w:t>/</w:t>
            </w:r>
          </w:p>
        </w:tc>
        <w:tc>
          <w:tcPr>
            <w:tcW w:w="2916" w:type="dxa"/>
            <w:vMerge w:val="continue"/>
            <w:vAlign w:val="center"/>
          </w:tcPr>
          <w:p w14:paraId="67177498">
            <w:pPr>
              <w:adjustRightInd w:val="0"/>
              <w:snapToGrid w:val="0"/>
              <w:jc w:val="center"/>
              <w:rPr>
                <w:szCs w:val="21"/>
              </w:rPr>
            </w:pPr>
          </w:p>
        </w:tc>
      </w:tr>
      <w:tr w14:paraId="1D322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69F57C2E">
            <w:pPr>
              <w:adjustRightInd w:val="0"/>
              <w:snapToGrid w:val="0"/>
              <w:jc w:val="center"/>
              <w:rPr>
                <w:szCs w:val="21"/>
              </w:rPr>
            </w:pPr>
          </w:p>
        </w:tc>
        <w:tc>
          <w:tcPr>
            <w:tcW w:w="1349" w:type="dxa"/>
            <w:vMerge w:val="continue"/>
            <w:vAlign w:val="center"/>
          </w:tcPr>
          <w:p w14:paraId="17E6350D">
            <w:pPr>
              <w:adjustRightInd w:val="0"/>
              <w:snapToGrid w:val="0"/>
              <w:jc w:val="center"/>
              <w:rPr>
                <w:szCs w:val="21"/>
              </w:rPr>
            </w:pPr>
          </w:p>
        </w:tc>
        <w:tc>
          <w:tcPr>
            <w:tcW w:w="1955" w:type="dxa"/>
            <w:tcBorders>
              <w:bottom w:val="single" w:color="auto" w:sz="4" w:space="0"/>
            </w:tcBorders>
            <w:vAlign w:val="center"/>
          </w:tcPr>
          <w:p w14:paraId="6584BA8F">
            <w:pPr>
              <w:adjustRightInd w:val="0"/>
              <w:snapToGrid w:val="0"/>
              <w:jc w:val="center"/>
              <w:rPr>
                <w:szCs w:val="21"/>
              </w:rPr>
            </w:pPr>
            <w:r>
              <w:rPr>
                <w:szCs w:val="21"/>
              </w:rPr>
              <w:t>乙苯</w:t>
            </w:r>
          </w:p>
        </w:tc>
        <w:tc>
          <w:tcPr>
            <w:tcW w:w="1916" w:type="dxa"/>
            <w:vAlign w:val="center"/>
          </w:tcPr>
          <w:p w14:paraId="6D1BEE9F">
            <w:pPr>
              <w:adjustRightInd w:val="0"/>
              <w:snapToGrid w:val="0"/>
              <w:jc w:val="center"/>
              <w:rPr>
                <w:szCs w:val="21"/>
              </w:rPr>
            </w:pPr>
            <w:r>
              <w:rPr>
                <w:szCs w:val="21"/>
              </w:rPr>
              <w:t>/</w:t>
            </w:r>
          </w:p>
        </w:tc>
        <w:tc>
          <w:tcPr>
            <w:tcW w:w="2916" w:type="dxa"/>
            <w:vAlign w:val="center"/>
          </w:tcPr>
          <w:p w14:paraId="4F7495BE">
            <w:pPr>
              <w:adjustRightInd w:val="0"/>
              <w:snapToGrid w:val="0"/>
              <w:jc w:val="center"/>
              <w:rPr>
                <w:szCs w:val="21"/>
              </w:rPr>
            </w:pPr>
            <w:r>
              <w:rPr>
                <w:szCs w:val="21"/>
              </w:rPr>
              <w:t>前苏联(197</w:t>
            </w:r>
            <w:r>
              <w:rPr>
                <w:rFonts w:hint="eastAsia"/>
                <w:szCs w:val="21"/>
              </w:rPr>
              <w:t>7</w:t>
            </w:r>
            <w:r>
              <w:rPr>
                <w:szCs w:val="21"/>
              </w:rPr>
              <w:t>）空气质量标准</w:t>
            </w:r>
          </w:p>
        </w:tc>
      </w:tr>
      <w:tr w14:paraId="47B8F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3521060F">
            <w:pPr>
              <w:adjustRightInd w:val="0"/>
              <w:snapToGrid w:val="0"/>
              <w:jc w:val="center"/>
              <w:rPr>
                <w:szCs w:val="21"/>
              </w:rPr>
            </w:pPr>
          </w:p>
        </w:tc>
        <w:tc>
          <w:tcPr>
            <w:tcW w:w="1349" w:type="dxa"/>
            <w:vMerge w:val="continue"/>
            <w:vAlign w:val="center"/>
          </w:tcPr>
          <w:p w14:paraId="27024808">
            <w:pPr>
              <w:adjustRightInd w:val="0"/>
              <w:snapToGrid w:val="0"/>
              <w:jc w:val="center"/>
              <w:rPr>
                <w:szCs w:val="21"/>
              </w:rPr>
            </w:pPr>
          </w:p>
        </w:tc>
        <w:tc>
          <w:tcPr>
            <w:tcW w:w="1955" w:type="dxa"/>
            <w:tcBorders>
              <w:bottom w:val="single" w:color="auto" w:sz="4" w:space="0"/>
            </w:tcBorders>
            <w:vAlign w:val="center"/>
          </w:tcPr>
          <w:p w14:paraId="142880E6">
            <w:pPr>
              <w:adjustRightInd w:val="0"/>
              <w:snapToGrid w:val="0"/>
              <w:jc w:val="center"/>
              <w:rPr>
                <w:szCs w:val="21"/>
              </w:rPr>
            </w:pPr>
            <w:r>
              <w:rPr>
                <w:szCs w:val="21"/>
              </w:rPr>
              <w:t>硫化氢</w:t>
            </w:r>
          </w:p>
        </w:tc>
        <w:tc>
          <w:tcPr>
            <w:tcW w:w="1916" w:type="dxa"/>
            <w:vAlign w:val="center"/>
          </w:tcPr>
          <w:p w14:paraId="54866C14">
            <w:pPr>
              <w:adjustRightInd w:val="0"/>
              <w:snapToGrid w:val="0"/>
              <w:jc w:val="center"/>
              <w:rPr>
                <w:szCs w:val="21"/>
              </w:rPr>
            </w:pPr>
            <w:r>
              <w:rPr>
                <w:szCs w:val="21"/>
              </w:rPr>
              <w:t>/</w:t>
            </w:r>
          </w:p>
        </w:tc>
        <w:tc>
          <w:tcPr>
            <w:tcW w:w="2916" w:type="dxa"/>
            <w:vMerge w:val="restart"/>
            <w:vAlign w:val="center"/>
          </w:tcPr>
          <w:p w14:paraId="641BB075">
            <w:pPr>
              <w:adjustRightInd w:val="0"/>
              <w:snapToGrid w:val="0"/>
              <w:jc w:val="center"/>
              <w:rPr>
                <w:szCs w:val="21"/>
              </w:rPr>
            </w:pPr>
            <w:bookmarkStart w:id="176" w:name="OLE_LINK77"/>
            <w:bookmarkStart w:id="177" w:name="OLE_LINK78"/>
            <w:r>
              <w:rPr>
                <w:szCs w:val="21"/>
              </w:rPr>
              <w:t>《恶臭污染物排放标准》（GB14554-93）</w:t>
            </w:r>
            <w:bookmarkEnd w:id="176"/>
            <w:bookmarkEnd w:id="177"/>
          </w:p>
        </w:tc>
      </w:tr>
      <w:tr w14:paraId="71432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588FC44F">
            <w:pPr>
              <w:adjustRightInd w:val="0"/>
              <w:snapToGrid w:val="0"/>
              <w:jc w:val="center"/>
              <w:rPr>
                <w:szCs w:val="21"/>
              </w:rPr>
            </w:pPr>
          </w:p>
        </w:tc>
        <w:tc>
          <w:tcPr>
            <w:tcW w:w="1349" w:type="dxa"/>
            <w:vMerge w:val="continue"/>
            <w:vAlign w:val="center"/>
          </w:tcPr>
          <w:p w14:paraId="582AE4F4">
            <w:pPr>
              <w:adjustRightInd w:val="0"/>
              <w:snapToGrid w:val="0"/>
              <w:jc w:val="center"/>
              <w:rPr>
                <w:szCs w:val="21"/>
              </w:rPr>
            </w:pPr>
          </w:p>
        </w:tc>
        <w:tc>
          <w:tcPr>
            <w:tcW w:w="1955" w:type="dxa"/>
            <w:tcBorders>
              <w:bottom w:val="single" w:color="auto" w:sz="4" w:space="0"/>
            </w:tcBorders>
            <w:vAlign w:val="center"/>
          </w:tcPr>
          <w:p w14:paraId="08BAD88C">
            <w:pPr>
              <w:adjustRightInd w:val="0"/>
              <w:snapToGrid w:val="0"/>
              <w:jc w:val="center"/>
              <w:rPr>
                <w:szCs w:val="21"/>
              </w:rPr>
            </w:pPr>
            <w:r>
              <w:rPr>
                <w:szCs w:val="21"/>
              </w:rPr>
              <w:t>臭气浓度</w:t>
            </w:r>
          </w:p>
        </w:tc>
        <w:tc>
          <w:tcPr>
            <w:tcW w:w="1916" w:type="dxa"/>
            <w:vAlign w:val="center"/>
          </w:tcPr>
          <w:p w14:paraId="7F49148F">
            <w:pPr>
              <w:adjustRightInd w:val="0"/>
              <w:snapToGrid w:val="0"/>
              <w:jc w:val="center"/>
              <w:rPr>
                <w:szCs w:val="21"/>
              </w:rPr>
            </w:pPr>
            <w:bookmarkStart w:id="178" w:name="OLE_LINK76"/>
            <w:bookmarkStart w:id="179" w:name="OLE_LINK75"/>
            <w:r>
              <w:rPr>
                <w:szCs w:val="21"/>
              </w:rPr>
              <w:t>/</w:t>
            </w:r>
            <w:bookmarkEnd w:id="178"/>
            <w:bookmarkEnd w:id="179"/>
          </w:p>
        </w:tc>
        <w:tc>
          <w:tcPr>
            <w:tcW w:w="2916" w:type="dxa"/>
            <w:vMerge w:val="continue"/>
            <w:vAlign w:val="center"/>
          </w:tcPr>
          <w:p w14:paraId="5771D716">
            <w:pPr>
              <w:adjustRightInd w:val="0"/>
              <w:snapToGrid w:val="0"/>
              <w:jc w:val="center"/>
              <w:rPr>
                <w:szCs w:val="21"/>
              </w:rPr>
            </w:pPr>
          </w:p>
        </w:tc>
      </w:tr>
      <w:tr w14:paraId="6C65A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1EECEB5F">
            <w:pPr>
              <w:adjustRightInd w:val="0"/>
              <w:snapToGrid w:val="0"/>
              <w:jc w:val="center"/>
              <w:rPr>
                <w:szCs w:val="21"/>
              </w:rPr>
            </w:pPr>
          </w:p>
        </w:tc>
        <w:tc>
          <w:tcPr>
            <w:tcW w:w="1349" w:type="dxa"/>
            <w:vMerge w:val="continue"/>
            <w:vAlign w:val="center"/>
          </w:tcPr>
          <w:p w14:paraId="2A80C989">
            <w:pPr>
              <w:adjustRightInd w:val="0"/>
              <w:snapToGrid w:val="0"/>
              <w:jc w:val="center"/>
              <w:rPr>
                <w:szCs w:val="21"/>
              </w:rPr>
            </w:pPr>
          </w:p>
        </w:tc>
        <w:tc>
          <w:tcPr>
            <w:tcW w:w="1955" w:type="dxa"/>
            <w:tcBorders>
              <w:bottom w:val="single" w:color="auto" w:sz="4" w:space="0"/>
            </w:tcBorders>
            <w:vAlign w:val="center"/>
          </w:tcPr>
          <w:p w14:paraId="2C9AD016">
            <w:pPr>
              <w:adjustRightInd w:val="0"/>
              <w:snapToGrid w:val="0"/>
              <w:jc w:val="center"/>
              <w:rPr>
                <w:szCs w:val="21"/>
              </w:rPr>
            </w:pPr>
            <w:r>
              <w:rPr>
                <w:szCs w:val="21"/>
              </w:rPr>
              <w:t>非甲烷总烃</w:t>
            </w:r>
          </w:p>
        </w:tc>
        <w:tc>
          <w:tcPr>
            <w:tcW w:w="1916" w:type="dxa"/>
            <w:vAlign w:val="center"/>
          </w:tcPr>
          <w:p w14:paraId="1E9B1134">
            <w:pPr>
              <w:adjustRightInd w:val="0"/>
              <w:snapToGrid w:val="0"/>
              <w:jc w:val="center"/>
              <w:rPr>
                <w:szCs w:val="21"/>
              </w:rPr>
            </w:pPr>
            <w:bookmarkStart w:id="180" w:name="OLE_LINK79"/>
            <w:bookmarkStart w:id="181" w:name="OLE_LINK80"/>
            <w:r>
              <w:rPr>
                <w:szCs w:val="21"/>
              </w:rPr>
              <w:t>/</w:t>
            </w:r>
            <w:bookmarkEnd w:id="180"/>
            <w:bookmarkEnd w:id="181"/>
          </w:p>
        </w:tc>
        <w:tc>
          <w:tcPr>
            <w:tcW w:w="2916" w:type="dxa"/>
            <w:vMerge w:val="restart"/>
            <w:vAlign w:val="center"/>
          </w:tcPr>
          <w:p w14:paraId="54F05DE8">
            <w:pPr>
              <w:adjustRightInd w:val="0"/>
              <w:snapToGrid w:val="0"/>
              <w:jc w:val="center"/>
              <w:rPr>
                <w:szCs w:val="21"/>
              </w:rPr>
            </w:pPr>
            <w:r>
              <w:rPr>
                <w:szCs w:val="21"/>
              </w:rPr>
              <w:t>《橡胶制品工业污染物排放标准》（GB27632-2011）</w:t>
            </w:r>
          </w:p>
        </w:tc>
      </w:tr>
      <w:tr w14:paraId="077C7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50F52542">
            <w:pPr>
              <w:adjustRightInd w:val="0"/>
              <w:snapToGrid w:val="0"/>
              <w:jc w:val="center"/>
              <w:rPr>
                <w:szCs w:val="21"/>
              </w:rPr>
            </w:pPr>
          </w:p>
        </w:tc>
        <w:tc>
          <w:tcPr>
            <w:tcW w:w="1349" w:type="dxa"/>
            <w:vMerge w:val="continue"/>
            <w:vAlign w:val="center"/>
          </w:tcPr>
          <w:p w14:paraId="516E138E">
            <w:pPr>
              <w:adjustRightInd w:val="0"/>
              <w:snapToGrid w:val="0"/>
              <w:jc w:val="center"/>
              <w:rPr>
                <w:szCs w:val="21"/>
              </w:rPr>
            </w:pPr>
          </w:p>
        </w:tc>
        <w:tc>
          <w:tcPr>
            <w:tcW w:w="1955" w:type="dxa"/>
            <w:tcBorders>
              <w:bottom w:val="single" w:color="auto" w:sz="4" w:space="0"/>
            </w:tcBorders>
            <w:vAlign w:val="center"/>
          </w:tcPr>
          <w:p w14:paraId="621998E0">
            <w:pPr>
              <w:adjustRightInd w:val="0"/>
              <w:snapToGrid w:val="0"/>
              <w:jc w:val="center"/>
              <w:rPr>
                <w:szCs w:val="21"/>
              </w:rPr>
            </w:pPr>
            <w:r>
              <w:rPr>
                <w:szCs w:val="21"/>
              </w:rPr>
              <w:t>二甲苯</w:t>
            </w:r>
          </w:p>
        </w:tc>
        <w:tc>
          <w:tcPr>
            <w:tcW w:w="1916" w:type="dxa"/>
            <w:vAlign w:val="center"/>
          </w:tcPr>
          <w:p w14:paraId="117BA6F1">
            <w:pPr>
              <w:adjustRightInd w:val="0"/>
              <w:snapToGrid w:val="0"/>
              <w:jc w:val="center"/>
              <w:rPr>
                <w:szCs w:val="21"/>
              </w:rPr>
            </w:pPr>
            <w:r>
              <w:rPr>
                <w:szCs w:val="21"/>
              </w:rPr>
              <w:t>/</w:t>
            </w:r>
          </w:p>
        </w:tc>
        <w:tc>
          <w:tcPr>
            <w:tcW w:w="2916" w:type="dxa"/>
            <w:vMerge w:val="continue"/>
            <w:vAlign w:val="center"/>
          </w:tcPr>
          <w:p w14:paraId="54B25601">
            <w:pPr>
              <w:adjustRightInd w:val="0"/>
              <w:snapToGrid w:val="0"/>
              <w:jc w:val="center"/>
              <w:rPr>
                <w:szCs w:val="21"/>
              </w:rPr>
            </w:pPr>
          </w:p>
        </w:tc>
      </w:tr>
      <w:tr w14:paraId="6316B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287AC7A5">
            <w:pPr>
              <w:adjustRightInd w:val="0"/>
              <w:snapToGrid w:val="0"/>
              <w:jc w:val="center"/>
              <w:rPr>
                <w:szCs w:val="21"/>
              </w:rPr>
            </w:pPr>
          </w:p>
        </w:tc>
        <w:tc>
          <w:tcPr>
            <w:tcW w:w="1349" w:type="dxa"/>
            <w:vMerge w:val="continue"/>
            <w:vAlign w:val="center"/>
          </w:tcPr>
          <w:p w14:paraId="11C58092">
            <w:pPr>
              <w:adjustRightInd w:val="0"/>
              <w:snapToGrid w:val="0"/>
              <w:jc w:val="center"/>
              <w:rPr>
                <w:szCs w:val="21"/>
              </w:rPr>
            </w:pPr>
          </w:p>
        </w:tc>
        <w:tc>
          <w:tcPr>
            <w:tcW w:w="1955" w:type="dxa"/>
            <w:tcBorders>
              <w:bottom w:val="single" w:color="auto" w:sz="4" w:space="0"/>
            </w:tcBorders>
            <w:vAlign w:val="center"/>
          </w:tcPr>
          <w:p w14:paraId="4CC86E7E">
            <w:pPr>
              <w:adjustRightInd w:val="0"/>
              <w:snapToGrid w:val="0"/>
              <w:jc w:val="center"/>
              <w:rPr>
                <w:szCs w:val="21"/>
              </w:rPr>
            </w:pPr>
            <w:r>
              <w:rPr>
                <w:szCs w:val="21"/>
              </w:rPr>
              <w:t>颗粒物</w:t>
            </w:r>
          </w:p>
        </w:tc>
        <w:tc>
          <w:tcPr>
            <w:tcW w:w="1916" w:type="dxa"/>
            <w:vAlign w:val="center"/>
          </w:tcPr>
          <w:p w14:paraId="2637C8E1">
            <w:pPr>
              <w:adjustRightInd w:val="0"/>
              <w:snapToGrid w:val="0"/>
              <w:jc w:val="center"/>
              <w:rPr>
                <w:szCs w:val="21"/>
              </w:rPr>
            </w:pPr>
            <w:r>
              <w:rPr>
                <w:szCs w:val="21"/>
              </w:rPr>
              <w:t>/</w:t>
            </w:r>
          </w:p>
        </w:tc>
        <w:tc>
          <w:tcPr>
            <w:tcW w:w="2916" w:type="dxa"/>
            <w:vMerge w:val="continue"/>
            <w:vAlign w:val="center"/>
          </w:tcPr>
          <w:p w14:paraId="7AED5091">
            <w:pPr>
              <w:adjustRightInd w:val="0"/>
              <w:snapToGrid w:val="0"/>
              <w:jc w:val="center"/>
              <w:rPr>
                <w:szCs w:val="21"/>
              </w:rPr>
            </w:pPr>
          </w:p>
        </w:tc>
      </w:tr>
      <w:tr w14:paraId="385E8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7433B25F">
            <w:pPr>
              <w:adjustRightInd w:val="0"/>
              <w:snapToGrid w:val="0"/>
              <w:jc w:val="center"/>
              <w:rPr>
                <w:szCs w:val="21"/>
              </w:rPr>
            </w:pPr>
          </w:p>
        </w:tc>
        <w:tc>
          <w:tcPr>
            <w:tcW w:w="1349" w:type="dxa"/>
            <w:vAlign w:val="center"/>
          </w:tcPr>
          <w:p w14:paraId="641371E8">
            <w:pPr>
              <w:adjustRightInd w:val="0"/>
              <w:snapToGrid w:val="0"/>
              <w:jc w:val="center"/>
              <w:rPr>
                <w:szCs w:val="21"/>
              </w:rPr>
            </w:pPr>
            <w:r>
              <w:rPr>
                <w:szCs w:val="21"/>
              </w:rPr>
              <w:t>厂区内</w:t>
            </w:r>
          </w:p>
        </w:tc>
        <w:tc>
          <w:tcPr>
            <w:tcW w:w="1955" w:type="dxa"/>
            <w:tcBorders>
              <w:bottom w:val="single" w:color="auto" w:sz="4" w:space="0"/>
            </w:tcBorders>
            <w:vAlign w:val="center"/>
          </w:tcPr>
          <w:p w14:paraId="2542E018">
            <w:pPr>
              <w:adjustRightInd w:val="0"/>
              <w:snapToGrid w:val="0"/>
              <w:jc w:val="center"/>
              <w:rPr>
                <w:szCs w:val="21"/>
              </w:rPr>
            </w:pPr>
            <w:r>
              <w:rPr>
                <w:szCs w:val="21"/>
              </w:rPr>
              <w:t>非甲烷总烃</w:t>
            </w:r>
          </w:p>
        </w:tc>
        <w:tc>
          <w:tcPr>
            <w:tcW w:w="1916" w:type="dxa"/>
            <w:vAlign w:val="center"/>
          </w:tcPr>
          <w:p w14:paraId="1154E9D2">
            <w:pPr>
              <w:adjustRightInd w:val="0"/>
              <w:snapToGrid w:val="0"/>
              <w:jc w:val="center"/>
              <w:rPr>
                <w:szCs w:val="21"/>
              </w:rPr>
            </w:pPr>
            <w:r>
              <w:rPr>
                <w:szCs w:val="21"/>
              </w:rPr>
              <w:t>/</w:t>
            </w:r>
          </w:p>
        </w:tc>
        <w:tc>
          <w:tcPr>
            <w:tcW w:w="2916" w:type="dxa"/>
            <w:vAlign w:val="center"/>
          </w:tcPr>
          <w:p w14:paraId="0319D9AA">
            <w:pPr>
              <w:adjustRightInd w:val="0"/>
              <w:snapToGrid w:val="0"/>
              <w:jc w:val="center"/>
              <w:rPr>
                <w:szCs w:val="21"/>
              </w:rPr>
            </w:pPr>
            <w:r>
              <w:rPr>
                <w:szCs w:val="21"/>
              </w:rPr>
              <w:t>《大气污染物综合排放标准》（DB32/4041-2021）</w:t>
            </w:r>
          </w:p>
        </w:tc>
      </w:tr>
      <w:tr w14:paraId="35337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restart"/>
            <w:vAlign w:val="center"/>
          </w:tcPr>
          <w:p w14:paraId="766D54C2">
            <w:pPr>
              <w:adjustRightInd w:val="0"/>
              <w:snapToGrid w:val="0"/>
              <w:jc w:val="center"/>
              <w:rPr>
                <w:szCs w:val="21"/>
              </w:rPr>
            </w:pPr>
            <w:r>
              <w:rPr>
                <w:szCs w:val="21"/>
              </w:rPr>
              <w:t>地表水环境</w:t>
            </w:r>
          </w:p>
        </w:tc>
        <w:tc>
          <w:tcPr>
            <w:tcW w:w="1349" w:type="dxa"/>
            <w:vAlign w:val="center"/>
          </w:tcPr>
          <w:p w14:paraId="7D9D5F34">
            <w:pPr>
              <w:adjustRightInd w:val="0"/>
              <w:snapToGrid w:val="0"/>
              <w:jc w:val="center"/>
              <w:rPr>
                <w:szCs w:val="21"/>
              </w:rPr>
            </w:pPr>
            <w:r>
              <w:rPr>
                <w:szCs w:val="21"/>
              </w:rPr>
              <w:t>生活污水</w:t>
            </w:r>
          </w:p>
        </w:tc>
        <w:tc>
          <w:tcPr>
            <w:tcW w:w="1955" w:type="dxa"/>
            <w:tcBorders>
              <w:bottom w:val="single" w:color="auto" w:sz="4" w:space="0"/>
            </w:tcBorders>
            <w:vAlign w:val="center"/>
          </w:tcPr>
          <w:p w14:paraId="70900DE2">
            <w:pPr>
              <w:adjustRightInd w:val="0"/>
              <w:snapToGrid w:val="0"/>
              <w:jc w:val="center"/>
              <w:rPr>
                <w:szCs w:val="21"/>
              </w:rPr>
            </w:pPr>
            <w:bookmarkStart w:id="182" w:name="OLE_LINK22"/>
            <w:bookmarkStart w:id="183" w:name="OLE_LINK21"/>
            <w:r>
              <w:rPr>
                <w:rFonts w:hint="eastAsia"/>
                <w:szCs w:val="21"/>
              </w:rPr>
              <w:t>pH、</w:t>
            </w:r>
            <w:bookmarkEnd w:id="182"/>
            <w:bookmarkEnd w:id="183"/>
            <w:r>
              <w:rPr>
                <w:szCs w:val="21"/>
              </w:rPr>
              <w:t>COD、SS、氨氮、总磷、总氮</w:t>
            </w:r>
            <w:r>
              <w:rPr>
                <w:rFonts w:hint="eastAsia"/>
                <w:szCs w:val="21"/>
              </w:rPr>
              <w:t>、石油类、动植物油类</w:t>
            </w:r>
          </w:p>
        </w:tc>
        <w:tc>
          <w:tcPr>
            <w:tcW w:w="1916" w:type="dxa"/>
            <w:vAlign w:val="center"/>
          </w:tcPr>
          <w:p w14:paraId="1447DA39">
            <w:pPr>
              <w:adjustRightInd w:val="0"/>
              <w:snapToGrid w:val="0"/>
              <w:jc w:val="center"/>
              <w:rPr>
                <w:szCs w:val="21"/>
              </w:rPr>
            </w:pPr>
            <w:r>
              <w:rPr>
                <w:szCs w:val="21"/>
              </w:rPr>
              <w:t>接管至</w:t>
            </w:r>
            <w:r>
              <w:rPr>
                <w:kern w:val="0"/>
                <w:szCs w:val="21"/>
              </w:rPr>
              <w:t>常州金坛区第二污水处理有限公司</w:t>
            </w:r>
          </w:p>
        </w:tc>
        <w:tc>
          <w:tcPr>
            <w:tcW w:w="2916" w:type="dxa"/>
            <w:vAlign w:val="center"/>
          </w:tcPr>
          <w:p w14:paraId="7AB7E508">
            <w:pPr>
              <w:adjustRightInd w:val="0"/>
              <w:snapToGrid w:val="0"/>
              <w:jc w:val="center"/>
            </w:pPr>
            <w:r>
              <w:t>《橡胶制品工业污染物排放标准》（GB27632-2011）及常州金坛区第二污水处理有限公司接管限值要求</w:t>
            </w:r>
          </w:p>
        </w:tc>
      </w:tr>
      <w:tr w14:paraId="74408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3AD73EED">
            <w:pPr>
              <w:adjustRightInd w:val="0"/>
              <w:snapToGrid w:val="0"/>
              <w:jc w:val="center"/>
              <w:rPr>
                <w:szCs w:val="21"/>
              </w:rPr>
            </w:pPr>
          </w:p>
        </w:tc>
        <w:tc>
          <w:tcPr>
            <w:tcW w:w="1349" w:type="dxa"/>
            <w:shd w:val="clear" w:color="auto" w:fill="auto"/>
            <w:vAlign w:val="center"/>
          </w:tcPr>
          <w:p w14:paraId="2B7B0622">
            <w:pPr>
              <w:adjustRightInd w:val="0"/>
              <w:snapToGrid w:val="0"/>
              <w:jc w:val="center"/>
              <w:rPr>
                <w:szCs w:val="21"/>
              </w:rPr>
            </w:pPr>
            <w:r>
              <w:rPr>
                <w:szCs w:val="21"/>
              </w:rPr>
              <w:t>冷却塔排水、纯水制备弃水</w:t>
            </w:r>
          </w:p>
        </w:tc>
        <w:tc>
          <w:tcPr>
            <w:tcW w:w="1955" w:type="dxa"/>
            <w:tcBorders>
              <w:bottom w:val="single" w:color="auto" w:sz="4" w:space="0"/>
            </w:tcBorders>
            <w:shd w:val="clear" w:color="auto" w:fill="auto"/>
            <w:vAlign w:val="center"/>
          </w:tcPr>
          <w:p w14:paraId="5D1EE9A6">
            <w:pPr>
              <w:adjustRightInd w:val="0"/>
              <w:snapToGrid w:val="0"/>
              <w:jc w:val="center"/>
              <w:rPr>
                <w:szCs w:val="21"/>
              </w:rPr>
            </w:pPr>
            <w:r>
              <w:rPr>
                <w:rFonts w:hint="eastAsia"/>
                <w:szCs w:val="21"/>
              </w:rPr>
              <w:t>pH、</w:t>
            </w:r>
            <w:r>
              <w:rPr>
                <w:szCs w:val="21"/>
              </w:rPr>
              <w:t>COD、</w:t>
            </w:r>
            <w:r>
              <w:rPr>
                <w:rFonts w:hint="eastAsia"/>
                <w:szCs w:val="21"/>
              </w:rPr>
              <w:t>SS</w:t>
            </w:r>
          </w:p>
        </w:tc>
        <w:tc>
          <w:tcPr>
            <w:tcW w:w="1916" w:type="dxa"/>
            <w:vAlign w:val="center"/>
          </w:tcPr>
          <w:p w14:paraId="132A24AF">
            <w:pPr>
              <w:adjustRightInd w:val="0"/>
              <w:snapToGrid w:val="0"/>
              <w:jc w:val="center"/>
              <w:rPr>
                <w:szCs w:val="21"/>
              </w:rPr>
            </w:pPr>
            <w:r>
              <w:rPr>
                <w:rFonts w:hint="eastAsia"/>
                <w:szCs w:val="21"/>
              </w:rPr>
              <w:t>作为清下水排入雨水管网</w:t>
            </w:r>
          </w:p>
        </w:tc>
        <w:tc>
          <w:tcPr>
            <w:tcW w:w="2916" w:type="dxa"/>
            <w:vAlign w:val="center"/>
          </w:tcPr>
          <w:p w14:paraId="67DC6444">
            <w:pPr>
              <w:adjustRightInd w:val="0"/>
              <w:snapToGrid w:val="0"/>
              <w:jc w:val="center"/>
            </w:pPr>
            <w:r>
              <w:rPr>
                <w:rFonts w:hint="eastAsia"/>
              </w:rPr>
              <w:t>《地表水环境质量标准》（GB3838-2002）表1中</w:t>
            </w:r>
            <w:r>
              <w:t>Ⅲ类</w:t>
            </w:r>
            <w:r>
              <w:rPr>
                <w:rFonts w:hint="eastAsia"/>
              </w:rPr>
              <w:t>标准</w:t>
            </w:r>
          </w:p>
        </w:tc>
      </w:tr>
      <w:tr w14:paraId="05700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0C4B2DC4">
            <w:pPr>
              <w:adjustRightInd w:val="0"/>
              <w:snapToGrid w:val="0"/>
              <w:jc w:val="center"/>
              <w:rPr>
                <w:szCs w:val="21"/>
              </w:rPr>
            </w:pPr>
          </w:p>
        </w:tc>
        <w:tc>
          <w:tcPr>
            <w:tcW w:w="1349" w:type="dxa"/>
            <w:vAlign w:val="center"/>
          </w:tcPr>
          <w:p w14:paraId="265372C5">
            <w:pPr>
              <w:adjustRightInd w:val="0"/>
              <w:snapToGrid w:val="0"/>
              <w:jc w:val="center"/>
              <w:rPr>
                <w:szCs w:val="21"/>
              </w:rPr>
            </w:pPr>
            <w:r>
              <w:rPr>
                <w:szCs w:val="21"/>
              </w:rPr>
              <w:t>模具清洗废水</w:t>
            </w:r>
          </w:p>
        </w:tc>
        <w:tc>
          <w:tcPr>
            <w:tcW w:w="1955" w:type="dxa"/>
            <w:vMerge w:val="restart"/>
            <w:vAlign w:val="center"/>
          </w:tcPr>
          <w:p w14:paraId="2C647191">
            <w:pPr>
              <w:adjustRightInd w:val="0"/>
              <w:snapToGrid w:val="0"/>
              <w:jc w:val="center"/>
              <w:rPr>
                <w:szCs w:val="21"/>
              </w:rPr>
            </w:pPr>
            <w:bookmarkStart w:id="184" w:name="OLE_LINK32"/>
            <w:bookmarkStart w:id="185" w:name="OLE_LINK31"/>
            <w:r>
              <w:rPr>
                <w:rFonts w:hint="eastAsia"/>
                <w:bCs/>
                <w:szCs w:val="21"/>
              </w:rPr>
              <w:t>pH、</w:t>
            </w:r>
            <w:bookmarkEnd w:id="184"/>
            <w:bookmarkEnd w:id="185"/>
            <w:r>
              <w:rPr>
                <w:bCs/>
                <w:szCs w:val="21"/>
              </w:rPr>
              <w:t>COD、SS、石油类、阴离子表面活性剂、</w:t>
            </w:r>
            <w:r>
              <w:rPr>
                <w:rFonts w:hint="eastAsia"/>
                <w:bCs/>
                <w:szCs w:val="21"/>
              </w:rPr>
              <w:t>TP、TN、总锌</w:t>
            </w:r>
          </w:p>
        </w:tc>
        <w:tc>
          <w:tcPr>
            <w:tcW w:w="1916" w:type="dxa"/>
            <w:vMerge w:val="restart"/>
            <w:vAlign w:val="center"/>
          </w:tcPr>
          <w:p w14:paraId="095AAFBB">
            <w:pPr>
              <w:adjustRightInd w:val="0"/>
              <w:snapToGrid w:val="0"/>
              <w:jc w:val="center"/>
              <w:rPr>
                <w:szCs w:val="21"/>
              </w:rPr>
            </w:pPr>
            <w:r>
              <w:t>电泳水洗废水经调节+气浮+超级氧化+沉淀预处理；其余废水经调节+反应槽+高效沉淀预处理；水解酸化+MBR+石英砂过滤+活性炭过滤+超滤+反渗透+M</w:t>
            </w:r>
            <w:r>
              <w:rPr>
                <w:rFonts w:hint="eastAsia"/>
              </w:rPr>
              <w:t>V</w:t>
            </w:r>
            <w:r>
              <w:t>R蒸发浓缩</w:t>
            </w:r>
          </w:p>
        </w:tc>
        <w:tc>
          <w:tcPr>
            <w:tcW w:w="2916" w:type="dxa"/>
            <w:vMerge w:val="restart"/>
            <w:vAlign w:val="center"/>
          </w:tcPr>
          <w:p w14:paraId="0B18929E">
            <w:pPr>
              <w:adjustRightInd w:val="0"/>
              <w:snapToGrid w:val="0"/>
              <w:jc w:val="center"/>
              <w:rPr>
                <w:kern w:val="0"/>
                <w:szCs w:val="21"/>
              </w:rPr>
            </w:pPr>
            <w:r>
              <w:rPr>
                <w:szCs w:val="21"/>
              </w:rPr>
              <w:t>《城市污水再生利用 工业用水水质》（GB/T19923-2024）</w:t>
            </w:r>
          </w:p>
        </w:tc>
      </w:tr>
      <w:tr w14:paraId="6B9A1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5A5E998F">
            <w:pPr>
              <w:adjustRightInd w:val="0"/>
              <w:snapToGrid w:val="0"/>
              <w:jc w:val="center"/>
              <w:rPr>
                <w:szCs w:val="21"/>
              </w:rPr>
            </w:pPr>
          </w:p>
        </w:tc>
        <w:tc>
          <w:tcPr>
            <w:tcW w:w="1349" w:type="dxa"/>
            <w:vAlign w:val="center"/>
          </w:tcPr>
          <w:p w14:paraId="23425FB7">
            <w:pPr>
              <w:adjustRightInd w:val="0"/>
              <w:snapToGrid w:val="0"/>
              <w:jc w:val="center"/>
              <w:rPr>
                <w:szCs w:val="21"/>
              </w:rPr>
            </w:pPr>
            <w:r>
              <w:rPr>
                <w:szCs w:val="21"/>
              </w:rPr>
              <w:t>产品清洗废水（包括脱脂后清洗废水、</w:t>
            </w:r>
            <w:r>
              <w:rPr>
                <w:rFonts w:hint="eastAsia"/>
                <w:szCs w:val="21"/>
                <w:highlight w:val="black"/>
                <w:lang w:val="en-US" w:eastAsia="zh-CN"/>
              </w:rPr>
              <w:t xml:space="preserve">  </w:t>
            </w:r>
            <w:r>
              <w:rPr>
                <w:rFonts w:hint="eastAsia"/>
                <w:szCs w:val="21"/>
                <w:lang w:val="en-US" w:eastAsia="zh-CN"/>
              </w:rPr>
              <w:t xml:space="preserve">  </w:t>
            </w:r>
            <w:r>
              <w:rPr>
                <w:szCs w:val="21"/>
              </w:rPr>
              <w:t>清洗废水等）</w:t>
            </w:r>
          </w:p>
        </w:tc>
        <w:tc>
          <w:tcPr>
            <w:tcW w:w="1955" w:type="dxa"/>
            <w:vMerge w:val="continue"/>
            <w:tcBorders>
              <w:bottom w:val="single" w:color="auto" w:sz="4" w:space="0"/>
            </w:tcBorders>
            <w:vAlign w:val="center"/>
          </w:tcPr>
          <w:p w14:paraId="5194EE81">
            <w:pPr>
              <w:adjustRightInd w:val="0"/>
              <w:snapToGrid w:val="0"/>
              <w:jc w:val="center"/>
              <w:rPr>
                <w:szCs w:val="21"/>
              </w:rPr>
            </w:pPr>
          </w:p>
        </w:tc>
        <w:tc>
          <w:tcPr>
            <w:tcW w:w="1916" w:type="dxa"/>
            <w:vMerge w:val="continue"/>
            <w:vAlign w:val="center"/>
          </w:tcPr>
          <w:p w14:paraId="46FC5AD5">
            <w:pPr>
              <w:adjustRightInd w:val="0"/>
              <w:snapToGrid w:val="0"/>
              <w:jc w:val="center"/>
              <w:rPr>
                <w:szCs w:val="21"/>
              </w:rPr>
            </w:pPr>
          </w:p>
        </w:tc>
        <w:tc>
          <w:tcPr>
            <w:tcW w:w="2916" w:type="dxa"/>
            <w:vMerge w:val="continue"/>
            <w:vAlign w:val="center"/>
          </w:tcPr>
          <w:p w14:paraId="6F227506">
            <w:pPr>
              <w:adjustRightInd w:val="0"/>
              <w:snapToGrid w:val="0"/>
              <w:jc w:val="center"/>
              <w:rPr>
                <w:kern w:val="0"/>
                <w:szCs w:val="21"/>
              </w:rPr>
            </w:pPr>
          </w:p>
        </w:tc>
      </w:tr>
      <w:tr w14:paraId="7CD83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Merge w:val="continue"/>
            <w:vAlign w:val="center"/>
          </w:tcPr>
          <w:p w14:paraId="2EC0B5CF">
            <w:pPr>
              <w:adjustRightInd w:val="0"/>
              <w:snapToGrid w:val="0"/>
              <w:jc w:val="center"/>
              <w:rPr>
                <w:szCs w:val="21"/>
              </w:rPr>
            </w:pPr>
          </w:p>
        </w:tc>
        <w:tc>
          <w:tcPr>
            <w:tcW w:w="1349" w:type="dxa"/>
            <w:vAlign w:val="center"/>
          </w:tcPr>
          <w:p w14:paraId="655B852D">
            <w:pPr>
              <w:adjustRightInd w:val="0"/>
              <w:snapToGrid w:val="0"/>
              <w:jc w:val="center"/>
              <w:rPr>
                <w:szCs w:val="21"/>
              </w:rPr>
            </w:pPr>
            <w:r>
              <w:rPr>
                <w:szCs w:val="21"/>
              </w:rPr>
              <w:t>喷淋塔废水</w:t>
            </w:r>
          </w:p>
        </w:tc>
        <w:tc>
          <w:tcPr>
            <w:tcW w:w="1955" w:type="dxa"/>
            <w:tcBorders>
              <w:bottom w:val="single" w:color="auto" w:sz="4" w:space="0"/>
            </w:tcBorders>
            <w:vAlign w:val="center"/>
          </w:tcPr>
          <w:p w14:paraId="71337B1F">
            <w:pPr>
              <w:adjustRightInd w:val="0"/>
              <w:snapToGrid w:val="0"/>
              <w:jc w:val="center"/>
              <w:rPr>
                <w:szCs w:val="21"/>
              </w:rPr>
            </w:pPr>
            <w:r>
              <w:rPr>
                <w:rFonts w:hint="eastAsia"/>
                <w:bCs/>
                <w:szCs w:val="21"/>
              </w:rPr>
              <w:t>pH、</w:t>
            </w:r>
            <w:r>
              <w:rPr>
                <w:bCs/>
                <w:szCs w:val="21"/>
              </w:rPr>
              <w:t>COD、SS、硫化物、氟化物</w:t>
            </w:r>
          </w:p>
        </w:tc>
        <w:tc>
          <w:tcPr>
            <w:tcW w:w="1916" w:type="dxa"/>
            <w:vMerge w:val="continue"/>
            <w:vAlign w:val="center"/>
          </w:tcPr>
          <w:p w14:paraId="752508D6">
            <w:pPr>
              <w:adjustRightInd w:val="0"/>
              <w:snapToGrid w:val="0"/>
              <w:jc w:val="center"/>
              <w:rPr>
                <w:szCs w:val="21"/>
              </w:rPr>
            </w:pPr>
          </w:p>
        </w:tc>
        <w:tc>
          <w:tcPr>
            <w:tcW w:w="2916" w:type="dxa"/>
            <w:vMerge w:val="continue"/>
            <w:vAlign w:val="center"/>
          </w:tcPr>
          <w:p w14:paraId="711EE02F">
            <w:pPr>
              <w:adjustRightInd w:val="0"/>
              <w:snapToGrid w:val="0"/>
              <w:jc w:val="center"/>
              <w:rPr>
                <w:kern w:val="0"/>
                <w:szCs w:val="21"/>
              </w:rPr>
            </w:pPr>
          </w:p>
        </w:tc>
      </w:tr>
      <w:tr w14:paraId="730CC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Align w:val="center"/>
          </w:tcPr>
          <w:p w14:paraId="5F968BB2">
            <w:pPr>
              <w:adjustRightInd w:val="0"/>
              <w:snapToGrid w:val="0"/>
              <w:jc w:val="center"/>
              <w:rPr>
                <w:szCs w:val="21"/>
              </w:rPr>
            </w:pPr>
            <w:r>
              <w:rPr>
                <w:szCs w:val="21"/>
              </w:rPr>
              <w:t>声环境</w:t>
            </w:r>
          </w:p>
        </w:tc>
        <w:tc>
          <w:tcPr>
            <w:tcW w:w="1349" w:type="dxa"/>
            <w:vAlign w:val="center"/>
          </w:tcPr>
          <w:p w14:paraId="4DFFB949">
            <w:pPr>
              <w:adjustRightInd w:val="0"/>
              <w:snapToGrid w:val="0"/>
              <w:jc w:val="center"/>
              <w:rPr>
                <w:szCs w:val="21"/>
              </w:rPr>
            </w:pPr>
            <w:r>
              <w:rPr>
                <w:szCs w:val="21"/>
              </w:rPr>
              <w:t>生产车间</w:t>
            </w:r>
          </w:p>
        </w:tc>
        <w:tc>
          <w:tcPr>
            <w:tcW w:w="1955" w:type="dxa"/>
            <w:vAlign w:val="center"/>
          </w:tcPr>
          <w:p w14:paraId="5DF5442D">
            <w:pPr>
              <w:adjustRightInd w:val="0"/>
              <w:snapToGrid w:val="0"/>
              <w:jc w:val="center"/>
              <w:rPr>
                <w:szCs w:val="21"/>
              </w:rPr>
            </w:pPr>
            <w:r>
              <w:rPr>
                <w:szCs w:val="21"/>
              </w:rPr>
              <w:t>噪声</w:t>
            </w:r>
          </w:p>
        </w:tc>
        <w:tc>
          <w:tcPr>
            <w:tcW w:w="1916" w:type="dxa"/>
            <w:vAlign w:val="center"/>
          </w:tcPr>
          <w:p w14:paraId="79C80687">
            <w:pPr>
              <w:adjustRightInd w:val="0"/>
              <w:snapToGrid w:val="0"/>
              <w:jc w:val="center"/>
              <w:rPr>
                <w:szCs w:val="21"/>
              </w:rPr>
            </w:pPr>
            <w:r>
              <w:rPr>
                <w:szCs w:val="21"/>
              </w:rPr>
              <w:t>厂墙隔声、距离衰减等</w:t>
            </w:r>
          </w:p>
        </w:tc>
        <w:tc>
          <w:tcPr>
            <w:tcW w:w="2916" w:type="dxa"/>
            <w:vAlign w:val="center"/>
          </w:tcPr>
          <w:p w14:paraId="5B6BFAA8">
            <w:pPr>
              <w:adjustRightInd w:val="0"/>
              <w:snapToGrid w:val="0"/>
              <w:jc w:val="center"/>
              <w:rPr>
                <w:szCs w:val="21"/>
              </w:rPr>
            </w:pPr>
            <w:r>
              <w:rPr>
                <w:szCs w:val="21"/>
              </w:rPr>
              <w:t>《工业企业厂界环境噪声排放标准》（GB12348-2008）</w:t>
            </w:r>
          </w:p>
        </w:tc>
      </w:tr>
      <w:tr w14:paraId="54F5C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Align w:val="center"/>
          </w:tcPr>
          <w:p w14:paraId="26061E60">
            <w:pPr>
              <w:pStyle w:val="78"/>
              <w:adjustRightInd w:val="0"/>
              <w:snapToGrid w:val="0"/>
              <w:rPr>
                <w:rFonts w:ascii="Times New Roman" w:hAnsi="Times New Roman" w:eastAsia="宋体"/>
                <w:szCs w:val="21"/>
              </w:rPr>
            </w:pPr>
            <w:r>
              <w:rPr>
                <w:rFonts w:ascii="Times New Roman" w:hAnsi="Times New Roman" w:eastAsia="宋体"/>
                <w:szCs w:val="21"/>
              </w:rPr>
              <w:t>固体废物</w:t>
            </w:r>
          </w:p>
        </w:tc>
        <w:tc>
          <w:tcPr>
            <w:tcW w:w="8136" w:type="dxa"/>
            <w:gridSpan w:val="4"/>
            <w:vAlign w:val="center"/>
          </w:tcPr>
          <w:p w14:paraId="69DDCA76">
            <w:pPr>
              <w:adjustRightInd w:val="0"/>
              <w:snapToGrid w:val="0"/>
              <w:ind w:firstLine="420" w:firstLineChars="200"/>
              <w:rPr>
                <w:kern w:val="0"/>
                <w:szCs w:val="21"/>
              </w:rPr>
            </w:pPr>
            <w:r>
              <w:rPr>
                <w:kern w:val="0"/>
                <w:szCs w:val="21"/>
              </w:rPr>
              <w:t>扩建项目产生的一般工业固体废物主要为</w:t>
            </w:r>
            <w:r>
              <w:rPr>
                <w:rFonts w:hint="eastAsia"/>
                <w:szCs w:val="21"/>
              </w:rPr>
              <w:t>废胶料、废橡胶边角料、废金属边角料及收集粉尘等</w:t>
            </w:r>
            <w:r>
              <w:rPr>
                <w:szCs w:val="21"/>
              </w:rPr>
              <w:t>，均外售物资单位综合利用</w:t>
            </w:r>
            <w:r>
              <w:rPr>
                <w:kern w:val="0"/>
                <w:szCs w:val="21"/>
              </w:rPr>
              <w:t>；产生的危险废物主要为</w:t>
            </w:r>
            <w:r>
              <w:rPr>
                <w:rFonts w:hint="eastAsia"/>
                <w:szCs w:val="21"/>
              </w:rPr>
              <w:t>污泥、蒸发器残渣、废活性炭、废包装桶、废胶黏剂、废切削液等</w:t>
            </w:r>
            <w:r>
              <w:rPr>
                <w:szCs w:val="21"/>
              </w:rPr>
              <w:t>，均收集后委托有资质单位处置；生活垃圾委托环卫部门定期清运</w:t>
            </w:r>
            <w:r>
              <w:rPr>
                <w:kern w:val="0"/>
                <w:szCs w:val="21"/>
              </w:rPr>
              <w:t>。</w:t>
            </w:r>
          </w:p>
          <w:p w14:paraId="6DA0B24B">
            <w:pPr>
              <w:pStyle w:val="5"/>
              <w:ind w:firstLine="420"/>
              <w:rPr>
                <w:szCs w:val="21"/>
              </w:rPr>
            </w:pPr>
            <w:r>
              <w:rPr>
                <w:szCs w:val="21"/>
              </w:rPr>
              <w:t>依托厂区内现有危险废物仓库（30m</w:t>
            </w:r>
            <w:r>
              <w:rPr>
                <w:szCs w:val="21"/>
                <w:vertAlign w:val="superscript"/>
              </w:rPr>
              <w:t>2</w:t>
            </w:r>
            <w:r>
              <w:rPr>
                <w:szCs w:val="21"/>
              </w:rPr>
              <w:t>）及一般固体废仓库（</w:t>
            </w:r>
            <w:r>
              <w:rPr>
                <w:rFonts w:hint="eastAsia"/>
                <w:szCs w:val="21"/>
              </w:rPr>
              <w:t>100</w:t>
            </w:r>
            <w:r>
              <w:rPr>
                <w:szCs w:val="21"/>
              </w:rPr>
              <w:t>m</w:t>
            </w:r>
            <w:r>
              <w:rPr>
                <w:szCs w:val="21"/>
                <w:vertAlign w:val="superscript"/>
              </w:rPr>
              <w:t>2</w:t>
            </w:r>
            <w:r>
              <w:rPr>
                <w:szCs w:val="21"/>
              </w:rPr>
              <w:t>）。危险废物仓库已严格按照防风、防晒、防雨、防漏、防渗、防腐要求进行设置，贮存场所符合消防要求，贮存场所内采用安全照明设施，并设置观察窗口；</w:t>
            </w:r>
            <w:r>
              <w:rPr>
                <w:kern w:val="0"/>
                <w:szCs w:val="21"/>
              </w:rPr>
              <w:t>对一般固体废物实行分类收集，选择满足要求的容器进行包装贮存，固体废物分类定点堆放，堆放场所远离办公区和周围环境敏感点。</w:t>
            </w:r>
          </w:p>
        </w:tc>
      </w:tr>
      <w:tr w14:paraId="55D76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Align w:val="center"/>
          </w:tcPr>
          <w:p w14:paraId="275B24E9">
            <w:pPr>
              <w:adjustRightInd w:val="0"/>
              <w:snapToGrid w:val="0"/>
              <w:jc w:val="center"/>
              <w:rPr>
                <w:szCs w:val="21"/>
              </w:rPr>
            </w:pPr>
            <w:r>
              <w:rPr>
                <w:szCs w:val="21"/>
              </w:rPr>
              <w:t>土壤及地下水污染防治措施</w:t>
            </w:r>
          </w:p>
        </w:tc>
        <w:tc>
          <w:tcPr>
            <w:tcW w:w="8136" w:type="dxa"/>
            <w:gridSpan w:val="4"/>
            <w:vAlign w:val="center"/>
          </w:tcPr>
          <w:p w14:paraId="7F5B5295">
            <w:pPr>
              <w:pStyle w:val="78"/>
              <w:adjustRightInd w:val="0"/>
              <w:snapToGrid w:val="0"/>
              <w:jc w:val="left"/>
              <w:rPr>
                <w:rFonts w:ascii="Times New Roman" w:hAnsi="Times New Roman" w:eastAsia="宋体"/>
                <w:szCs w:val="21"/>
              </w:rPr>
            </w:pPr>
            <w:r>
              <w:rPr>
                <w:rFonts w:ascii="Times New Roman" w:hAnsi="Times New Roman" w:eastAsia="宋体"/>
                <w:szCs w:val="21"/>
              </w:rPr>
              <w:t>1、源头控制原料的跑冒滴漏、雨水的浸淋、溢流等；</w:t>
            </w:r>
          </w:p>
          <w:p w14:paraId="3876841B">
            <w:pPr>
              <w:pStyle w:val="78"/>
              <w:adjustRightInd w:val="0"/>
              <w:snapToGrid w:val="0"/>
              <w:jc w:val="left"/>
              <w:rPr>
                <w:rFonts w:ascii="Times New Roman" w:hAnsi="Times New Roman" w:eastAsia="宋体"/>
                <w:szCs w:val="21"/>
              </w:rPr>
            </w:pPr>
            <w:r>
              <w:rPr>
                <w:rFonts w:ascii="Times New Roman" w:hAnsi="Times New Roman" w:eastAsia="宋体"/>
                <w:szCs w:val="21"/>
              </w:rPr>
              <w:t>2、分区防渗，对危险废物仓库、涉及液态原料生产装置区域、原料仓库、化学品仓库等区域实施重点防渗措施，生产车间内其余区域进行一般防渗，厂区内办公区域、检验车间等其他区域进行简单防渗。</w:t>
            </w:r>
          </w:p>
        </w:tc>
      </w:tr>
      <w:tr w14:paraId="67419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Align w:val="center"/>
          </w:tcPr>
          <w:p w14:paraId="1E769548">
            <w:pPr>
              <w:adjustRightInd w:val="0"/>
              <w:snapToGrid w:val="0"/>
              <w:jc w:val="center"/>
              <w:rPr>
                <w:szCs w:val="21"/>
              </w:rPr>
            </w:pPr>
            <w:r>
              <w:rPr>
                <w:szCs w:val="21"/>
              </w:rPr>
              <w:t>生态保护措施</w:t>
            </w:r>
          </w:p>
        </w:tc>
        <w:tc>
          <w:tcPr>
            <w:tcW w:w="8136" w:type="dxa"/>
            <w:gridSpan w:val="4"/>
            <w:vAlign w:val="center"/>
          </w:tcPr>
          <w:p w14:paraId="75235C78">
            <w:pPr>
              <w:pStyle w:val="78"/>
              <w:adjustRightInd w:val="0"/>
              <w:snapToGrid w:val="0"/>
              <w:jc w:val="left"/>
              <w:rPr>
                <w:rFonts w:ascii="Times New Roman" w:hAnsi="Times New Roman" w:eastAsia="宋体"/>
                <w:szCs w:val="21"/>
              </w:rPr>
            </w:pPr>
            <w:r>
              <w:rPr>
                <w:rFonts w:ascii="Times New Roman" w:hAnsi="Times New Roman" w:eastAsia="宋体"/>
                <w:szCs w:val="21"/>
              </w:rPr>
              <w:t>根据《江苏省生态空间管控区域规划》（苏政发〔2020〕1号）和《省政府关于印发江苏省国家级生态保护红线规划的通知》（苏政发〔2018〕74号），项目不在国家级生态保护红线和江苏省生态空间管控区域的保护区范围内，距项目厂界最近生态空间管控区域为长荡湖（金坛区）重要湿地，距项目厂界最近距离为</w:t>
            </w:r>
            <w:r>
              <w:rPr>
                <w:rFonts w:hint="eastAsia" w:ascii="Times New Roman" w:hAnsi="Times New Roman" w:eastAsia="宋体"/>
                <w:szCs w:val="21"/>
              </w:rPr>
              <w:t>2200</w:t>
            </w:r>
            <w:r>
              <w:rPr>
                <w:rFonts w:ascii="Times New Roman" w:hAnsi="Times New Roman" w:eastAsia="宋体"/>
                <w:szCs w:val="21"/>
              </w:rPr>
              <w:t>m。</w:t>
            </w:r>
          </w:p>
        </w:tc>
      </w:tr>
      <w:tr w14:paraId="14CCE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Align w:val="center"/>
          </w:tcPr>
          <w:p w14:paraId="552F3255">
            <w:pPr>
              <w:adjustRightInd w:val="0"/>
              <w:snapToGrid w:val="0"/>
              <w:jc w:val="center"/>
              <w:rPr>
                <w:szCs w:val="21"/>
              </w:rPr>
            </w:pPr>
            <w:r>
              <w:rPr>
                <w:szCs w:val="21"/>
              </w:rPr>
              <w:t>环境风险防范措施</w:t>
            </w:r>
          </w:p>
        </w:tc>
        <w:tc>
          <w:tcPr>
            <w:tcW w:w="8136" w:type="dxa"/>
            <w:gridSpan w:val="4"/>
            <w:vAlign w:val="center"/>
          </w:tcPr>
          <w:p w14:paraId="322BA522">
            <w:pPr>
              <w:snapToGrid w:val="0"/>
              <w:jc w:val="left"/>
              <w:rPr>
                <w:szCs w:val="21"/>
              </w:rPr>
            </w:pPr>
            <w:r>
              <w:rPr>
                <w:szCs w:val="21"/>
              </w:rPr>
              <w:t>1、厂区分区防渗；2、做好厂区环境风险管理、风险应急物质配备，对应急物资定期检查补充；3、及时对应急预案进行修订备案，按照应急预案要求定期进行应急演练。</w:t>
            </w:r>
          </w:p>
        </w:tc>
      </w:tr>
      <w:tr w14:paraId="3C4FC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64" w:type="dxa"/>
            <w:vAlign w:val="center"/>
          </w:tcPr>
          <w:p w14:paraId="52745FE6">
            <w:pPr>
              <w:adjustRightInd w:val="0"/>
              <w:snapToGrid w:val="0"/>
              <w:jc w:val="center"/>
              <w:rPr>
                <w:spacing w:val="-8"/>
                <w:szCs w:val="21"/>
              </w:rPr>
            </w:pPr>
            <w:r>
              <w:rPr>
                <w:szCs w:val="21"/>
              </w:rPr>
              <w:t>其他环境管理要求</w:t>
            </w:r>
          </w:p>
        </w:tc>
        <w:tc>
          <w:tcPr>
            <w:tcW w:w="8136" w:type="dxa"/>
            <w:gridSpan w:val="4"/>
            <w:vAlign w:val="center"/>
          </w:tcPr>
          <w:p w14:paraId="0FF2D4AB">
            <w:pPr>
              <w:jc w:val="left"/>
              <w:rPr>
                <w:szCs w:val="21"/>
              </w:rPr>
            </w:pPr>
            <w:r>
              <w:rPr>
                <w:szCs w:val="21"/>
              </w:rPr>
              <w:t>1、</w:t>
            </w:r>
            <w:bookmarkStart w:id="186" w:name="OLE_LINK159"/>
            <w:bookmarkStart w:id="187" w:name="OLE_LINK160"/>
            <w:r>
              <w:rPr>
                <w:szCs w:val="21"/>
              </w:rPr>
              <w:t>全厂以</w:t>
            </w:r>
            <w:r>
              <w:rPr>
                <w:rFonts w:hint="eastAsia"/>
                <w:kern w:val="0"/>
                <w:szCs w:val="21"/>
              </w:rPr>
              <w:t>1#车间、3#车间、4#车间分别设置100m卫生防护距离，金属表面处理车间设置50m卫生防护距离</w:t>
            </w:r>
            <w:bookmarkEnd w:id="186"/>
            <w:bookmarkEnd w:id="187"/>
            <w:r>
              <w:rPr>
                <w:kern w:val="0"/>
                <w:szCs w:val="21"/>
              </w:rPr>
              <w:t>。</w:t>
            </w:r>
            <w:r>
              <w:rPr>
                <w:szCs w:val="21"/>
              </w:rPr>
              <w:t>设置卫生防护距离，</w:t>
            </w:r>
            <w:r>
              <w:rPr>
                <w:bCs/>
                <w:szCs w:val="21"/>
              </w:rPr>
              <w:t>该范围内目前无居民、学校等环境敏感保护目标，可满足卫生防护距离设置要求，将来在该范围内也不得新建居民、学校、医院等属于环境保护目标的项目</w:t>
            </w:r>
            <w:r>
              <w:rPr>
                <w:szCs w:val="21"/>
              </w:rPr>
              <w:t>；</w:t>
            </w:r>
          </w:p>
          <w:p w14:paraId="6EB3B5E0">
            <w:pPr>
              <w:jc w:val="left"/>
              <w:rPr>
                <w:szCs w:val="21"/>
              </w:rPr>
            </w:pPr>
            <w:r>
              <w:rPr>
                <w:szCs w:val="21"/>
              </w:rPr>
              <w:t>2、项目正式运行时需签订一般固废处置协议、危险废物处置协议；</w:t>
            </w:r>
          </w:p>
          <w:p w14:paraId="4DF3D0FD">
            <w:pPr>
              <w:jc w:val="left"/>
              <w:rPr>
                <w:szCs w:val="21"/>
              </w:rPr>
            </w:pPr>
            <w:r>
              <w:rPr>
                <w:szCs w:val="21"/>
              </w:rPr>
              <w:t>3、落实危险固废台账等要求；落实废气排放口等标识牌；</w:t>
            </w:r>
          </w:p>
          <w:p w14:paraId="6B23A8D6">
            <w:pPr>
              <w:jc w:val="left"/>
            </w:pPr>
            <w:r>
              <w:rPr>
                <w:szCs w:val="21"/>
              </w:rPr>
              <w:t>4、按要求落实例行监测要求。</w:t>
            </w:r>
          </w:p>
        </w:tc>
      </w:tr>
    </w:tbl>
    <w:p w14:paraId="444B2E88">
      <w:pPr>
        <w:pStyle w:val="21"/>
        <w:jc w:val="center"/>
        <w:outlineLvl w:val="0"/>
        <w:rPr>
          <w:rFonts w:ascii="Times New Roman" w:hAnsi="Times New Roman"/>
          <w:b/>
          <w:bCs/>
          <w:snapToGrid w:val="0"/>
          <w:sz w:val="21"/>
          <w:szCs w:val="21"/>
        </w:rPr>
      </w:pPr>
      <w:r>
        <w:rPr>
          <w:rFonts w:ascii="Times New Roman" w:hAnsi="Times New Roman"/>
          <w:snapToGrid w:val="0"/>
          <w:sz w:val="21"/>
          <w:szCs w:val="21"/>
        </w:rPr>
        <w:br w:type="page"/>
      </w:r>
      <w:bookmarkStart w:id="188" w:name="_Toc7234"/>
      <w:r>
        <w:rPr>
          <w:rFonts w:ascii="Times New Roman" w:hAnsi="Times New Roman"/>
          <w:b/>
          <w:bCs/>
          <w:snapToGrid w:val="0"/>
          <w:sz w:val="21"/>
          <w:szCs w:val="21"/>
        </w:rPr>
        <w:t>六、结论</w:t>
      </w:r>
      <w:bookmarkEnd w:id="188"/>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E83D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5CC0ACE6">
            <w:pPr>
              <w:spacing w:line="360" w:lineRule="auto"/>
              <w:ind w:firstLine="420" w:firstLineChars="200"/>
              <w:rPr>
                <w:bCs/>
                <w:szCs w:val="21"/>
              </w:rPr>
            </w:pPr>
            <w:r>
              <w:rPr>
                <w:bCs/>
                <w:szCs w:val="21"/>
              </w:rPr>
              <w:t>项目建设符合国家和地方相关环保政策，选址与当地规划相符；项目所在区域环境质量现状良好；项目所采用的污染防治措施技术经济可行，能保证各种污染物稳定达标排放；对评价区域环境影响较小，不会降低区域环境质量；通过采取有针对性的风险防范措施，项目的环境风险可接受；针对项目特点提出了具体的环境管理要求及监测计划。项目在设计、建设、运行全过程中还必须满足消防、安全、职业卫生等相关管理要求，进行规范化的设计、施工和运行管理。</w:t>
            </w:r>
          </w:p>
          <w:p w14:paraId="18481834">
            <w:pPr>
              <w:spacing w:line="360" w:lineRule="auto"/>
              <w:ind w:firstLine="420" w:firstLineChars="200"/>
              <w:rPr>
                <w:szCs w:val="21"/>
              </w:rPr>
            </w:pPr>
            <w:r>
              <w:rPr>
                <w:bCs/>
                <w:szCs w:val="21"/>
              </w:rPr>
              <w:t>综上，在落实本报告表提出的各项环保措施要求，严格执行环保“三同时”的前提下，从环保角度分析，扩建项目建设具有环境可行性。</w:t>
            </w:r>
          </w:p>
        </w:tc>
      </w:tr>
    </w:tbl>
    <w:p w14:paraId="686F9B67">
      <w:pPr>
        <w:rPr>
          <w:szCs w:val="21"/>
        </w:rPr>
        <w:sectPr>
          <w:pgSz w:w="11906" w:h="16838"/>
          <w:pgMar w:top="1701" w:right="1531" w:bottom="1701" w:left="1531" w:header="851" w:footer="851" w:gutter="0"/>
          <w:cols w:space="720" w:num="1"/>
          <w:docGrid w:linePitch="312" w:charSpace="0"/>
        </w:sectPr>
      </w:pPr>
    </w:p>
    <w:p w14:paraId="084437CC">
      <w:pPr>
        <w:pStyle w:val="21"/>
        <w:adjustRightInd w:val="0"/>
        <w:snapToGrid w:val="0"/>
        <w:spacing w:before="0" w:beforeAutospacing="0" w:after="0" w:afterAutospacing="0" w:line="648" w:lineRule="auto"/>
        <w:outlineLvl w:val="0"/>
        <w:rPr>
          <w:rFonts w:ascii="Times New Roman" w:hAnsi="Times New Roman"/>
          <w:b/>
          <w:bCs/>
          <w:snapToGrid w:val="0"/>
          <w:sz w:val="21"/>
          <w:szCs w:val="21"/>
        </w:rPr>
      </w:pPr>
      <w:bookmarkStart w:id="189" w:name="_Toc9187"/>
      <w:r>
        <w:rPr>
          <w:rFonts w:ascii="Times New Roman" w:hAnsi="Times New Roman"/>
          <w:b/>
          <w:bCs/>
          <w:snapToGrid w:val="0"/>
          <w:sz w:val="21"/>
          <w:szCs w:val="21"/>
        </w:rPr>
        <w:t>附表</w:t>
      </w:r>
      <w:bookmarkEnd w:id="189"/>
    </w:p>
    <w:p w14:paraId="45B55122">
      <w:pPr>
        <w:pStyle w:val="21"/>
        <w:adjustRightInd w:val="0"/>
        <w:snapToGrid w:val="0"/>
        <w:spacing w:before="0" w:beforeAutospacing="0" w:after="0" w:afterAutospacing="0"/>
        <w:jc w:val="center"/>
        <w:rPr>
          <w:rFonts w:ascii="Times New Roman" w:hAnsi="Times New Roman"/>
          <w:b/>
          <w:bCs/>
          <w:snapToGrid w:val="0"/>
          <w:sz w:val="21"/>
          <w:szCs w:val="21"/>
        </w:rPr>
      </w:pPr>
      <w:r>
        <w:rPr>
          <w:rFonts w:ascii="Times New Roman" w:hAnsi="Times New Roman"/>
          <w:b/>
          <w:bCs/>
          <w:snapToGrid w:val="0"/>
          <w:sz w:val="21"/>
          <w:szCs w:val="21"/>
        </w:rPr>
        <w:t>建设项目污染物排放量汇总表</w:t>
      </w:r>
    </w:p>
    <w:tbl>
      <w:tblPr>
        <w:tblStyle w:val="2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36"/>
        <w:gridCol w:w="1365"/>
        <w:gridCol w:w="1575"/>
        <w:gridCol w:w="1276"/>
        <w:gridCol w:w="1701"/>
        <w:gridCol w:w="1559"/>
        <w:gridCol w:w="1645"/>
        <w:gridCol w:w="1715"/>
        <w:gridCol w:w="1186"/>
      </w:tblGrid>
      <w:tr w14:paraId="1730D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tcBorders>
              <w:tl2br w:val="single" w:color="auto" w:sz="4" w:space="0"/>
            </w:tcBorders>
            <w:tcMar>
              <w:left w:w="28" w:type="dxa"/>
              <w:right w:w="28" w:type="dxa"/>
            </w:tcMar>
            <w:vAlign w:val="center"/>
          </w:tcPr>
          <w:p w14:paraId="13302AE9">
            <w:pPr>
              <w:pStyle w:val="43"/>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 xml:space="preserve">      项目</w:t>
            </w:r>
          </w:p>
          <w:p w14:paraId="32325093">
            <w:pPr>
              <w:pStyle w:val="43"/>
              <w:spacing w:beforeLines="0" w:afterLines="0" w:line="240" w:lineRule="auto"/>
              <w:ind w:firstLine="198" w:firstLineChars="100"/>
              <w:jc w:val="both"/>
              <w:rPr>
                <w:rFonts w:ascii="Times New Roman"/>
                <w:snapToGrid w:val="0"/>
                <w:spacing w:val="-6"/>
                <w:kern w:val="21"/>
                <w:sz w:val="21"/>
                <w:szCs w:val="21"/>
              </w:rPr>
            </w:pPr>
            <w:r>
              <w:rPr>
                <w:rFonts w:ascii="Times New Roman"/>
                <w:snapToGrid w:val="0"/>
                <w:spacing w:val="-6"/>
                <w:kern w:val="21"/>
                <w:sz w:val="21"/>
                <w:szCs w:val="21"/>
              </w:rPr>
              <w:t>分类</w:t>
            </w:r>
          </w:p>
        </w:tc>
        <w:tc>
          <w:tcPr>
            <w:tcW w:w="1365" w:type="dxa"/>
            <w:tcMar>
              <w:left w:w="28" w:type="dxa"/>
              <w:right w:w="28" w:type="dxa"/>
            </w:tcMar>
            <w:vAlign w:val="center"/>
          </w:tcPr>
          <w:p w14:paraId="582ACAE6">
            <w:pPr>
              <w:pStyle w:val="43"/>
              <w:spacing w:beforeLines="0" w:afterLines="0" w:line="240" w:lineRule="auto"/>
              <w:rPr>
                <w:rFonts w:ascii="Times New Roman"/>
                <w:snapToGrid w:val="0"/>
                <w:spacing w:val="-6"/>
                <w:kern w:val="21"/>
                <w:sz w:val="21"/>
                <w:szCs w:val="21"/>
              </w:rPr>
            </w:pPr>
            <w:r>
              <w:rPr>
                <w:rFonts w:ascii="Times New Roman"/>
                <w:snapToGrid w:val="0"/>
                <w:spacing w:val="-6"/>
                <w:kern w:val="21"/>
                <w:sz w:val="21"/>
                <w:szCs w:val="21"/>
              </w:rPr>
              <w:t>污染物名称</w:t>
            </w:r>
          </w:p>
        </w:tc>
        <w:tc>
          <w:tcPr>
            <w:tcW w:w="1575" w:type="dxa"/>
            <w:tcMar>
              <w:left w:w="28" w:type="dxa"/>
              <w:right w:w="28" w:type="dxa"/>
            </w:tcMar>
            <w:vAlign w:val="center"/>
          </w:tcPr>
          <w:p w14:paraId="1BFDEAD8">
            <w:pPr>
              <w:pStyle w:val="43"/>
              <w:spacing w:beforeLines="0" w:afterLines="0" w:line="240" w:lineRule="auto"/>
              <w:rPr>
                <w:rFonts w:ascii="Times New Roman"/>
                <w:snapToGrid w:val="0"/>
                <w:sz w:val="21"/>
                <w:szCs w:val="21"/>
              </w:rPr>
            </w:pPr>
            <w:r>
              <w:rPr>
                <w:rFonts w:ascii="Times New Roman"/>
                <w:snapToGrid w:val="0"/>
                <w:sz w:val="21"/>
                <w:szCs w:val="21"/>
              </w:rPr>
              <w:t>现有工程</w:t>
            </w:r>
          </w:p>
          <w:p w14:paraId="341EE870">
            <w:pPr>
              <w:pStyle w:val="43"/>
              <w:spacing w:beforeLines="0" w:afterLines="0" w:line="240" w:lineRule="auto"/>
              <w:rPr>
                <w:rFonts w:ascii="Times New Roman"/>
                <w:snapToGrid w:val="0"/>
                <w:sz w:val="21"/>
                <w:szCs w:val="21"/>
              </w:rPr>
            </w:pPr>
            <w:r>
              <w:rPr>
                <w:rFonts w:ascii="Times New Roman"/>
                <w:snapToGrid w:val="0"/>
                <w:sz w:val="21"/>
                <w:szCs w:val="21"/>
              </w:rPr>
              <w:t>排放量（固体废物产生量）</w:t>
            </w:r>
            <w:r>
              <w:rPr>
                <w:rFonts w:ascii="Times New Roman"/>
                <w:snapToGrid w:val="0"/>
                <w:sz w:val="21"/>
                <w:szCs w:val="21"/>
              </w:rPr>
              <w:fldChar w:fldCharType="begin"/>
            </w:r>
            <w:r>
              <w:rPr>
                <w:rFonts w:ascii="Times New Roman"/>
                <w:snapToGrid w:val="0"/>
                <w:sz w:val="21"/>
                <w:szCs w:val="21"/>
              </w:rPr>
              <w:instrText xml:space="preserve"> = 1 \* GB3 \* MERGEFORMAT </w:instrText>
            </w:r>
            <w:r>
              <w:rPr>
                <w:rFonts w:ascii="Times New Roman"/>
                <w:snapToGrid w:val="0"/>
                <w:sz w:val="21"/>
                <w:szCs w:val="21"/>
              </w:rPr>
              <w:fldChar w:fldCharType="separate"/>
            </w:r>
            <w:r>
              <w:rPr>
                <w:rFonts w:ascii="Times New Roman"/>
                <w:sz w:val="21"/>
                <w:szCs w:val="21"/>
              </w:rPr>
              <w:t>①</w:t>
            </w:r>
            <w:r>
              <w:rPr>
                <w:rFonts w:ascii="Times New Roman"/>
                <w:snapToGrid w:val="0"/>
                <w:sz w:val="21"/>
                <w:szCs w:val="21"/>
              </w:rPr>
              <w:fldChar w:fldCharType="end"/>
            </w:r>
          </w:p>
        </w:tc>
        <w:tc>
          <w:tcPr>
            <w:tcW w:w="1276" w:type="dxa"/>
            <w:tcMar>
              <w:left w:w="28" w:type="dxa"/>
              <w:right w:w="28" w:type="dxa"/>
            </w:tcMar>
            <w:vAlign w:val="center"/>
          </w:tcPr>
          <w:p w14:paraId="6BE47572">
            <w:pPr>
              <w:pStyle w:val="43"/>
              <w:spacing w:beforeLines="0" w:afterLines="0" w:line="240" w:lineRule="auto"/>
              <w:rPr>
                <w:rFonts w:ascii="Times New Roman"/>
                <w:snapToGrid w:val="0"/>
                <w:sz w:val="21"/>
                <w:szCs w:val="21"/>
              </w:rPr>
            </w:pPr>
            <w:r>
              <w:rPr>
                <w:rFonts w:ascii="Times New Roman"/>
                <w:snapToGrid w:val="0"/>
                <w:sz w:val="21"/>
                <w:szCs w:val="21"/>
              </w:rPr>
              <w:t>现有工程</w:t>
            </w:r>
          </w:p>
          <w:p w14:paraId="07BFE9FE">
            <w:pPr>
              <w:pStyle w:val="43"/>
              <w:spacing w:beforeLines="0" w:afterLines="0" w:line="240" w:lineRule="auto"/>
              <w:rPr>
                <w:rFonts w:ascii="Times New Roman"/>
                <w:snapToGrid w:val="0"/>
                <w:sz w:val="21"/>
                <w:szCs w:val="21"/>
              </w:rPr>
            </w:pPr>
            <w:r>
              <w:rPr>
                <w:rFonts w:ascii="Times New Roman"/>
                <w:snapToGrid w:val="0"/>
                <w:sz w:val="21"/>
                <w:szCs w:val="21"/>
              </w:rPr>
              <w:t>许可排放量</w:t>
            </w:r>
          </w:p>
          <w:p w14:paraId="05FA85FF">
            <w:pPr>
              <w:pStyle w:val="43"/>
              <w:spacing w:beforeLines="0" w:afterLines="0" w:line="240" w:lineRule="auto"/>
              <w:rPr>
                <w:rFonts w:ascii="Times New Roman"/>
                <w:snapToGrid w:val="0"/>
                <w:sz w:val="21"/>
                <w:szCs w:val="21"/>
              </w:rPr>
            </w:pPr>
            <w:r>
              <w:rPr>
                <w:rFonts w:ascii="Times New Roman"/>
                <w:snapToGrid w:val="0"/>
                <w:sz w:val="21"/>
                <w:szCs w:val="21"/>
              </w:rPr>
              <w:fldChar w:fldCharType="begin"/>
            </w:r>
            <w:r>
              <w:rPr>
                <w:rFonts w:ascii="Times New Roman"/>
                <w:snapToGrid w:val="0"/>
                <w:sz w:val="21"/>
                <w:szCs w:val="21"/>
              </w:rPr>
              <w:instrText xml:space="preserve"> = 2 \* GB3 \* MERGEFORMAT </w:instrText>
            </w:r>
            <w:r>
              <w:rPr>
                <w:rFonts w:ascii="Times New Roman"/>
                <w:snapToGrid w:val="0"/>
                <w:sz w:val="21"/>
                <w:szCs w:val="21"/>
              </w:rPr>
              <w:fldChar w:fldCharType="separate"/>
            </w:r>
            <w:r>
              <w:rPr>
                <w:rFonts w:ascii="Times New Roman"/>
                <w:snapToGrid w:val="0"/>
                <w:sz w:val="21"/>
                <w:szCs w:val="21"/>
              </w:rPr>
              <w:t>②</w:t>
            </w:r>
            <w:r>
              <w:rPr>
                <w:rFonts w:ascii="Times New Roman"/>
                <w:snapToGrid w:val="0"/>
                <w:sz w:val="21"/>
                <w:szCs w:val="21"/>
              </w:rPr>
              <w:fldChar w:fldCharType="end"/>
            </w:r>
          </w:p>
        </w:tc>
        <w:tc>
          <w:tcPr>
            <w:tcW w:w="1701" w:type="dxa"/>
            <w:tcMar>
              <w:left w:w="28" w:type="dxa"/>
              <w:right w:w="28" w:type="dxa"/>
            </w:tcMar>
            <w:vAlign w:val="center"/>
          </w:tcPr>
          <w:p w14:paraId="7A8BA7A6">
            <w:pPr>
              <w:pStyle w:val="43"/>
              <w:spacing w:beforeLines="0" w:afterLines="0" w:line="240" w:lineRule="auto"/>
              <w:rPr>
                <w:rFonts w:ascii="Times New Roman"/>
                <w:snapToGrid w:val="0"/>
                <w:sz w:val="21"/>
                <w:szCs w:val="21"/>
              </w:rPr>
            </w:pPr>
            <w:r>
              <w:rPr>
                <w:rFonts w:ascii="Times New Roman"/>
                <w:snapToGrid w:val="0"/>
                <w:sz w:val="21"/>
                <w:szCs w:val="21"/>
              </w:rPr>
              <w:t>在建工程</w:t>
            </w:r>
          </w:p>
          <w:p w14:paraId="316E054C">
            <w:pPr>
              <w:pStyle w:val="43"/>
              <w:spacing w:beforeLines="0" w:afterLines="0" w:line="240" w:lineRule="auto"/>
              <w:rPr>
                <w:rFonts w:ascii="Times New Roman"/>
                <w:snapToGrid w:val="0"/>
                <w:sz w:val="21"/>
                <w:szCs w:val="21"/>
              </w:rPr>
            </w:pPr>
            <w:r>
              <w:rPr>
                <w:rFonts w:ascii="Times New Roman"/>
                <w:snapToGrid w:val="0"/>
                <w:sz w:val="21"/>
                <w:szCs w:val="21"/>
              </w:rPr>
              <w:t>排放量（固体废物产生量）</w:t>
            </w:r>
            <w:r>
              <w:rPr>
                <w:rFonts w:ascii="Times New Roman"/>
                <w:snapToGrid w:val="0"/>
                <w:sz w:val="21"/>
                <w:szCs w:val="21"/>
              </w:rPr>
              <w:fldChar w:fldCharType="begin"/>
            </w:r>
            <w:r>
              <w:rPr>
                <w:rFonts w:ascii="Times New Roman"/>
                <w:snapToGrid w:val="0"/>
                <w:sz w:val="21"/>
                <w:szCs w:val="21"/>
              </w:rPr>
              <w:instrText xml:space="preserve"> = 3 \* GB3 \* MERGEFORMAT </w:instrText>
            </w:r>
            <w:r>
              <w:rPr>
                <w:rFonts w:ascii="Times New Roman"/>
                <w:snapToGrid w:val="0"/>
                <w:sz w:val="21"/>
                <w:szCs w:val="21"/>
              </w:rPr>
              <w:fldChar w:fldCharType="separate"/>
            </w:r>
            <w:r>
              <w:rPr>
                <w:rFonts w:ascii="Times New Roman"/>
                <w:sz w:val="21"/>
                <w:szCs w:val="21"/>
              </w:rPr>
              <w:t>③</w:t>
            </w:r>
            <w:r>
              <w:rPr>
                <w:rFonts w:ascii="Times New Roman"/>
                <w:snapToGrid w:val="0"/>
                <w:sz w:val="21"/>
                <w:szCs w:val="21"/>
              </w:rPr>
              <w:fldChar w:fldCharType="end"/>
            </w:r>
          </w:p>
        </w:tc>
        <w:tc>
          <w:tcPr>
            <w:tcW w:w="1559" w:type="dxa"/>
            <w:tcMar>
              <w:left w:w="28" w:type="dxa"/>
              <w:right w:w="28" w:type="dxa"/>
            </w:tcMar>
            <w:vAlign w:val="center"/>
          </w:tcPr>
          <w:p w14:paraId="0E89249B">
            <w:pPr>
              <w:pStyle w:val="43"/>
              <w:spacing w:beforeLines="0" w:afterLines="0" w:line="240" w:lineRule="auto"/>
              <w:rPr>
                <w:rFonts w:ascii="Times New Roman"/>
                <w:snapToGrid w:val="0"/>
                <w:sz w:val="21"/>
                <w:szCs w:val="21"/>
              </w:rPr>
            </w:pPr>
            <w:r>
              <w:rPr>
                <w:rFonts w:ascii="Times New Roman"/>
                <w:snapToGrid w:val="0"/>
                <w:sz w:val="21"/>
                <w:szCs w:val="21"/>
              </w:rPr>
              <w:t>本项目</w:t>
            </w:r>
          </w:p>
          <w:p w14:paraId="16277F82">
            <w:pPr>
              <w:pStyle w:val="43"/>
              <w:spacing w:beforeLines="0" w:afterLines="0" w:line="240" w:lineRule="auto"/>
              <w:rPr>
                <w:rFonts w:ascii="Times New Roman"/>
                <w:snapToGrid w:val="0"/>
                <w:sz w:val="21"/>
                <w:szCs w:val="21"/>
              </w:rPr>
            </w:pPr>
            <w:r>
              <w:rPr>
                <w:rFonts w:ascii="Times New Roman"/>
                <w:snapToGrid w:val="0"/>
                <w:sz w:val="21"/>
                <w:szCs w:val="21"/>
              </w:rPr>
              <w:t>排放量（固体废物产生量）</w:t>
            </w:r>
            <w:r>
              <w:rPr>
                <w:rFonts w:ascii="Times New Roman"/>
                <w:snapToGrid w:val="0"/>
                <w:sz w:val="21"/>
                <w:szCs w:val="21"/>
              </w:rPr>
              <w:fldChar w:fldCharType="begin"/>
            </w:r>
            <w:r>
              <w:rPr>
                <w:rFonts w:ascii="Times New Roman"/>
                <w:snapToGrid w:val="0"/>
                <w:sz w:val="21"/>
                <w:szCs w:val="21"/>
              </w:rPr>
              <w:instrText xml:space="preserve"> = 4 \* GB3 \* MERGEFORMAT </w:instrText>
            </w:r>
            <w:r>
              <w:rPr>
                <w:rFonts w:ascii="Times New Roman"/>
                <w:snapToGrid w:val="0"/>
                <w:sz w:val="21"/>
                <w:szCs w:val="21"/>
              </w:rPr>
              <w:fldChar w:fldCharType="separate"/>
            </w:r>
            <w:r>
              <w:rPr>
                <w:rFonts w:ascii="Times New Roman"/>
                <w:sz w:val="21"/>
                <w:szCs w:val="21"/>
              </w:rPr>
              <w:t>④</w:t>
            </w:r>
            <w:r>
              <w:rPr>
                <w:rFonts w:ascii="Times New Roman"/>
                <w:snapToGrid w:val="0"/>
                <w:sz w:val="21"/>
                <w:szCs w:val="21"/>
              </w:rPr>
              <w:fldChar w:fldCharType="end"/>
            </w:r>
          </w:p>
        </w:tc>
        <w:tc>
          <w:tcPr>
            <w:tcW w:w="1645" w:type="dxa"/>
            <w:tcMar>
              <w:left w:w="28" w:type="dxa"/>
              <w:right w:w="28" w:type="dxa"/>
            </w:tcMar>
            <w:vAlign w:val="center"/>
          </w:tcPr>
          <w:p w14:paraId="0D75C106">
            <w:pPr>
              <w:pStyle w:val="43"/>
              <w:spacing w:beforeLines="0" w:afterLines="0" w:line="240" w:lineRule="auto"/>
              <w:rPr>
                <w:rFonts w:ascii="Times New Roman"/>
                <w:snapToGrid w:val="0"/>
                <w:sz w:val="21"/>
                <w:szCs w:val="21"/>
              </w:rPr>
            </w:pPr>
            <w:r>
              <w:rPr>
                <w:rFonts w:ascii="Times New Roman"/>
                <w:snapToGrid w:val="0"/>
                <w:sz w:val="21"/>
                <w:szCs w:val="21"/>
              </w:rPr>
              <w:t>以新带老削减量</w:t>
            </w:r>
          </w:p>
          <w:p w14:paraId="208EC881">
            <w:pPr>
              <w:pStyle w:val="43"/>
              <w:spacing w:beforeLines="0" w:afterLines="0" w:line="240" w:lineRule="auto"/>
              <w:rPr>
                <w:rFonts w:ascii="Times New Roman"/>
                <w:snapToGrid w:val="0"/>
                <w:sz w:val="21"/>
                <w:szCs w:val="21"/>
              </w:rPr>
            </w:pPr>
            <w:r>
              <w:rPr>
                <w:rFonts w:ascii="Times New Roman"/>
                <w:snapToGrid w:val="0"/>
                <w:sz w:val="21"/>
                <w:szCs w:val="21"/>
              </w:rPr>
              <w:t>（新建项目不填）</w:t>
            </w:r>
            <w:r>
              <w:rPr>
                <w:rFonts w:ascii="Times New Roman"/>
                <w:snapToGrid w:val="0"/>
                <w:sz w:val="21"/>
                <w:szCs w:val="21"/>
              </w:rPr>
              <w:fldChar w:fldCharType="begin"/>
            </w:r>
            <w:r>
              <w:rPr>
                <w:rFonts w:ascii="Times New Roman"/>
                <w:snapToGrid w:val="0"/>
                <w:sz w:val="21"/>
                <w:szCs w:val="21"/>
              </w:rPr>
              <w:instrText xml:space="preserve"> = 5 \* GB3 \* MERGEFORMAT </w:instrText>
            </w:r>
            <w:r>
              <w:rPr>
                <w:rFonts w:ascii="Times New Roman"/>
                <w:snapToGrid w:val="0"/>
                <w:sz w:val="21"/>
                <w:szCs w:val="21"/>
              </w:rPr>
              <w:fldChar w:fldCharType="separate"/>
            </w:r>
            <w:r>
              <w:rPr>
                <w:rFonts w:ascii="Times New Roman"/>
                <w:sz w:val="21"/>
                <w:szCs w:val="21"/>
              </w:rPr>
              <w:t>⑤</w:t>
            </w:r>
            <w:r>
              <w:rPr>
                <w:rFonts w:ascii="Times New Roman"/>
                <w:snapToGrid w:val="0"/>
                <w:sz w:val="21"/>
                <w:szCs w:val="21"/>
              </w:rPr>
              <w:fldChar w:fldCharType="end"/>
            </w:r>
          </w:p>
        </w:tc>
        <w:tc>
          <w:tcPr>
            <w:tcW w:w="1715" w:type="dxa"/>
            <w:tcMar>
              <w:left w:w="28" w:type="dxa"/>
              <w:right w:w="28" w:type="dxa"/>
            </w:tcMar>
            <w:vAlign w:val="center"/>
          </w:tcPr>
          <w:p w14:paraId="0B8F7B5D">
            <w:pPr>
              <w:pStyle w:val="43"/>
              <w:spacing w:beforeLines="0" w:afterLines="0" w:line="240" w:lineRule="auto"/>
              <w:rPr>
                <w:rFonts w:ascii="Times New Roman"/>
                <w:snapToGrid w:val="0"/>
                <w:sz w:val="21"/>
                <w:szCs w:val="21"/>
              </w:rPr>
            </w:pPr>
            <w:r>
              <w:rPr>
                <w:rFonts w:ascii="Times New Roman"/>
                <w:snapToGrid w:val="0"/>
                <w:sz w:val="21"/>
                <w:szCs w:val="21"/>
              </w:rPr>
              <w:t>本项目建成后</w:t>
            </w:r>
          </w:p>
          <w:p w14:paraId="599FDA8F">
            <w:pPr>
              <w:pStyle w:val="43"/>
              <w:spacing w:beforeLines="0" w:afterLines="0" w:line="240" w:lineRule="auto"/>
              <w:rPr>
                <w:rFonts w:ascii="Times New Roman"/>
                <w:snapToGrid w:val="0"/>
                <w:sz w:val="21"/>
                <w:szCs w:val="21"/>
              </w:rPr>
            </w:pPr>
            <w:r>
              <w:rPr>
                <w:rFonts w:ascii="Times New Roman"/>
                <w:snapToGrid w:val="0"/>
                <w:sz w:val="21"/>
                <w:szCs w:val="21"/>
              </w:rPr>
              <w:t>全厂排放量（固体废物产生量）</w:t>
            </w:r>
            <w:r>
              <w:rPr>
                <w:rFonts w:ascii="Times New Roman"/>
                <w:snapToGrid w:val="0"/>
                <w:sz w:val="21"/>
                <w:szCs w:val="21"/>
              </w:rPr>
              <w:fldChar w:fldCharType="begin"/>
            </w:r>
            <w:r>
              <w:rPr>
                <w:rFonts w:ascii="Times New Roman"/>
                <w:snapToGrid w:val="0"/>
                <w:sz w:val="21"/>
                <w:szCs w:val="21"/>
              </w:rPr>
              <w:instrText xml:space="preserve"> = 6 \* GB3 \* MERGEFORMAT </w:instrText>
            </w:r>
            <w:r>
              <w:rPr>
                <w:rFonts w:ascii="Times New Roman"/>
                <w:snapToGrid w:val="0"/>
                <w:sz w:val="21"/>
                <w:szCs w:val="21"/>
              </w:rPr>
              <w:fldChar w:fldCharType="separate"/>
            </w:r>
            <w:r>
              <w:rPr>
                <w:rFonts w:ascii="Times New Roman"/>
                <w:sz w:val="21"/>
                <w:szCs w:val="21"/>
              </w:rPr>
              <w:t>⑥</w:t>
            </w:r>
            <w:r>
              <w:rPr>
                <w:rFonts w:ascii="Times New Roman"/>
                <w:snapToGrid w:val="0"/>
                <w:sz w:val="21"/>
                <w:szCs w:val="21"/>
              </w:rPr>
              <w:fldChar w:fldCharType="end"/>
            </w:r>
          </w:p>
        </w:tc>
        <w:tc>
          <w:tcPr>
            <w:tcW w:w="1186" w:type="dxa"/>
            <w:tcMar>
              <w:left w:w="28" w:type="dxa"/>
              <w:right w:w="28" w:type="dxa"/>
            </w:tcMar>
            <w:vAlign w:val="center"/>
          </w:tcPr>
          <w:p w14:paraId="215D7D73">
            <w:pPr>
              <w:pStyle w:val="43"/>
              <w:spacing w:beforeLines="0" w:afterLines="0" w:line="240" w:lineRule="auto"/>
              <w:rPr>
                <w:rFonts w:ascii="Times New Roman"/>
                <w:snapToGrid w:val="0"/>
                <w:sz w:val="21"/>
                <w:szCs w:val="21"/>
              </w:rPr>
            </w:pPr>
            <w:r>
              <w:rPr>
                <w:rFonts w:ascii="Times New Roman"/>
                <w:snapToGrid w:val="0"/>
                <w:sz w:val="21"/>
                <w:szCs w:val="21"/>
              </w:rPr>
              <w:t>变化量</w:t>
            </w:r>
          </w:p>
          <w:p w14:paraId="68B51250">
            <w:pPr>
              <w:pStyle w:val="43"/>
              <w:spacing w:beforeLines="0" w:afterLines="0" w:line="240" w:lineRule="auto"/>
              <w:rPr>
                <w:rFonts w:ascii="Times New Roman"/>
                <w:snapToGrid w:val="0"/>
                <w:sz w:val="21"/>
                <w:szCs w:val="21"/>
              </w:rPr>
            </w:pPr>
            <w:r>
              <w:rPr>
                <w:rFonts w:ascii="Times New Roman"/>
                <w:snapToGrid w:val="0"/>
                <w:sz w:val="21"/>
                <w:szCs w:val="21"/>
              </w:rPr>
              <w:fldChar w:fldCharType="begin"/>
            </w:r>
            <w:r>
              <w:rPr>
                <w:rFonts w:ascii="Times New Roman"/>
                <w:snapToGrid w:val="0"/>
                <w:sz w:val="21"/>
                <w:szCs w:val="21"/>
              </w:rPr>
              <w:instrText xml:space="preserve"> = 7 \* GB3 \* MERGEFORMAT </w:instrText>
            </w:r>
            <w:r>
              <w:rPr>
                <w:rFonts w:ascii="Times New Roman"/>
                <w:snapToGrid w:val="0"/>
                <w:sz w:val="21"/>
                <w:szCs w:val="21"/>
              </w:rPr>
              <w:fldChar w:fldCharType="separate"/>
            </w:r>
            <w:r>
              <w:rPr>
                <w:rFonts w:ascii="Times New Roman"/>
                <w:sz w:val="21"/>
                <w:szCs w:val="21"/>
              </w:rPr>
              <w:t>⑦</w:t>
            </w:r>
            <w:r>
              <w:rPr>
                <w:rFonts w:ascii="Times New Roman"/>
                <w:snapToGrid w:val="0"/>
                <w:sz w:val="21"/>
                <w:szCs w:val="21"/>
              </w:rPr>
              <w:fldChar w:fldCharType="end"/>
            </w:r>
          </w:p>
        </w:tc>
      </w:tr>
      <w:tr w14:paraId="0DFC5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restart"/>
            <w:vAlign w:val="center"/>
          </w:tcPr>
          <w:p w14:paraId="7D282FD5">
            <w:pPr>
              <w:pStyle w:val="43"/>
              <w:spacing w:beforeLines="0" w:afterLines="0" w:line="240" w:lineRule="auto"/>
              <w:rPr>
                <w:rFonts w:ascii="Times New Roman"/>
                <w:snapToGrid w:val="0"/>
                <w:kern w:val="21"/>
                <w:sz w:val="21"/>
                <w:szCs w:val="21"/>
              </w:rPr>
            </w:pPr>
            <w:r>
              <w:rPr>
                <w:rFonts w:ascii="Times New Roman"/>
                <w:snapToGrid w:val="0"/>
                <w:kern w:val="21"/>
                <w:sz w:val="21"/>
                <w:szCs w:val="21"/>
              </w:rPr>
              <w:t>废气</w:t>
            </w:r>
          </w:p>
        </w:tc>
        <w:tc>
          <w:tcPr>
            <w:tcW w:w="1036" w:type="dxa"/>
            <w:vMerge w:val="restart"/>
            <w:vAlign w:val="center"/>
          </w:tcPr>
          <w:p w14:paraId="69AC9C3C">
            <w:pPr>
              <w:pStyle w:val="43"/>
              <w:spacing w:beforeLines="0" w:afterLines="0" w:line="240" w:lineRule="auto"/>
              <w:rPr>
                <w:rFonts w:ascii="Times New Roman"/>
                <w:snapToGrid w:val="0"/>
                <w:kern w:val="21"/>
                <w:sz w:val="21"/>
                <w:szCs w:val="21"/>
              </w:rPr>
            </w:pPr>
            <w:r>
              <w:rPr>
                <w:rFonts w:ascii="Times New Roman"/>
                <w:snapToGrid w:val="0"/>
                <w:kern w:val="21"/>
                <w:sz w:val="21"/>
                <w:szCs w:val="21"/>
              </w:rPr>
              <w:t>有组织</w:t>
            </w:r>
          </w:p>
        </w:tc>
        <w:tc>
          <w:tcPr>
            <w:tcW w:w="1365" w:type="dxa"/>
            <w:vAlign w:val="center"/>
          </w:tcPr>
          <w:p w14:paraId="70DBF27A">
            <w:pPr>
              <w:snapToGrid w:val="0"/>
              <w:jc w:val="center"/>
              <w:rPr>
                <w:snapToGrid w:val="0"/>
                <w:color w:val="000000" w:themeColor="text1"/>
                <w:kern w:val="21"/>
                <w:szCs w:val="21"/>
              </w:rPr>
            </w:pPr>
            <w:r>
              <w:rPr>
                <w:color w:val="000000" w:themeColor="text1"/>
                <w:szCs w:val="21"/>
              </w:rPr>
              <w:t>颗粒物</w:t>
            </w:r>
          </w:p>
        </w:tc>
        <w:tc>
          <w:tcPr>
            <w:tcW w:w="1575" w:type="dxa"/>
            <w:vAlign w:val="center"/>
          </w:tcPr>
          <w:p w14:paraId="4D3CAD89">
            <w:pPr>
              <w:jc w:val="center"/>
              <w:rPr>
                <w:rFonts w:ascii="宋体" w:hAnsi="宋体" w:cs="宋体"/>
                <w:color w:val="000000" w:themeColor="text1"/>
                <w:sz w:val="24"/>
              </w:rPr>
            </w:pPr>
            <w:r>
              <w:rPr>
                <w:rFonts w:hint="eastAsia"/>
                <w:color w:val="000000" w:themeColor="text1"/>
              </w:rPr>
              <w:t>0.45</w:t>
            </w:r>
          </w:p>
        </w:tc>
        <w:tc>
          <w:tcPr>
            <w:tcW w:w="1276" w:type="dxa"/>
            <w:vAlign w:val="center"/>
          </w:tcPr>
          <w:p w14:paraId="77CF5729">
            <w:pPr>
              <w:jc w:val="center"/>
              <w:rPr>
                <w:snapToGrid w:val="0"/>
                <w:color w:val="000000" w:themeColor="text1"/>
                <w:kern w:val="21"/>
                <w:szCs w:val="21"/>
              </w:rPr>
            </w:pPr>
            <w:r>
              <w:rPr>
                <w:rFonts w:hint="eastAsia"/>
                <w:color w:val="000000" w:themeColor="text1"/>
              </w:rPr>
              <w:t>0.45</w:t>
            </w:r>
          </w:p>
        </w:tc>
        <w:tc>
          <w:tcPr>
            <w:tcW w:w="1701" w:type="dxa"/>
            <w:vAlign w:val="center"/>
          </w:tcPr>
          <w:p w14:paraId="2487DE52">
            <w:pPr>
              <w:jc w:val="center"/>
              <w:rPr>
                <w:snapToGrid w:val="0"/>
                <w:color w:val="000000" w:themeColor="text1"/>
                <w:kern w:val="21"/>
                <w:szCs w:val="21"/>
              </w:rPr>
            </w:pPr>
            <w:r>
              <w:rPr>
                <w:color w:val="000000" w:themeColor="text1"/>
                <w:kern w:val="0"/>
                <w:szCs w:val="21"/>
              </w:rPr>
              <w:t>/</w:t>
            </w:r>
          </w:p>
        </w:tc>
        <w:tc>
          <w:tcPr>
            <w:tcW w:w="1559" w:type="dxa"/>
            <w:vAlign w:val="center"/>
          </w:tcPr>
          <w:p w14:paraId="17C4E6A3">
            <w:pPr>
              <w:jc w:val="center"/>
              <w:rPr>
                <w:color w:val="000000" w:themeColor="text1"/>
                <w:szCs w:val="21"/>
              </w:rPr>
            </w:pPr>
            <w:r>
              <w:rPr>
                <w:color w:val="000000" w:themeColor="text1"/>
                <w:szCs w:val="21"/>
              </w:rPr>
              <w:t>0.013</w:t>
            </w:r>
          </w:p>
        </w:tc>
        <w:tc>
          <w:tcPr>
            <w:tcW w:w="1645" w:type="dxa"/>
            <w:vAlign w:val="center"/>
          </w:tcPr>
          <w:p w14:paraId="546D5C7A">
            <w:pPr>
              <w:widowControl/>
              <w:jc w:val="center"/>
              <w:textAlignment w:val="center"/>
              <w:rPr>
                <w:color w:val="000000" w:themeColor="text1"/>
                <w:szCs w:val="21"/>
              </w:rPr>
            </w:pPr>
            <w:r>
              <w:rPr>
                <w:color w:val="000000" w:themeColor="text1"/>
                <w:szCs w:val="21"/>
              </w:rPr>
              <w:t>/</w:t>
            </w:r>
          </w:p>
        </w:tc>
        <w:tc>
          <w:tcPr>
            <w:tcW w:w="1715" w:type="dxa"/>
            <w:vAlign w:val="center"/>
          </w:tcPr>
          <w:p w14:paraId="491F5048">
            <w:pPr>
              <w:jc w:val="center"/>
              <w:rPr>
                <w:color w:val="000000" w:themeColor="text1"/>
                <w:szCs w:val="21"/>
              </w:rPr>
            </w:pPr>
            <w:r>
              <w:rPr>
                <w:color w:val="000000" w:themeColor="text1"/>
                <w:szCs w:val="21"/>
              </w:rPr>
              <w:t>0.463</w:t>
            </w:r>
          </w:p>
        </w:tc>
        <w:tc>
          <w:tcPr>
            <w:tcW w:w="1186" w:type="dxa"/>
            <w:vAlign w:val="center"/>
          </w:tcPr>
          <w:p w14:paraId="0B0A75FA">
            <w:pPr>
              <w:jc w:val="center"/>
              <w:rPr>
                <w:color w:val="000000" w:themeColor="text1"/>
                <w:szCs w:val="21"/>
              </w:rPr>
            </w:pPr>
            <w:r>
              <w:rPr>
                <w:color w:val="000000" w:themeColor="text1"/>
                <w:szCs w:val="21"/>
              </w:rPr>
              <w:t>+0.013</w:t>
            </w:r>
          </w:p>
        </w:tc>
      </w:tr>
      <w:tr w14:paraId="7E323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70EED6A8">
            <w:pPr>
              <w:pStyle w:val="43"/>
              <w:spacing w:beforeLines="0" w:afterLines="0" w:line="240" w:lineRule="auto"/>
              <w:rPr>
                <w:rFonts w:ascii="Times New Roman"/>
                <w:snapToGrid w:val="0"/>
                <w:kern w:val="21"/>
                <w:sz w:val="21"/>
                <w:szCs w:val="21"/>
              </w:rPr>
            </w:pPr>
          </w:p>
        </w:tc>
        <w:tc>
          <w:tcPr>
            <w:tcW w:w="1036" w:type="dxa"/>
            <w:vMerge w:val="continue"/>
            <w:vAlign w:val="center"/>
          </w:tcPr>
          <w:p w14:paraId="699353F2">
            <w:pPr>
              <w:pStyle w:val="43"/>
              <w:spacing w:beforeLines="0" w:afterLines="0" w:line="240" w:lineRule="auto"/>
              <w:rPr>
                <w:rFonts w:ascii="Times New Roman"/>
                <w:snapToGrid w:val="0"/>
                <w:kern w:val="21"/>
                <w:sz w:val="21"/>
                <w:szCs w:val="21"/>
              </w:rPr>
            </w:pPr>
          </w:p>
        </w:tc>
        <w:tc>
          <w:tcPr>
            <w:tcW w:w="1365" w:type="dxa"/>
            <w:vAlign w:val="center"/>
          </w:tcPr>
          <w:p w14:paraId="0F7E831C">
            <w:pPr>
              <w:snapToGrid w:val="0"/>
              <w:jc w:val="center"/>
              <w:rPr>
                <w:color w:val="000000" w:themeColor="text1"/>
                <w:szCs w:val="21"/>
              </w:rPr>
            </w:pPr>
            <w:r>
              <w:rPr>
                <w:rFonts w:hint="eastAsia"/>
                <w:snapToGrid w:val="0"/>
                <w:color w:val="000000" w:themeColor="text1"/>
                <w:kern w:val="21"/>
                <w:szCs w:val="21"/>
              </w:rPr>
              <w:t>氟化物</w:t>
            </w:r>
          </w:p>
        </w:tc>
        <w:tc>
          <w:tcPr>
            <w:tcW w:w="1575" w:type="dxa"/>
            <w:vAlign w:val="center"/>
          </w:tcPr>
          <w:p w14:paraId="0BF1C1F4">
            <w:pPr>
              <w:jc w:val="center"/>
              <w:rPr>
                <w:rFonts w:ascii="宋体" w:hAnsi="宋体" w:cs="宋体"/>
                <w:color w:val="000000" w:themeColor="text1"/>
                <w:sz w:val="24"/>
              </w:rPr>
            </w:pPr>
            <w:r>
              <w:rPr>
                <w:rFonts w:hint="eastAsia"/>
                <w:color w:val="000000" w:themeColor="text1"/>
              </w:rPr>
              <w:t>0.0019</w:t>
            </w:r>
          </w:p>
        </w:tc>
        <w:tc>
          <w:tcPr>
            <w:tcW w:w="1276" w:type="dxa"/>
            <w:vAlign w:val="center"/>
          </w:tcPr>
          <w:p w14:paraId="52367EDA">
            <w:pPr>
              <w:jc w:val="center"/>
              <w:rPr>
                <w:color w:val="000000" w:themeColor="text1"/>
                <w:szCs w:val="21"/>
              </w:rPr>
            </w:pPr>
            <w:r>
              <w:rPr>
                <w:rFonts w:hint="eastAsia"/>
                <w:color w:val="000000" w:themeColor="text1"/>
              </w:rPr>
              <w:t>0.0019</w:t>
            </w:r>
          </w:p>
        </w:tc>
        <w:tc>
          <w:tcPr>
            <w:tcW w:w="1701" w:type="dxa"/>
            <w:vAlign w:val="center"/>
          </w:tcPr>
          <w:p w14:paraId="7CEDB918">
            <w:pPr>
              <w:jc w:val="center"/>
              <w:rPr>
                <w:snapToGrid w:val="0"/>
                <w:color w:val="000000" w:themeColor="text1"/>
                <w:kern w:val="21"/>
                <w:szCs w:val="21"/>
              </w:rPr>
            </w:pPr>
            <w:r>
              <w:rPr>
                <w:color w:val="000000" w:themeColor="text1"/>
                <w:kern w:val="0"/>
                <w:szCs w:val="21"/>
              </w:rPr>
              <w:t>/</w:t>
            </w:r>
          </w:p>
        </w:tc>
        <w:tc>
          <w:tcPr>
            <w:tcW w:w="1559" w:type="dxa"/>
            <w:vAlign w:val="center"/>
          </w:tcPr>
          <w:p w14:paraId="6E4220C8">
            <w:pPr>
              <w:jc w:val="center"/>
              <w:rPr>
                <w:color w:val="000000" w:themeColor="text1"/>
                <w:szCs w:val="21"/>
              </w:rPr>
            </w:pPr>
            <w:r>
              <w:rPr>
                <w:color w:val="000000" w:themeColor="text1"/>
                <w:szCs w:val="21"/>
              </w:rPr>
              <w:t>0.000152</w:t>
            </w:r>
          </w:p>
        </w:tc>
        <w:tc>
          <w:tcPr>
            <w:tcW w:w="1645" w:type="dxa"/>
            <w:vAlign w:val="center"/>
          </w:tcPr>
          <w:p w14:paraId="4DFF97F8">
            <w:pPr>
              <w:widowControl/>
              <w:jc w:val="center"/>
              <w:textAlignment w:val="center"/>
              <w:rPr>
                <w:color w:val="000000" w:themeColor="text1"/>
                <w:szCs w:val="21"/>
              </w:rPr>
            </w:pPr>
            <w:r>
              <w:rPr>
                <w:color w:val="000000" w:themeColor="text1"/>
                <w:szCs w:val="21"/>
              </w:rPr>
              <w:t>/</w:t>
            </w:r>
          </w:p>
        </w:tc>
        <w:tc>
          <w:tcPr>
            <w:tcW w:w="1715" w:type="dxa"/>
            <w:vAlign w:val="center"/>
          </w:tcPr>
          <w:p w14:paraId="705DD841">
            <w:pPr>
              <w:jc w:val="center"/>
              <w:rPr>
                <w:color w:val="000000" w:themeColor="text1"/>
                <w:szCs w:val="21"/>
              </w:rPr>
            </w:pPr>
            <w:r>
              <w:rPr>
                <w:color w:val="000000" w:themeColor="text1"/>
                <w:szCs w:val="21"/>
              </w:rPr>
              <w:t>0.002052</w:t>
            </w:r>
          </w:p>
        </w:tc>
        <w:tc>
          <w:tcPr>
            <w:tcW w:w="1186" w:type="dxa"/>
            <w:vAlign w:val="center"/>
          </w:tcPr>
          <w:p w14:paraId="40384607">
            <w:pPr>
              <w:jc w:val="center"/>
              <w:rPr>
                <w:color w:val="000000" w:themeColor="text1"/>
                <w:szCs w:val="21"/>
              </w:rPr>
            </w:pPr>
            <w:r>
              <w:rPr>
                <w:color w:val="000000" w:themeColor="text1"/>
                <w:szCs w:val="21"/>
              </w:rPr>
              <w:t>+0.000152</w:t>
            </w:r>
          </w:p>
        </w:tc>
      </w:tr>
      <w:tr w14:paraId="41832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0BE22E96">
            <w:pPr>
              <w:pStyle w:val="43"/>
              <w:spacing w:beforeLines="0" w:afterLines="0" w:line="240" w:lineRule="auto"/>
              <w:rPr>
                <w:rFonts w:ascii="Times New Roman"/>
                <w:snapToGrid w:val="0"/>
                <w:kern w:val="21"/>
                <w:sz w:val="21"/>
                <w:szCs w:val="21"/>
              </w:rPr>
            </w:pPr>
          </w:p>
        </w:tc>
        <w:tc>
          <w:tcPr>
            <w:tcW w:w="1036" w:type="dxa"/>
            <w:vMerge w:val="continue"/>
            <w:vAlign w:val="center"/>
          </w:tcPr>
          <w:p w14:paraId="5AD7E4CC">
            <w:pPr>
              <w:pStyle w:val="43"/>
              <w:spacing w:beforeLines="0" w:afterLines="0" w:line="240" w:lineRule="auto"/>
              <w:rPr>
                <w:rFonts w:ascii="Times New Roman"/>
                <w:snapToGrid w:val="0"/>
                <w:kern w:val="21"/>
                <w:sz w:val="21"/>
                <w:szCs w:val="21"/>
              </w:rPr>
            </w:pPr>
          </w:p>
        </w:tc>
        <w:tc>
          <w:tcPr>
            <w:tcW w:w="1365" w:type="dxa"/>
            <w:vAlign w:val="center"/>
          </w:tcPr>
          <w:p w14:paraId="335BB45D">
            <w:pPr>
              <w:snapToGrid w:val="0"/>
              <w:jc w:val="center"/>
              <w:rPr>
                <w:snapToGrid w:val="0"/>
                <w:color w:val="000000" w:themeColor="text1"/>
                <w:kern w:val="21"/>
                <w:szCs w:val="21"/>
              </w:rPr>
            </w:pPr>
            <w:r>
              <w:rPr>
                <w:color w:val="000000" w:themeColor="text1"/>
                <w:szCs w:val="21"/>
              </w:rPr>
              <w:t>硫化氢</w:t>
            </w:r>
          </w:p>
        </w:tc>
        <w:tc>
          <w:tcPr>
            <w:tcW w:w="1575" w:type="dxa"/>
            <w:vAlign w:val="center"/>
          </w:tcPr>
          <w:p w14:paraId="6B04D989">
            <w:pPr>
              <w:jc w:val="center"/>
              <w:rPr>
                <w:rFonts w:ascii="宋体" w:hAnsi="宋体" w:cs="宋体"/>
                <w:color w:val="000000" w:themeColor="text1"/>
                <w:sz w:val="24"/>
              </w:rPr>
            </w:pPr>
            <w:r>
              <w:rPr>
                <w:rFonts w:hint="eastAsia"/>
                <w:color w:val="000000" w:themeColor="text1"/>
              </w:rPr>
              <w:t>0.2026</w:t>
            </w:r>
          </w:p>
        </w:tc>
        <w:tc>
          <w:tcPr>
            <w:tcW w:w="1276" w:type="dxa"/>
            <w:vAlign w:val="center"/>
          </w:tcPr>
          <w:p w14:paraId="3ED20D1E">
            <w:pPr>
              <w:jc w:val="center"/>
              <w:rPr>
                <w:color w:val="000000" w:themeColor="text1"/>
                <w:szCs w:val="21"/>
              </w:rPr>
            </w:pPr>
            <w:r>
              <w:rPr>
                <w:rFonts w:hint="eastAsia"/>
                <w:color w:val="000000" w:themeColor="text1"/>
              </w:rPr>
              <w:t>0.2026</w:t>
            </w:r>
          </w:p>
        </w:tc>
        <w:tc>
          <w:tcPr>
            <w:tcW w:w="1701" w:type="dxa"/>
            <w:vAlign w:val="center"/>
          </w:tcPr>
          <w:p w14:paraId="51917A01">
            <w:pPr>
              <w:jc w:val="center"/>
              <w:rPr>
                <w:snapToGrid w:val="0"/>
                <w:color w:val="000000" w:themeColor="text1"/>
                <w:kern w:val="21"/>
                <w:szCs w:val="21"/>
              </w:rPr>
            </w:pPr>
            <w:r>
              <w:rPr>
                <w:color w:val="000000" w:themeColor="text1"/>
                <w:kern w:val="0"/>
                <w:szCs w:val="21"/>
              </w:rPr>
              <w:t>/</w:t>
            </w:r>
          </w:p>
        </w:tc>
        <w:tc>
          <w:tcPr>
            <w:tcW w:w="1559" w:type="dxa"/>
            <w:vAlign w:val="center"/>
          </w:tcPr>
          <w:p w14:paraId="6B2535AB">
            <w:pPr>
              <w:jc w:val="center"/>
              <w:rPr>
                <w:color w:val="000000" w:themeColor="text1"/>
                <w:szCs w:val="21"/>
              </w:rPr>
            </w:pPr>
            <w:r>
              <w:rPr>
                <w:color w:val="000000" w:themeColor="text1"/>
                <w:szCs w:val="21"/>
              </w:rPr>
              <w:t>0.0418</w:t>
            </w:r>
          </w:p>
        </w:tc>
        <w:tc>
          <w:tcPr>
            <w:tcW w:w="1645" w:type="dxa"/>
            <w:vAlign w:val="center"/>
          </w:tcPr>
          <w:p w14:paraId="0B513294">
            <w:pPr>
              <w:widowControl/>
              <w:jc w:val="center"/>
              <w:textAlignment w:val="center"/>
              <w:rPr>
                <w:color w:val="000000" w:themeColor="text1"/>
                <w:szCs w:val="21"/>
              </w:rPr>
            </w:pPr>
            <w:r>
              <w:rPr>
                <w:color w:val="000000" w:themeColor="text1"/>
                <w:szCs w:val="21"/>
              </w:rPr>
              <w:t>/</w:t>
            </w:r>
          </w:p>
        </w:tc>
        <w:tc>
          <w:tcPr>
            <w:tcW w:w="1715" w:type="dxa"/>
            <w:vAlign w:val="center"/>
          </w:tcPr>
          <w:p w14:paraId="66A1CB1B">
            <w:pPr>
              <w:jc w:val="center"/>
              <w:rPr>
                <w:color w:val="000000" w:themeColor="text1"/>
                <w:szCs w:val="21"/>
              </w:rPr>
            </w:pPr>
            <w:r>
              <w:rPr>
                <w:color w:val="000000" w:themeColor="text1"/>
                <w:szCs w:val="21"/>
              </w:rPr>
              <w:t>0.2444</w:t>
            </w:r>
          </w:p>
        </w:tc>
        <w:tc>
          <w:tcPr>
            <w:tcW w:w="1186" w:type="dxa"/>
            <w:vAlign w:val="center"/>
          </w:tcPr>
          <w:p w14:paraId="7D1D7F95">
            <w:pPr>
              <w:jc w:val="center"/>
              <w:rPr>
                <w:color w:val="000000" w:themeColor="text1"/>
                <w:szCs w:val="21"/>
              </w:rPr>
            </w:pPr>
            <w:r>
              <w:rPr>
                <w:color w:val="000000" w:themeColor="text1"/>
                <w:szCs w:val="21"/>
              </w:rPr>
              <w:t>+0.0418</w:t>
            </w:r>
          </w:p>
        </w:tc>
      </w:tr>
      <w:tr w14:paraId="26933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36B46E33">
            <w:pPr>
              <w:pStyle w:val="43"/>
              <w:spacing w:beforeLines="0" w:afterLines="0" w:line="240" w:lineRule="auto"/>
              <w:rPr>
                <w:rFonts w:ascii="Times New Roman"/>
                <w:snapToGrid w:val="0"/>
                <w:kern w:val="21"/>
                <w:sz w:val="21"/>
                <w:szCs w:val="21"/>
              </w:rPr>
            </w:pPr>
          </w:p>
        </w:tc>
        <w:tc>
          <w:tcPr>
            <w:tcW w:w="1036" w:type="dxa"/>
            <w:vMerge w:val="continue"/>
            <w:vAlign w:val="center"/>
          </w:tcPr>
          <w:p w14:paraId="641B19F9">
            <w:pPr>
              <w:pStyle w:val="43"/>
              <w:spacing w:beforeLines="0" w:afterLines="0" w:line="240" w:lineRule="auto"/>
              <w:rPr>
                <w:rFonts w:ascii="Times New Roman"/>
                <w:snapToGrid w:val="0"/>
                <w:kern w:val="21"/>
                <w:sz w:val="21"/>
                <w:szCs w:val="21"/>
              </w:rPr>
            </w:pPr>
          </w:p>
        </w:tc>
        <w:tc>
          <w:tcPr>
            <w:tcW w:w="1365" w:type="dxa"/>
            <w:vAlign w:val="center"/>
          </w:tcPr>
          <w:p w14:paraId="43A466FC">
            <w:pPr>
              <w:jc w:val="center"/>
              <w:rPr>
                <w:rFonts w:hAnsi="宋体"/>
                <w:color w:val="000000" w:themeColor="text1"/>
                <w:szCs w:val="21"/>
              </w:rPr>
            </w:pPr>
            <w:r>
              <w:rPr>
                <w:rFonts w:hint="eastAsia" w:hAnsi="宋体"/>
                <w:color w:val="000000" w:themeColor="text1"/>
                <w:szCs w:val="21"/>
              </w:rPr>
              <w:t>二甲苯</w:t>
            </w:r>
          </w:p>
        </w:tc>
        <w:tc>
          <w:tcPr>
            <w:tcW w:w="1575" w:type="dxa"/>
            <w:vAlign w:val="center"/>
          </w:tcPr>
          <w:p w14:paraId="07EBF457">
            <w:pPr>
              <w:jc w:val="center"/>
              <w:rPr>
                <w:rFonts w:ascii="宋体" w:hAnsi="宋体" w:cs="宋体"/>
                <w:color w:val="000000" w:themeColor="text1"/>
                <w:sz w:val="24"/>
              </w:rPr>
            </w:pPr>
            <w:r>
              <w:rPr>
                <w:rFonts w:hint="eastAsia"/>
                <w:color w:val="000000" w:themeColor="text1"/>
              </w:rPr>
              <w:t>0.152</w:t>
            </w:r>
          </w:p>
        </w:tc>
        <w:tc>
          <w:tcPr>
            <w:tcW w:w="1276" w:type="dxa"/>
            <w:vAlign w:val="center"/>
          </w:tcPr>
          <w:p w14:paraId="5B8FA1DE">
            <w:pPr>
              <w:jc w:val="center"/>
              <w:rPr>
                <w:color w:val="000000" w:themeColor="text1"/>
                <w:szCs w:val="21"/>
              </w:rPr>
            </w:pPr>
            <w:r>
              <w:rPr>
                <w:rFonts w:hint="eastAsia"/>
                <w:color w:val="000000" w:themeColor="text1"/>
              </w:rPr>
              <w:t>0.152</w:t>
            </w:r>
          </w:p>
        </w:tc>
        <w:tc>
          <w:tcPr>
            <w:tcW w:w="1701" w:type="dxa"/>
            <w:vAlign w:val="center"/>
          </w:tcPr>
          <w:p w14:paraId="6B640329">
            <w:pPr>
              <w:jc w:val="center"/>
              <w:rPr>
                <w:snapToGrid w:val="0"/>
                <w:color w:val="000000" w:themeColor="text1"/>
                <w:kern w:val="21"/>
                <w:szCs w:val="21"/>
              </w:rPr>
            </w:pPr>
            <w:r>
              <w:rPr>
                <w:color w:val="000000" w:themeColor="text1"/>
                <w:kern w:val="0"/>
                <w:szCs w:val="21"/>
              </w:rPr>
              <w:t>/</w:t>
            </w:r>
          </w:p>
        </w:tc>
        <w:tc>
          <w:tcPr>
            <w:tcW w:w="1559" w:type="dxa"/>
            <w:vAlign w:val="center"/>
          </w:tcPr>
          <w:p w14:paraId="55A86B25">
            <w:pPr>
              <w:jc w:val="center"/>
              <w:rPr>
                <w:color w:val="000000" w:themeColor="text1"/>
                <w:szCs w:val="21"/>
              </w:rPr>
            </w:pPr>
            <w:r>
              <w:rPr>
                <w:color w:val="000000" w:themeColor="text1"/>
                <w:szCs w:val="21"/>
              </w:rPr>
              <w:t>0</w:t>
            </w:r>
          </w:p>
        </w:tc>
        <w:tc>
          <w:tcPr>
            <w:tcW w:w="1645" w:type="dxa"/>
            <w:vAlign w:val="center"/>
          </w:tcPr>
          <w:p w14:paraId="181C0689">
            <w:pPr>
              <w:widowControl/>
              <w:jc w:val="center"/>
              <w:textAlignment w:val="center"/>
              <w:rPr>
                <w:color w:val="000000" w:themeColor="text1"/>
                <w:szCs w:val="21"/>
              </w:rPr>
            </w:pPr>
            <w:r>
              <w:rPr>
                <w:color w:val="000000" w:themeColor="text1"/>
                <w:szCs w:val="21"/>
              </w:rPr>
              <w:t>/</w:t>
            </w:r>
          </w:p>
        </w:tc>
        <w:tc>
          <w:tcPr>
            <w:tcW w:w="1715" w:type="dxa"/>
            <w:vAlign w:val="center"/>
          </w:tcPr>
          <w:p w14:paraId="410C31BE">
            <w:pPr>
              <w:jc w:val="center"/>
              <w:rPr>
                <w:color w:val="000000" w:themeColor="text1"/>
                <w:szCs w:val="21"/>
              </w:rPr>
            </w:pPr>
            <w:r>
              <w:rPr>
                <w:color w:val="000000" w:themeColor="text1"/>
                <w:szCs w:val="21"/>
              </w:rPr>
              <w:t>0.152</w:t>
            </w:r>
          </w:p>
        </w:tc>
        <w:tc>
          <w:tcPr>
            <w:tcW w:w="1186" w:type="dxa"/>
            <w:vAlign w:val="center"/>
          </w:tcPr>
          <w:p w14:paraId="56A47D85">
            <w:pPr>
              <w:jc w:val="center"/>
              <w:rPr>
                <w:color w:val="000000" w:themeColor="text1"/>
                <w:szCs w:val="21"/>
              </w:rPr>
            </w:pPr>
            <w:r>
              <w:rPr>
                <w:color w:val="000000" w:themeColor="text1"/>
                <w:szCs w:val="21"/>
              </w:rPr>
              <w:t>0</w:t>
            </w:r>
          </w:p>
        </w:tc>
      </w:tr>
      <w:tr w14:paraId="17B49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41302973">
            <w:pPr>
              <w:pStyle w:val="43"/>
              <w:spacing w:beforeLines="0" w:afterLines="0" w:line="240" w:lineRule="auto"/>
              <w:rPr>
                <w:rFonts w:ascii="Times New Roman"/>
                <w:snapToGrid w:val="0"/>
                <w:kern w:val="21"/>
                <w:sz w:val="21"/>
                <w:szCs w:val="21"/>
              </w:rPr>
            </w:pPr>
          </w:p>
        </w:tc>
        <w:tc>
          <w:tcPr>
            <w:tcW w:w="1036" w:type="dxa"/>
            <w:vMerge w:val="continue"/>
            <w:vAlign w:val="center"/>
          </w:tcPr>
          <w:p w14:paraId="3710D1DD">
            <w:pPr>
              <w:pStyle w:val="43"/>
              <w:spacing w:beforeLines="0" w:afterLines="0" w:line="240" w:lineRule="auto"/>
              <w:rPr>
                <w:rFonts w:ascii="Times New Roman"/>
                <w:snapToGrid w:val="0"/>
                <w:kern w:val="21"/>
                <w:sz w:val="21"/>
                <w:szCs w:val="21"/>
              </w:rPr>
            </w:pPr>
          </w:p>
        </w:tc>
        <w:tc>
          <w:tcPr>
            <w:tcW w:w="1365" w:type="dxa"/>
            <w:vAlign w:val="center"/>
          </w:tcPr>
          <w:p w14:paraId="2C4153FB">
            <w:pPr>
              <w:jc w:val="center"/>
              <w:rPr>
                <w:rFonts w:hAnsi="宋体"/>
                <w:color w:val="000000" w:themeColor="text1"/>
                <w:szCs w:val="21"/>
              </w:rPr>
            </w:pPr>
            <w:r>
              <w:rPr>
                <w:rFonts w:hint="eastAsia" w:hAnsi="宋体"/>
                <w:color w:val="000000" w:themeColor="text1"/>
                <w:szCs w:val="21"/>
              </w:rPr>
              <w:t>乙苯</w:t>
            </w:r>
          </w:p>
        </w:tc>
        <w:tc>
          <w:tcPr>
            <w:tcW w:w="1575" w:type="dxa"/>
            <w:vAlign w:val="center"/>
          </w:tcPr>
          <w:p w14:paraId="6840C514">
            <w:pPr>
              <w:jc w:val="center"/>
              <w:rPr>
                <w:rFonts w:ascii="宋体" w:hAnsi="宋体" w:cs="宋体"/>
                <w:color w:val="000000" w:themeColor="text1"/>
                <w:sz w:val="24"/>
              </w:rPr>
            </w:pPr>
            <w:r>
              <w:rPr>
                <w:rFonts w:hint="eastAsia"/>
                <w:color w:val="000000" w:themeColor="text1"/>
              </w:rPr>
              <w:t>0.057</w:t>
            </w:r>
          </w:p>
        </w:tc>
        <w:tc>
          <w:tcPr>
            <w:tcW w:w="1276" w:type="dxa"/>
            <w:vAlign w:val="center"/>
          </w:tcPr>
          <w:p w14:paraId="23D6857B">
            <w:pPr>
              <w:jc w:val="center"/>
              <w:rPr>
                <w:color w:val="000000" w:themeColor="text1"/>
                <w:szCs w:val="21"/>
              </w:rPr>
            </w:pPr>
            <w:r>
              <w:rPr>
                <w:rFonts w:hint="eastAsia"/>
                <w:color w:val="000000" w:themeColor="text1"/>
              </w:rPr>
              <w:t>0.057</w:t>
            </w:r>
          </w:p>
        </w:tc>
        <w:tc>
          <w:tcPr>
            <w:tcW w:w="1701" w:type="dxa"/>
            <w:vAlign w:val="center"/>
          </w:tcPr>
          <w:p w14:paraId="35145F9B">
            <w:pPr>
              <w:jc w:val="center"/>
              <w:rPr>
                <w:snapToGrid w:val="0"/>
                <w:color w:val="000000" w:themeColor="text1"/>
                <w:kern w:val="21"/>
                <w:szCs w:val="21"/>
              </w:rPr>
            </w:pPr>
            <w:r>
              <w:rPr>
                <w:color w:val="000000" w:themeColor="text1"/>
                <w:kern w:val="0"/>
                <w:szCs w:val="21"/>
              </w:rPr>
              <w:t>/</w:t>
            </w:r>
          </w:p>
        </w:tc>
        <w:tc>
          <w:tcPr>
            <w:tcW w:w="1559" w:type="dxa"/>
            <w:vAlign w:val="center"/>
          </w:tcPr>
          <w:p w14:paraId="73EB8083">
            <w:pPr>
              <w:jc w:val="center"/>
              <w:rPr>
                <w:color w:val="000000" w:themeColor="text1"/>
                <w:szCs w:val="21"/>
              </w:rPr>
            </w:pPr>
            <w:r>
              <w:rPr>
                <w:color w:val="000000" w:themeColor="text1"/>
                <w:szCs w:val="21"/>
              </w:rPr>
              <w:t>0</w:t>
            </w:r>
          </w:p>
        </w:tc>
        <w:tc>
          <w:tcPr>
            <w:tcW w:w="1645" w:type="dxa"/>
            <w:vAlign w:val="center"/>
          </w:tcPr>
          <w:p w14:paraId="1C72EA7F">
            <w:pPr>
              <w:widowControl/>
              <w:jc w:val="center"/>
              <w:textAlignment w:val="center"/>
              <w:rPr>
                <w:color w:val="000000" w:themeColor="text1"/>
                <w:szCs w:val="21"/>
              </w:rPr>
            </w:pPr>
            <w:r>
              <w:rPr>
                <w:color w:val="000000" w:themeColor="text1"/>
                <w:szCs w:val="21"/>
              </w:rPr>
              <w:t>/</w:t>
            </w:r>
          </w:p>
        </w:tc>
        <w:tc>
          <w:tcPr>
            <w:tcW w:w="1715" w:type="dxa"/>
            <w:vAlign w:val="center"/>
          </w:tcPr>
          <w:p w14:paraId="07BA4F31">
            <w:pPr>
              <w:jc w:val="center"/>
              <w:rPr>
                <w:color w:val="000000" w:themeColor="text1"/>
                <w:szCs w:val="21"/>
              </w:rPr>
            </w:pPr>
            <w:r>
              <w:rPr>
                <w:color w:val="000000" w:themeColor="text1"/>
                <w:szCs w:val="21"/>
              </w:rPr>
              <w:t>0.057</w:t>
            </w:r>
          </w:p>
        </w:tc>
        <w:tc>
          <w:tcPr>
            <w:tcW w:w="1186" w:type="dxa"/>
            <w:vAlign w:val="center"/>
          </w:tcPr>
          <w:p w14:paraId="1D060E9A">
            <w:pPr>
              <w:jc w:val="center"/>
              <w:rPr>
                <w:color w:val="000000" w:themeColor="text1"/>
                <w:szCs w:val="21"/>
              </w:rPr>
            </w:pPr>
            <w:r>
              <w:rPr>
                <w:color w:val="000000" w:themeColor="text1"/>
                <w:szCs w:val="21"/>
              </w:rPr>
              <w:t>0</w:t>
            </w:r>
          </w:p>
        </w:tc>
      </w:tr>
      <w:tr w14:paraId="5F0E6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177F596B">
            <w:pPr>
              <w:pStyle w:val="43"/>
              <w:spacing w:beforeLines="0" w:afterLines="0" w:line="240" w:lineRule="auto"/>
              <w:rPr>
                <w:rFonts w:ascii="Times New Roman"/>
                <w:snapToGrid w:val="0"/>
                <w:kern w:val="21"/>
                <w:sz w:val="21"/>
                <w:szCs w:val="21"/>
              </w:rPr>
            </w:pPr>
          </w:p>
        </w:tc>
        <w:tc>
          <w:tcPr>
            <w:tcW w:w="1036" w:type="dxa"/>
            <w:vMerge w:val="continue"/>
            <w:vAlign w:val="center"/>
          </w:tcPr>
          <w:p w14:paraId="2CCCDEAF">
            <w:pPr>
              <w:pStyle w:val="43"/>
              <w:spacing w:beforeLines="0" w:afterLines="0" w:line="240" w:lineRule="auto"/>
              <w:rPr>
                <w:rFonts w:ascii="Times New Roman"/>
                <w:snapToGrid w:val="0"/>
                <w:kern w:val="21"/>
                <w:sz w:val="21"/>
                <w:szCs w:val="21"/>
              </w:rPr>
            </w:pPr>
          </w:p>
        </w:tc>
        <w:tc>
          <w:tcPr>
            <w:tcW w:w="1365" w:type="dxa"/>
            <w:vAlign w:val="center"/>
          </w:tcPr>
          <w:p w14:paraId="2EA526C7">
            <w:pPr>
              <w:jc w:val="center"/>
              <w:rPr>
                <w:rFonts w:hAnsi="宋体"/>
                <w:color w:val="000000" w:themeColor="text1"/>
                <w:szCs w:val="21"/>
              </w:rPr>
            </w:pPr>
            <w:r>
              <w:rPr>
                <w:rFonts w:hint="eastAsia" w:hAnsi="宋体"/>
                <w:color w:val="000000" w:themeColor="text1"/>
                <w:szCs w:val="21"/>
              </w:rPr>
              <w:t>非甲烷总烃</w:t>
            </w:r>
          </w:p>
        </w:tc>
        <w:tc>
          <w:tcPr>
            <w:tcW w:w="1575" w:type="dxa"/>
            <w:vAlign w:val="center"/>
          </w:tcPr>
          <w:p w14:paraId="051807CB">
            <w:pPr>
              <w:jc w:val="center"/>
              <w:rPr>
                <w:rFonts w:ascii="宋体" w:hAnsi="宋体" w:cs="宋体"/>
                <w:color w:val="000000" w:themeColor="text1"/>
                <w:sz w:val="24"/>
              </w:rPr>
            </w:pPr>
            <w:r>
              <w:rPr>
                <w:rFonts w:hint="eastAsia"/>
                <w:color w:val="000000" w:themeColor="text1"/>
              </w:rPr>
              <w:t>1.4715</w:t>
            </w:r>
          </w:p>
        </w:tc>
        <w:tc>
          <w:tcPr>
            <w:tcW w:w="1276" w:type="dxa"/>
            <w:vAlign w:val="center"/>
          </w:tcPr>
          <w:p w14:paraId="3F718089">
            <w:pPr>
              <w:jc w:val="center"/>
              <w:rPr>
                <w:snapToGrid w:val="0"/>
                <w:color w:val="000000" w:themeColor="text1"/>
                <w:kern w:val="21"/>
                <w:szCs w:val="21"/>
              </w:rPr>
            </w:pPr>
            <w:r>
              <w:rPr>
                <w:rFonts w:hint="eastAsia"/>
                <w:color w:val="000000" w:themeColor="text1"/>
              </w:rPr>
              <w:t>1.4715</w:t>
            </w:r>
          </w:p>
        </w:tc>
        <w:tc>
          <w:tcPr>
            <w:tcW w:w="1701" w:type="dxa"/>
            <w:vAlign w:val="center"/>
          </w:tcPr>
          <w:p w14:paraId="702BF361">
            <w:pPr>
              <w:jc w:val="center"/>
              <w:rPr>
                <w:snapToGrid w:val="0"/>
                <w:color w:val="000000" w:themeColor="text1"/>
                <w:kern w:val="21"/>
                <w:szCs w:val="21"/>
              </w:rPr>
            </w:pPr>
            <w:r>
              <w:rPr>
                <w:color w:val="000000" w:themeColor="text1"/>
                <w:kern w:val="0"/>
                <w:szCs w:val="21"/>
              </w:rPr>
              <w:t>/</w:t>
            </w:r>
          </w:p>
        </w:tc>
        <w:tc>
          <w:tcPr>
            <w:tcW w:w="1559" w:type="dxa"/>
            <w:vAlign w:val="center"/>
          </w:tcPr>
          <w:p w14:paraId="768AD5C8">
            <w:pPr>
              <w:jc w:val="center"/>
              <w:rPr>
                <w:color w:val="000000" w:themeColor="text1"/>
                <w:szCs w:val="21"/>
              </w:rPr>
            </w:pPr>
            <w:r>
              <w:rPr>
                <w:color w:val="000000" w:themeColor="text1"/>
                <w:szCs w:val="21"/>
              </w:rPr>
              <w:t>0.2372</w:t>
            </w:r>
          </w:p>
        </w:tc>
        <w:tc>
          <w:tcPr>
            <w:tcW w:w="1645" w:type="dxa"/>
            <w:vAlign w:val="center"/>
          </w:tcPr>
          <w:p w14:paraId="31DE18EE">
            <w:pPr>
              <w:widowControl/>
              <w:jc w:val="center"/>
              <w:textAlignment w:val="center"/>
              <w:rPr>
                <w:color w:val="000000" w:themeColor="text1"/>
                <w:szCs w:val="21"/>
              </w:rPr>
            </w:pPr>
            <w:r>
              <w:rPr>
                <w:color w:val="000000" w:themeColor="text1"/>
                <w:szCs w:val="21"/>
              </w:rPr>
              <w:t>/</w:t>
            </w:r>
          </w:p>
        </w:tc>
        <w:tc>
          <w:tcPr>
            <w:tcW w:w="1715" w:type="dxa"/>
            <w:vAlign w:val="center"/>
          </w:tcPr>
          <w:p w14:paraId="2834F66E">
            <w:pPr>
              <w:jc w:val="center"/>
              <w:rPr>
                <w:color w:val="000000" w:themeColor="text1"/>
                <w:szCs w:val="21"/>
              </w:rPr>
            </w:pPr>
            <w:r>
              <w:rPr>
                <w:color w:val="000000" w:themeColor="text1"/>
                <w:szCs w:val="21"/>
              </w:rPr>
              <w:t>1.7087</w:t>
            </w:r>
          </w:p>
        </w:tc>
        <w:tc>
          <w:tcPr>
            <w:tcW w:w="1186" w:type="dxa"/>
            <w:vAlign w:val="center"/>
          </w:tcPr>
          <w:p w14:paraId="63917B20">
            <w:pPr>
              <w:jc w:val="center"/>
              <w:rPr>
                <w:color w:val="000000" w:themeColor="text1"/>
                <w:szCs w:val="21"/>
              </w:rPr>
            </w:pPr>
            <w:r>
              <w:rPr>
                <w:color w:val="000000" w:themeColor="text1"/>
                <w:szCs w:val="21"/>
              </w:rPr>
              <w:t>+0.2372</w:t>
            </w:r>
          </w:p>
        </w:tc>
      </w:tr>
      <w:tr w14:paraId="5416A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1E04C5B8">
            <w:pPr>
              <w:pStyle w:val="43"/>
              <w:spacing w:beforeLines="0" w:afterLines="0" w:line="240" w:lineRule="auto"/>
              <w:rPr>
                <w:rFonts w:ascii="Times New Roman"/>
                <w:snapToGrid w:val="0"/>
                <w:kern w:val="21"/>
                <w:sz w:val="21"/>
                <w:szCs w:val="21"/>
              </w:rPr>
            </w:pPr>
          </w:p>
        </w:tc>
        <w:tc>
          <w:tcPr>
            <w:tcW w:w="1036" w:type="dxa"/>
            <w:vMerge w:val="continue"/>
            <w:vAlign w:val="center"/>
          </w:tcPr>
          <w:p w14:paraId="2FD65F63">
            <w:pPr>
              <w:pStyle w:val="43"/>
              <w:spacing w:beforeLines="0" w:afterLines="0" w:line="240" w:lineRule="auto"/>
              <w:rPr>
                <w:rFonts w:ascii="Times New Roman"/>
                <w:snapToGrid w:val="0"/>
                <w:kern w:val="21"/>
                <w:sz w:val="21"/>
                <w:szCs w:val="21"/>
              </w:rPr>
            </w:pPr>
          </w:p>
        </w:tc>
        <w:tc>
          <w:tcPr>
            <w:tcW w:w="1365" w:type="dxa"/>
            <w:vAlign w:val="center"/>
          </w:tcPr>
          <w:p w14:paraId="4E57F7FB">
            <w:pPr>
              <w:snapToGrid w:val="0"/>
              <w:jc w:val="center"/>
              <w:rPr>
                <w:snapToGrid w:val="0"/>
                <w:color w:val="000000" w:themeColor="text1"/>
                <w:kern w:val="21"/>
                <w:szCs w:val="21"/>
              </w:rPr>
            </w:pPr>
            <w:r>
              <w:rPr>
                <w:rFonts w:hint="eastAsia" w:hAnsi="宋体"/>
                <w:color w:val="000000" w:themeColor="text1"/>
                <w:szCs w:val="21"/>
              </w:rPr>
              <w:t>油烟</w:t>
            </w:r>
          </w:p>
        </w:tc>
        <w:tc>
          <w:tcPr>
            <w:tcW w:w="1575" w:type="dxa"/>
            <w:vAlign w:val="center"/>
          </w:tcPr>
          <w:p w14:paraId="7674270C">
            <w:pPr>
              <w:jc w:val="center"/>
              <w:rPr>
                <w:rFonts w:ascii="宋体" w:hAnsi="宋体" w:cs="宋体"/>
                <w:color w:val="000000" w:themeColor="text1"/>
                <w:sz w:val="24"/>
              </w:rPr>
            </w:pPr>
            <w:r>
              <w:rPr>
                <w:rFonts w:hint="eastAsia"/>
                <w:color w:val="000000" w:themeColor="text1"/>
              </w:rPr>
              <w:t>0.0086</w:t>
            </w:r>
          </w:p>
        </w:tc>
        <w:tc>
          <w:tcPr>
            <w:tcW w:w="1276" w:type="dxa"/>
            <w:vAlign w:val="center"/>
          </w:tcPr>
          <w:p w14:paraId="2F9DD587">
            <w:pPr>
              <w:jc w:val="center"/>
              <w:rPr>
                <w:snapToGrid w:val="0"/>
                <w:color w:val="000000" w:themeColor="text1"/>
                <w:kern w:val="21"/>
                <w:szCs w:val="21"/>
              </w:rPr>
            </w:pPr>
            <w:r>
              <w:rPr>
                <w:rFonts w:hint="eastAsia"/>
                <w:color w:val="000000" w:themeColor="text1"/>
              </w:rPr>
              <w:t>0.0086</w:t>
            </w:r>
          </w:p>
        </w:tc>
        <w:tc>
          <w:tcPr>
            <w:tcW w:w="1701" w:type="dxa"/>
            <w:vAlign w:val="center"/>
          </w:tcPr>
          <w:p w14:paraId="37CAC629">
            <w:pPr>
              <w:jc w:val="center"/>
              <w:rPr>
                <w:snapToGrid w:val="0"/>
                <w:color w:val="000000" w:themeColor="text1"/>
                <w:kern w:val="21"/>
                <w:szCs w:val="21"/>
              </w:rPr>
            </w:pPr>
            <w:r>
              <w:rPr>
                <w:color w:val="000000" w:themeColor="text1"/>
                <w:kern w:val="0"/>
                <w:szCs w:val="21"/>
              </w:rPr>
              <w:t>/</w:t>
            </w:r>
          </w:p>
        </w:tc>
        <w:tc>
          <w:tcPr>
            <w:tcW w:w="1559" w:type="dxa"/>
            <w:vAlign w:val="center"/>
          </w:tcPr>
          <w:p w14:paraId="618A5C4E">
            <w:pPr>
              <w:jc w:val="center"/>
              <w:rPr>
                <w:color w:val="000000" w:themeColor="text1"/>
                <w:szCs w:val="21"/>
              </w:rPr>
            </w:pPr>
            <w:r>
              <w:rPr>
                <w:color w:val="000000" w:themeColor="text1"/>
                <w:szCs w:val="21"/>
              </w:rPr>
              <w:t>0.002</w:t>
            </w:r>
          </w:p>
        </w:tc>
        <w:tc>
          <w:tcPr>
            <w:tcW w:w="1645" w:type="dxa"/>
            <w:vAlign w:val="center"/>
          </w:tcPr>
          <w:p w14:paraId="3D386A31">
            <w:pPr>
              <w:widowControl/>
              <w:jc w:val="center"/>
              <w:textAlignment w:val="center"/>
              <w:rPr>
                <w:color w:val="000000" w:themeColor="text1"/>
                <w:szCs w:val="21"/>
              </w:rPr>
            </w:pPr>
            <w:r>
              <w:rPr>
                <w:color w:val="000000" w:themeColor="text1"/>
                <w:szCs w:val="21"/>
              </w:rPr>
              <w:t>/</w:t>
            </w:r>
          </w:p>
        </w:tc>
        <w:tc>
          <w:tcPr>
            <w:tcW w:w="1715" w:type="dxa"/>
            <w:vAlign w:val="center"/>
          </w:tcPr>
          <w:p w14:paraId="112CAB3A">
            <w:pPr>
              <w:jc w:val="center"/>
              <w:rPr>
                <w:color w:val="000000" w:themeColor="text1"/>
                <w:szCs w:val="21"/>
              </w:rPr>
            </w:pPr>
            <w:r>
              <w:rPr>
                <w:color w:val="000000" w:themeColor="text1"/>
                <w:szCs w:val="21"/>
              </w:rPr>
              <w:t>0.0106</w:t>
            </w:r>
          </w:p>
        </w:tc>
        <w:tc>
          <w:tcPr>
            <w:tcW w:w="1186" w:type="dxa"/>
            <w:vAlign w:val="center"/>
          </w:tcPr>
          <w:p w14:paraId="328BE00E">
            <w:pPr>
              <w:jc w:val="center"/>
              <w:rPr>
                <w:color w:val="000000" w:themeColor="text1"/>
                <w:szCs w:val="21"/>
              </w:rPr>
            </w:pPr>
            <w:r>
              <w:rPr>
                <w:color w:val="000000" w:themeColor="text1"/>
                <w:szCs w:val="21"/>
              </w:rPr>
              <w:t>+0.002</w:t>
            </w:r>
          </w:p>
        </w:tc>
      </w:tr>
      <w:tr w14:paraId="006A1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7E2E6C9A">
            <w:pPr>
              <w:pStyle w:val="43"/>
              <w:spacing w:beforeLines="0" w:afterLines="0" w:line="240" w:lineRule="auto"/>
              <w:rPr>
                <w:rFonts w:ascii="Times New Roman"/>
                <w:snapToGrid w:val="0"/>
                <w:kern w:val="21"/>
                <w:sz w:val="21"/>
                <w:szCs w:val="21"/>
              </w:rPr>
            </w:pPr>
          </w:p>
        </w:tc>
        <w:tc>
          <w:tcPr>
            <w:tcW w:w="1036" w:type="dxa"/>
            <w:vMerge w:val="restart"/>
            <w:vAlign w:val="center"/>
          </w:tcPr>
          <w:p w14:paraId="4DADCC21">
            <w:pPr>
              <w:pStyle w:val="43"/>
              <w:spacing w:beforeLines="0" w:afterLines="0" w:line="240" w:lineRule="auto"/>
              <w:rPr>
                <w:rFonts w:ascii="Times New Roman"/>
                <w:snapToGrid w:val="0"/>
                <w:kern w:val="21"/>
                <w:sz w:val="21"/>
                <w:szCs w:val="21"/>
              </w:rPr>
            </w:pPr>
            <w:r>
              <w:rPr>
                <w:rFonts w:ascii="Times New Roman"/>
                <w:snapToGrid w:val="0"/>
                <w:kern w:val="21"/>
                <w:sz w:val="21"/>
                <w:szCs w:val="21"/>
              </w:rPr>
              <w:t>无组织</w:t>
            </w:r>
          </w:p>
        </w:tc>
        <w:tc>
          <w:tcPr>
            <w:tcW w:w="1365" w:type="dxa"/>
            <w:vAlign w:val="center"/>
          </w:tcPr>
          <w:p w14:paraId="5882E7BD">
            <w:pPr>
              <w:snapToGrid w:val="0"/>
              <w:jc w:val="center"/>
              <w:rPr>
                <w:snapToGrid w:val="0"/>
                <w:color w:val="000000" w:themeColor="text1"/>
                <w:kern w:val="21"/>
                <w:szCs w:val="21"/>
              </w:rPr>
            </w:pPr>
            <w:r>
              <w:rPr>
                <w:color w:val="000000" w:themeColor="text1"/>
                <w:szCs w:val="21"/>
              </w:rPr>
              <w:t>颗粒物</w:t>
            </w:r>
          </w:p>
        </w:tc>
        <w:tc>
          <w:tcPr>
            <w:tcW w:w="1575" w:type="dxa"/>
            <w:vAlign w:val="center"/>
          </w:tcPr>
          <w:p w14:paraId="28804760">
            <w:pPr>
              <w:jc w:val="center"/>
              <w:rPr>
                <w:rFonts w:ascii="宋体" w:hAnsi="宋体" w:cs="宋体"/>
                <w:color w:val="000000" w:themeColor="text1"/>
                <w:sz w:val="24"/>
              </w:rPr>
            </w:pPr>
            <w:r>
              <w:rPr>
                <w:rFonts w:hint="eastAsia"/>
                <w:color w:val="000000" w:themeColor="text1"/>
              </w:rPr>
              <w:t>3.13</w:t>
            </w:r>
          </w:p>
        </w:tc>
        <w:tc>
          <w:tcPr>
            <w:tcW w:w="1276" w:type="dxa"/>
            <w:vAlign w:val="center"/>
          </w:tcPr>
          <w:p w14:paraId="45FC3A3C">
            <w:pPr>
              <w:jc w:val="center"/>
              <w:rPr>
                <w:snapToGrid w:val="0"/>
                <w:color w:val="000000" w:themeColor="text1"/>
                <w:kern w:val="21"/>
                <w:szCs w:val="21"/>
              </w:rPr>
            </w:pPr>
            <w:r>
              <w:rPr>
                <w:rFonts w:hint="eastAsia"/>
                <w:color w:val="000000" w:themeColor="text1"/>
              </w:rPr>
              <w:t>3.13</w:t>
            </w:r>
          </w:p>
        </w:tc>
        <w:tc>
          <w:tcPr>
            <w:tcW w:w="1701" w:type="dxa"/>
            <w:vAlign w:val="center"/>
          </w:tcPr>
          <w:p w14:paraId="42BAA7F3">
            <w:pPr>
              <w:jc w:val="center"/>
              <w:rPr>
                <w:snapToGrid w:val="0"/>
                <w:color w:val="000000" w:themeColor="text1"/>
                <w:kern w:val="21"/>
                <w:szCs w:val="21"/>
              </w:rPr>
            </w:pPr>
            <w:r>
              <w:rPr>
                <w:color w:val="000000" w:themeColor="text1"/>
                <w:kern w:val="0"/>
                <w:szCs w:val="21"/>
              </w:rPr>
              <w:t>/</w:t>
            </w:r>
          </w:p>
        </w:tc>
        <w:tc>
          <w:tcPr>
            <w:tcW w:w="1559" w:type="dxa"/>
            <w:vAlign w:val="center"/>
          </w:tcPr>
          <w:p w14:paraId="28F68124">
            <w:pPr>
              <w:jc w:val="center"/>
              <w:rPr>
                <w:color w:val="000000" w:themeColor="text1"/>
                <w:szCs w:val="21"/>
              </w:rPr>
            </w:pPr>
            <w:r>
              <w:rPr>
                <w:color w:val="000000" w:themeColor="text1"/>
                <w:szCs w:val="21"/>
              </w:rPr>
              <w:t>0.124</w:t>
            </w:r>
          </w:p>
        </w:tc>
        <w:tc>
          <w:tcPr>
            <w:tcW w:w="1645" w:type="dxa"/>
            <w:vAlign w:val="center"/>
          </w:tcPr>
          <w:p w14:paraId="4F43D19A">
            <w:pPr>
              <w:widowControl/>
              <w:jc w:val="center"/>
              <w:textAlignment w:val="center"/>
              <w:rPr>
                <w:color w:val="000000" w:themeColor="text1"/>
                <w:szCs w:val="21"/>
              </w:rPr>
            </w:pPr>
            <w:r>
              <w:rPr>
                <w:color w:val="000000" w:themeColor="text1"/>
                <w:szCs w:val="21"/>
              </w:rPr>
              <w:t>/</w:t>
            </w:r>
          </w:p>
        </w:tc>
        <w:tc>
          <w:tcPr>
            <w:tcW w:w="1715" w:type="dxa"/>
            <w:vAlign w:val="center"/>
          </w:tcPr>
          <w:p w14:paraId="339E46DF">
            <w:pPr>
              <w:jc w:val="center"/>
              <w:rPr>
                <w:color w:val="000000" w:themeColor="text1"/>
                <w:szCs w:val="21"/>
              </w:rPr>
            </w:pPr>
            <w:r>
              <w:rPr>
                <w:color w:val="000000" w:themeColor="text1"/>
                <w:szCs w:val="21"/>
              </w:rPr>
              <w:t>3.254</w:t>
            </w:r>
          </w:p>
        </w:tc>
        <w:tc>
          <w:tcPr>
            <w:tcW w:w="1186" w:type="dxa"/>
            <w:vAlign w:val="center"/>
          </w:tcPr>
          <w:p w14:paraId="6E7AD7F2">
            <w:pPr>
              <w:jc w:val="center"/>
              <w:rPr>
                <w:color w:val="000000" w:themeColor="text1"/>
                <w:szCs w:val="21"/>
              </w:rPr>
            </w:pPr>
            <w:r>
              <w:rPr>
                <w:color w:val="000000" w:themeColor="text1"/>
                <w:szCs w:val="21"/>
              </w:rPr>
              <w:t>+0.124</w:t>
            </w:r>
          </w:p>
        </w:tc>
      </w:tr>
      <w:tr w14:paraId="59DE9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1033D0E9">
            <w:pPr>
              <w:pStyle w:val="43"/>
              <w:spacing w:beforeLines="0" w:afterLines="0" w:line="240" w:lineRule="auto"/>
              <w:rPr>
                <w:rFonts w:ascii="Times New Roman"/>
                <w:snapToGrid w:val="0"/>
                <w:kern w:val="21"/>
                <w:sz w:val="21"/>
                <w:szCs w:val="21"/>
              </w:rPr>
            </w:pPr>
          </w:p>
        </w:tc>
        <w:tc>
          <w:tcPr>
            <w:tcW w:w="1036" w:type="dxa"/>
            <w:vMerge w:val="continue"/>
            <w:vAlign w:val="center"/>
          </w:tcPr>
          <w:p w14:paraId="6F7CDD3D">
            <w:pPr>
              <w:pStyle w:val="43"/>
              <w:spacing w:beforeLines="0" w:afterLines="0" w:line="240" w:lineRule="auto"/>
              <w:rPr>
                <w:rFonts w:ascii="Times New Roman"/>
                <w:snapToGrid w:val="0"/>
                <w:kern w:val="21"/>
                <w:sz w:val="21"/>
                <w:szCs w:val="21"/>
              </w:rPr>
            </w:pPr>
          </w:p>
        </w:tc>
        <w:tc>
          <w:tcPr>
            <w:tcW w:w="1365" w:type="dxa"/>
            <w:vAlign w:val="center"/>
          </w:tcPr>
          <w:p w14:paraId="2DEF8647">
            <w:pPr>
              <w:snapToGrid w:val="0"/>
              <w:jc w:val="center"/>
              <w:rPr>
                <w:color w:val="000000" w:themeColor="text1"/>
                <w:szCs w:val="21"/>
              </w:rPr>
            </w:pPr>
            <w:r>
              <w:rPr>
                <w:rFonts w:hint="eastAsia"/>
                <w:snapToGrid w:val="0"/>
                <w:color w:val="000000" w:themeColor="text1"/>
                <w:kern w:val="21"/>
                <w:szCs w:val="21"/>
              </w:rPr>
              <w:t>氟化物</w:t>
            </w:r>
          </w:p>
        </w:tc>
        <w:tc>
          <w:tcPr>
            <w:tcW w:w="1575" w:type="dxa"/>
            <w:vAlign w:val="center"/>
          </w:tcPr>
          <w:p w14:paraId="73A5EACA">
            <w:pPr>
              <w:jc w:val="center"/>
              <w:rPr>
                <w:rFonts w:ascii="宋体" w:hAnsi="宋体" w:cs="宋体"/>
                <w:color w:val="000000" w:themeColor="text1"/>
                <w:sz w:val="24"/>
              </w:rPr>
            </w:pPr>
            <w:r>
              <w:rPr>
                <w:rFonts w:hint="eastAsia"/>
                <w:color w:val="000000" w:themeColor="text1"/>
              </w:rPr>
              <w:t>0.00192</w:t>
            </w:r>
          </w:p>
        </w:tc>
        <w:tc>
          <w:tcPr>
            <w:tcW w:w="1276" w:type="dxa"/>
            <w:vAlign w:val="center"/>
          </w:tcPr>
          <w:p w14:paraId="329A5E1A">
            <w:pPr>
              <w:jc w:val="center"/>
              <w:rPr>
                <w:color w:val="000000" w:themeColor="text1"/>
                <w:szCs w:val="21"/>
              </w:rPr>
            </w:pPr>
            <w:r>
              <w:rPr>
                <w:rFonts w:hint="eastAsia"/>
                <w:color w:val="000000" w:themeColor="text1"/>
              </w:rPr>
              <w:t>0.00192</w:t>
            </w:r>
          </w:p>
        </w:tc>
        <w:tc>
          <w:tcPr>
            <w:tcW w:w="1701" w:type="dxa"/>
            <w:vAlign w:val="center"/>
          </w:tcPr>
          <w:p w14:paraId="4AB9077F">
            <w:pPr>
              <w:jc w:val="center"/>
              <w:rPr>
                <w:snapToGrid w:val="0"/>
                <w:color w:val="000000" w:themeColor="text1"/>
                <w:kern w:val="21"/>
                <w:szCs w:val="21"/>
              </w:rPr>
            </w:pPr>
            <w:r>
              <w:rPr>
                <w:color w:val="000000" w:themeColor="text1"/>
                <w:kern w:val="0"/>
                <w:szCs w:val="21"/>
              </w:rPr>
              <w:t>/</w:t>
            </w:r>
          </w:p>
        </w:tc>
        <w:tc>
          <w:tcPr>
            <w:tcW w:w="1559" w:type="dxa"/>
            <w:vAlign w:val="center"/>
          </w:tcPr>
          <w:p w14:paraId="0B893DFA">
            <w:pPr>
              <w:jc w:val="center"/>
              <w:rPr>
                <w:color w:val="000000" w:themeColor="text1"/>
                <w:szCs w:val="21"/>
              </w:rPr>
            </w:pPr>
            <w:r>
              <w:rPr>
                <w:color w:val="000000" w:themeColor="text1"/>
                <w:szCs w:val="21"/>
              </w:rPr>
              <w:t>0.00021</w:t>
            </w:r>
          </w:p>
        </w:tc>
        <w:tc>
          <w:tcPr>
            <w:tcW w:w="1645" w:type="dxa"/>
            <w:vAlign w:val="center"/>
          </w:tcPr>
          <w:p w14:paraId="03E91943">
            <w:pPr>
              <w:widowControl/>
              <w:jc w:val="center"/>
              <w:textAlignment w:val="center"/>
              <w:rPr>
                <w:color w:val="000000" w:themeColor="text1"/>
                <w:szCs w:val="21"/>
              </w:rPr>
            </w:pPr>
            <w:r>
              <w:rPr>
                <w:color w:val="000000" w:themeColor="text1"/>
                <w:szCs w:val="21"/>
              </w:rPr>
              <w:t>/</w:t>
            </w:r>
          </w:p>
        </w:tc>
        <w:tc>
          <w:tcPr>
            <w:tcW w:w="1715" w:type="dxa"/>
            <w:vAlign w:val="center"/>
          </w:tcPr>
          <w:p w14:paraId="755D36DB">
            <w:pPr>
              <w:jc w:val="center"/>
              <w:rPr>
                <w:color w:val="000000" w:themeColor="text1"/>
                <w:szCs w:val="21"/>
              </w:rPr>
            </w:pPr>
            <w:r>
              <w:rPr>
                <w:color w:val="000000" w:themeColor="text1"/>
                <w:szCs w:val="21"/>
              </w:rPr>
              <w:t>0.00213</w:t>
            </w:r>
          </w:p>
        </w:tc>
        <w:tc>
          <w:tcPr>
            <w:tcW w:w="1186" w:type="dxa"/>
            <w:vAlign w:val="center"/>
          </w:tcPr>
          <w:p w14:paraId="0C8D467E">
            <w:pPr>
              <w:jc w:val="center"/>
              <w:rPr>
                <w:color w:val="000000" w:themeColor="text1"/>
                <w:szCs w:val="21"/>
              </w:rPr>
            </w:pPr>
            <w:r>
              <w:rPr>
                <w:color w:val="000000" w:themeColor="text1"/>
                <w:szCs w:val="21"/>
              </w:rPr>
              <w:t>+0.00021</w:t>
            </w:r>
          </w:p>
        </w:tc>
      </w:tr>
      <w:tr w14:paraId="33103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0E3E6CE8">
            <w:pPr>
              <w:pStyle w:val="43"/>
              <w:spacing w:beforeLines="0" w:afterLines="0" w:line="240" w:lineRule="auto"/>
              <w:rPr>
                <w:rFonts w:ascii="Times New Roman"/>
                <w:snapToGrid w:val="0"/>
                <w:kern w:val="21"/>
                <w:sz w:val="21"/>
                <w:szCs w:val="21"/>
              </w:rPr>
            </w:pPr>
          </w:p>
        </w:tc>
        <w:tc>
          <w:tcPr>
            <w:tcW w:w="1036" w:type="dxa"/>
            <w:vMerge w:val="continue"/>
            <w:vAlign w:val="center"/>
          </w:tcPr>
          <w:p w14:paraId="095B4CEE">
            <w:pPr>
              <w:pStyle w:val="43"/>
              <w:spacing w:beforeLines="0" w:afterLines="0" w:line="240" w:lineRule="auto"/>
              <w:rPr>
                <w:rFonts w:ascii="Times New Roman"/>
                <w:snapToGrid w:val="0"/>
                <w:kern w:val="21"/>
                <w:sz w:val="21"/>
                <w:szCs w:val="21"/>
              </w:rPr>
            </w:pPr>
          </w:p>
        </w:tc>
        <w:tc>
          <w:tcPr>
            <w:tcW w:w="1365" w:type="dxa"/>
            <w:vAlign w:val="center"/>
          </w:tcPr>
          <w:p w14:paraId="5025C8E6">
            <w:pPr>
              <w:snapToGrid w:val="0"/>
              <w:jc w:val="center"/>
              <w:rPr>
                <w:snapToGrid w:val="0"/>
                <w:color w:val="000000" w:themeColor="text1"/>
                <w:kern w:val="21"/>
                <w:szCs w:val="21"/>
              </w:rPr>
            </w:pPr>
            <w:r>
              <w:rPr>
                <w:color w:val="000000" w:themeColor="text1"/>
                <w:szCs w:val="21"/>
              </w:rPr>
              <w:t>硫化氢</w:t>
            </w:r>
          </w:p>
        </w:tc>
        <w:tc>
          <w:tcPr>
            <w:tcW w:w="1575" w:type="dxa"/>
            <w:vAlign w:val="center"/>
          </w:tcPr>
          <w:p w14:paraId="1C6DBFE7">
            <w:pPr>
              <w:jc w:val="center"/>
              <w:rPr>
                <w:rFonts w:ascii="宋体" w:hAnsi="宋体" w:cs="宋体"/>
                <w:color w:val="000000" w:themeColor="text1"/>
                <w:sz w:val="24"/>
              </w:rPr>
            </w:pPr>
            <w:r>
              <w:rPr>
                <w:rFonts w:hint="eastAsia"/>
                <w:color w:val="000000" w:themeColor="text1"/>
              </w:rPr>
              <w:t>0.2249</w:t>
            </w:r>
          </w:p>
        </w:tc>
        <w:tc>
          <w:tcPr>
            <w:tcW w:w="1276" w:type="dxa"/>
            <w:vAlign w:val="center"/>
          </w:tcPr>
          <w:p w14:paraId="3A1EF9B2">
            <w:pPr>
              <w:jc w:val="center"/>
              <w:rPr>
                <w:snapToGrid w:val="0"/>
                <w:color w:val="000000" w:themeColor="text1"/>
                <w:kern w:val="21"/>
                <w:szCs w:val="21"/>
              </w:rPr>
            </w:pPr>
            <w:r>
              <w:rPr>
                <w:rFonts w:hint="eastAsia"/>
                <w:color w:val="000000" w:themeColor="text1"/>
              </w:rPr>
              <w:t>0.2249</w:t>
            </w:r>
          </w:p>
        </w:tc>
        <w:tc>
          <w:tcPr>
            <w:tcW w:w="1701" w:type="dxa"/>
            <w:vAlign w:val="center"/>
          </w:tcPr>
          <w:p w14:paraId="46970E61">
            <w:pPr>
              <w:jc w:val="center"/>
              <w:rPr>
                <w:snapToGrid w:val="0"/>
                <w:color w:val="000000" w:themeColor="text1"/>
                <w:kern w:val="21"/>
                <w:szCs w:val="21"/>
              </w:rPr>
            </w:pPr>
            <w:r>
              <w:rPr>
                <w:color w:val="000000" w:themeColor="text1"/>
                <w:kern w:val="0"/>
                <w:szCs w:val="21"/>
              </w:rPr>
              <w:t>/</w:t>
            </w:r>
          </w:p>
        </w:tc>
        <w:tc>
          <w:tcPr>
            <w:tcW w:w="1559" w:type="dxa"/>
            <w:vAlign w:val="center"/>
          </w:tcPr>
          <w:p w14:paraId="152E97A4">
            <w:pPr>
              <w:jc w:val="center"/>
              <w:rPr>
                <w:color w:val="000000" w:themeColor="text1"/>
                <w:szCs w:val="21"/>
              </w:rPr>
            </w:pPr>
            <w:r>
              <w:rPr>
                <w:color w:val="000000" w:themeColor="text1"/>
                <w:szCs w:val="21"/>
              </w:rPr>
              <w:t>0.048</w:t>
            </w:r>
          </w:p>
        </w:tc>
        <w:tc>
          <w:tcPr>
            <w:tcW w:w="1645" w:type="dxa"/>
            <w:vAlign w:val="center"/>
          </w:tcPr>
          <w:p w14:paraId="16D0E997">
            <w:pPr>
              <w:widowControl/>
              <w:jc w:val="center"/>
              <w:textAlignment w:val="center"/>
              <w:rPr>
                <w:color w:val="000000" w:themeColor="text1"/>
                <w:szCs w:val="21"/>
              </w:rPr>
            </w:pPr>
            <w:r>
              <w:rPr>
                <w:color w:val="000000" w:themeColor="text1"/>
                <w:szCs w:val="21"/>
              </w:rPr>
              <w:t>/</w:t>
            </w:r>
          </w:p>
        </w:tc>
        <w:tc>
          <w:tcPr>
            <w:tcW w:w="1715" w:type="dxa"/>
            <w:vAlign w:val="center"/>
          </w:tcPr>
          <w:p w14:paraId="04E89094">
            <w:pPr>
              <w:jc w:val="center"/>
              <w:rPr>
                <w:color w:val="000000" w:themeColor="text1"/>
                <w:szCs w:val="21"/>
              </w:rPr>
            </w:pPr>
            <w:r>
              <w:rPr>
                <w:color w:val="000000" w:themeColor="text1"/>
                <w:szCs w:val="21"/>
              </w:rPr>
              <w:t>0.2729</w:t>
            </w:r>
          </w:p>
        </w:tc>
        <w:tc>
          <w:tcPr>
            <w:tcW w:w="1186" w:type="dxa"/>
            <w:vAlign w:val="center"/>
          </w:tcPr>
          <w:p w14:paraId="2ECD76BB">
            <w:pPr>
              <w:jc w:val="center"/>
              <w:rPr>
                <w:color w:val="000000" w:themeColor="text1"/>
                <w:szCs w:val="21"/>
              </w:rPr>
            </w:pPr>
            <w:r>
              <w:rPr>
                <w:color w:val="000000" w:themeColor="text1"/>
                <w:szCs w:val="21"/>
              </w:rPr>
              <w:t>+0.048</w:t>
            </w:r>
          </w:p>
        </w:tc>
      </w:tr>
      <w:tr w14:paraId="6B14D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7560AE1C">
            <w:pPr>
              <w:pStyle w:val="43"/>
              <w:spacing w:beforeLines="0" w:afterLines="0" w:line="240" w:lineRule="auto"/>
              <w:rPr>
                <w:rFonts w:ascii="Times New Roman"/>
                <w:snapToGrid w:val="0"/>
                <w:kern w:val="21"/>
                <w:sz w:val="21"/>
                <w:szCs w:val="21"/>
              </w:rPr>
            </w:pPr>
          </w:p>
        </w:tc>
        <w:tc>
          <w:tcPr>
            <w:tcW w:w="1036" w:type="dxa"/>
            <w:vMerge w:val="continue"/>
            <w:vAlign w:val="center"/>
          </w:tcPr>
          <w:p w14:paraId="67717002">
            <w:pPr>
              <w:pStyle w:val="43"/>
              <w:spacing w:beforeLines="0" w:afterLines="0" w:line="240" w:lineRule="auto"/>
              <w:rPr>
                <w:rFonts w:ascii="Times New Roman"/>
                <w:snapToGrid w:val="0"/>
                <w:kern w:val="21"/>
                <w:sz w:val="21"/>
                <w:szCs w:val="21"/>
              </w:rPr>
            </w:pPr>
          </w:p>
        </w:tc>
        <w:tc>
          <w:tcPr>
            <w:tcW w:w="1365" w:type="dxa"/>
            <w:vAlign w:val="center"/>
          </w:tcPr>
          <w:p w14:paraId="64EDE67B">
            <w:pPr>
              <w:jc w:val="center"/>
              <w:rPr>
                <w:rFonts w:hAnsi="宋体"/>
                <w:color w:val="000000" w:themeColor="text1"/>
                <w:szCs w:val="21"/>
              </w:rPr>
            </w:pPr>
            <w:r>
              <w:rPr>
                <w:rFonts w:hint="eastAsia" w:hAnsi="宋体"/>
                <w:color w:val="000000" w:themeColor="text1"/>
                <w:szCs w:val="21"/>
              </w:rPr>
              <w:t>二甲苯</w:t>
            </w:r>
          </w:p>
        </w:tc>
        <w:tc>
          <w:tcPr>
            <w:tcW w:w="1575" w:type="dxa"/>
            <w:vAlign w:val="center"/>
          </w:tcPr>
          <w:p w14:paraId="7A543BB6">
            <w:pPr>
              <w:jc w:val="center"/>
              <w:rPr>
                <w:rFonts w:ascii="宋体" w:hAnsi="宋体" w:cs="宋体"/>
                <w:color w:val="000000" w:themeColor="text1"/>
                <w:sz w:val="24"/>
              </w:rPr>
            </w:pPr>
            <w:r>
              <w:rPr>
                <w:rFonts w:hint="eastAsia"/>
                <w:color w:val="000000" w:themeColor="text1"/>
              </w:rPr>
              <w:t>0.08</w:t>
            </w:r>
          </w:p>
        </w:tc>
        <w:tc>
          <w:tcPr>
            <w:tcW w:w="1276" w:type="dxa"/>
            <w:vAlign w:val="center"/>
          </w:tcPr>
          <w:p w14:paraId="2E47DDEF">
            <w:pPr>
              <w:jc w:val="center"/>
              <w:rPr>
                <w:color w:val="000000" w:themeColor="text1"/>
                <w:szCs w:val="21"/>
              </w:rPr>
            </w:pPr>
            <w:r>
              <w:rPr>
                <w:rFonts w:hint="eastAsia"/>
                <w:color w:val="000000" w:themeColor="text1"/>
              </w:rPr>
              <w:t>0.08</w:t>
            </w:r>
          </w:p>
        </w:tc>
        <w:tc>
          <w:tcPr>
            <w:tcW w:w="1701" w:type="dxa"/>
            <w:vAlign w:val="center"/>
          </w:tcPr>
          <w:p w14:paraId="793EABD8">
            <w:pPr>
              <w:jc w:val="center"/>
              <w:rPr>
                <w:snapToGrid w:val="0"/>
                <w:color w:val="000000" w:themeColor="text1"/>
                <w:kern w:val="21"/>
                <w:szCs w:val="21"/>
              </w:rPr>
            </w:pPr>
            <w:r>
              <w:rPr>
                <w:color w:val="000000" w:themeColor="text1"/>
                <w:kern w:val="0"/>
                <w:szCs w:val="21"/>
              </w:rPr>
              <w:t>/</w:t>
            </w:r>
          </w:p>
        </w:tc>
        <w:tc>
          <w:tcPr>
            <w:tcW w:w="1559" w:type="dxa"/>
            <w:vAlign w:val="center"/>
          </w:tcPr>
          <w:p w14:paraId="06E32DE4">
            <w:pPr>
              <w:jc w:val="center"/>
              <w:rPr>
                <w:color w:val="000000" w:themeColor="text1"/>
                <w:szCs w:val="21"/>
              </w:rPr>
            </w:pPr>
            <w:r>
              <w:rPr>
                <w:color w:val="000000" w:themeColor="text1"/>
                <w:szCs w:val="21"/>
              </w:rPr>
              <w:t>0</w:t>
            </w:r>
          </w:p>
        </w:tc>
        <w:tc>
          <w:tcPr>
            <w:tcW w:w="1645" w:type="dxa"/>
            <w:vAlign w:val="center"/>
          </w:tcPr>
          <w:p w14:paraId="09169E61">
            <w:pPr>
              <w:widowControl/>
              <w:jc w:val="center"/>
              <w:textAlignment w:val="center"/>
              <w:rPr>
                <w:color w:val="000000" w:themeColor="text1"/>
                <w:szCs w:val="21"/>
              </w:rPr>
            </w:pPr>
            <w:r>
              <w:rPr>
                <w:color w:val="000000" w:themeColor="text1"/>
                <w:szCs w:val="21"/>
              </w:rPr>
              <w:t>/</w:t>
            </w:r>
          </w:p>
        </w:tc>
        <w:tc>
          <w:tcPr>
            <w:tcW w:w="1715" w:type="dxa"/>
            <w:vAlign w:val="center"/>
          </w:tcPr>
          <w:p w14:paraId="7992BDB3">
            <w:pPr>
              <w:jc w:val="center"/>
              <w:rPr>
                <w:color w:val="000000" w:themeColor="text1"/>
                <w:szCs w:val="21"/>
              </w:rPr>
            </w:pPr>
            <w:r>
              <w:rPr>
                <w:color w:val="000000" w:themeColor="text1"/>
                <w:szCs w:val="21"/>
              </w:rPr>
              <w:t>0.08</w:t>
            </w:r>
          </w:p>
        </w:tc>
        <w:tc>
          <w:tcPr>
            <w:tcW w:w="1186" w:type="dxa"/>
            <w:vAlign w:val="center"/>
          </w:tcPr>
          <w:p w14:paraId="0556F761">
            <w:pPr>
              <w:jc w:val="center"/>
              <w:rPr>
                <w:color w:val="000000" w:themeColor="text1"/>
                <w:szCs w:val="21"/>
              </w:rPr>
            </w:pPr>
            <w:r>
              <w:rPr>
                <w:color w:val="000000" w:themeColor="text1"/>
                <w:szCs w:val="21"/>
              </w:rPr>
              <w:t>0</w:t>
            </w:r>
          </w:p>
        </w:tc>
      </w:tr>
      <w:tr w14:paraId="723BC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0" w:type="dxa"/>
            <w:vMerge w:val="continue"/>
            <w:vAlign w:val="center"/>
          </w:tcPr>
          <w:p w14:paraId="4FF079DF">
            <w:pPr>
              <w:pStyle w:val="43"/>
              <w:spacing w:beforeLines="0" w:afterLines="0" w:line="240" w:lineRule="auto"/>
              <w:rPr>
                <w:rFonts w:ascii="Times New Roman"/>
                <w:snapToGrid w:val="0"/>
                <w:kern w:val="21"/>
                <w:sz w:val="21"/>
                <w:szCs w:val="21"/>
              </w:rPr>
            </w:pPr>
          </w:p>
        </w:tc>
        <w:tc>
          <w:tcPr>
            <w:tcW w:w="1036" w:type="dxa"/>
            <w:vMerge w:val="continue"/>
            <w:vAlign w:val="center"/>
          </w:tcPr>
          <w:p w14:paraId="74758254">
            <w:pPr>
              <w:pStyle w:val="43"/>
              <w:spacing w:beforeLines="0" w:afterLines="0" w:line="240" w:lineRule="auto"/>
              <w:rPr>
                <w:rFonts w:ascii="Times New Roman"/>
                <w:snapToGrid w:val="0"/>
                <w:kern w:val="21"/>
                <w:sz w:val="21"/>
                <w:szCs w:val="21"/>
              </w:rPr>
            </w:pPr>
          </w:p>
        </w:tc>
        <w:tc>
          <w:tcPr>
            <w:tcW w:w="1365" w:type="dxa"/>
            <w:vAlign w:val="center"/>
          </w:tcPr>
          <w:p w14:paraId="7AC2CC60">
            <w:pPr>
              <w:jc w:val="center"/>
              <w:rPr>
                <w:rFonts w:hAnsi="宋体"/>
                <w:color w:val="000000" w:themeColor="text1"/>
                <w:szCs w:val="21"/>
              </w:rPr>
            </w:pPr>
            <w:r>
              <w:rPr>
                <w:rFonts w:hint="eastAsia" w:hAnsi="宋体"/>
                <w:color w:val="000000" w:themeColor="text1"/>
                <w:szCs w:val="21"/>
              </w:rPr>
              <w:t>乙苯</w:t>
            </w:r>
          </w:p>
        </w:tc>
        <w:tc>
          <w:tcPr>
            <w:tcW w:w="1575" w:type="dxa"/>
            <w:vAlign w:val="center"/>
          </w:tcPr>
          <w:p w14:paraId="6C385D7D">
            <w:pPr>
              <w:jc w:val="center"/>
              <w:rPr>
                <w:rFonts w:ascii="宋体" w:hAnsi="宋体" w:cs="宋体"/>
                <w:color w:val="000000" w:themeColor="text1"/>
                <w:sz w:val="24"/>
              </w:rPr>
            </w:pPr>
            <w:r>
              <w:rPr>
                <w:rFonts w:hint="eastAsia"/>
                <w:color w:val="000000" w:themeColor="text1"/>
              </w:rPr>
              <w:t>0.03</w:t>
            </w:r>
          </w:p>
        </w:tc>
        <w:tc>
          <w:tcPr>
            <w:tcW w:w="1276" w:type="dxa"/>
            <w:vAlign w:val="center"/>
          </w:tcPr>
          <w:p w14:paraId="563FB75C">
            <w:pPr>
              <w:jc w:val="center"/>
              <w:rPr>
                <w:color w:val="000000" w:themeColor="text1"/>
                <w:szCs w:val="21"/>
              </w:rPr>
            </w:pPr>
            <w:r>
              <w:rPr>
                <w:rFonts w:hint="eastAsia"/>
                <w:color w:val="000000" w:themeColor="text1"/>
              </w:rPr>
              <w:t>0.03</w:t>
            </w:r>
          </w:p>
        </w:tc>
        <w:tc>
          <w:tcPr>
            <w:tcW w:w="1701" w:type="dxa"/>
            <w:vAlign w:val="center"/>
          </w:tcPr>
          <w:p w14:paraId="4B56AFD4">
            <w:pPr>
              <w:jc w:val="center"/>
              <w:rPr>
                <w:snapToGrid w:val="0"/>
                <w:color w:val="000000" w:themeColor="text1"/>
                <w:kern w:val="21"/>
                <w:szCs w:val="21"/>
              </w:rPr>
            </w:pPr>
            <w:r>
              <w:rPr>
                <w:color w:val="000000" w:themeColor="text1"/>
                <w:kern w:val="0"/>
                <w:szCs w:val="21"/>
              </w:rPr>
              <w:t>/</w:t>
            </w:r>
          </w:p>
        </w:tc>
        <w:tc>
          <w:tcPr>
            <w:tcW w:w="1559" w:type="dxa"/>
            <w:vAlign w:val="center"/>
          </w:tcPr>
          <w:p w14:paraId="69112BE5">
            <w:pPr>
              <w:jc w:val="center"/>
              <w:rPr>
                <w:color w:val="000000" w:themeColor="text1"/>
                <w:szCs w:val="21"/>
              </w:rPr>
            </w:pPr>
            <w:r>
              <w:rPr>
                <w:color w:val="000000" w:themeColor="text1"/>
                <w:szCs w:val="21"/>
              </w:rPr>
              <w:t>0</w:t>
            </w:r>
          </w:p>
        </w:tc>
        <w:tc>
          <w:tcPr>
            <w:tcW w:w="1645" w:type="dxa"/>
            <w:vAlign w:val="center"/>
          </w:tcPr>
          <w:p w14:paraId="4FE0929A">
            <w:pPr>
              <w:widowControl/>
              <w:jc w:val="center"/>
              <w:textAlignment w:val="center"/>
              <w:rPr>
                <w:color w:val="000000" w:themeColor="text1"/>
                <w:szCs w:val="21"/>
              </w:rPr>
            </w:pPr>
            <w:r>
              <w:rPr>
                <w:color w:val="000000" w:themeColor="text1"/>
                <w:szCs w:val="21"/>
              </w:rPr>
              <w:t>/</w:t>
            </w:r>
          </w:p>
        </w:tc>
        <w:tc>
          <w:tcPr>
            <w:tcW w:w="1715" w:type="dxa"/>
            <w:vAlign w:val="center"/>
          </w:tcPr>
          <w:p w14:paraId="1198B484">
            <w:pPr>
              <w:jc w:val="center"/>
              <w:rPr>
                <w:color w:val="000000" w:themeColor="text1"/>
                <w:szCs w:val="21"/>
              </w:rPr>
            </w:pPr>
            <w:r>
              <w:rPr>
                <w:color w:val="000000" w:themeColor="text1"/>
                <w:szCs w:val="21"/>
              </w:rPr>
              <w:t>0.03</w:t>
            </w:r>
          </w:p>
        </w:tc>
        <w:tc>
          <w:tcPr>
            <w:tcW w:w="1186" w:type="dxa"/>
            <w:vAlign w:val="center"/>
          </w:tcPr>
          <w:p w14:paraId="4C1C8FE5">
            <w:pPr>
              <w:jc w:val="center"/>
              <w:rPr>
                <w:color w:val="000000" w:themeColor="text1"/>
                <w:szCs w:val="21"/>
              </w:rPr>
            </w:pPr>
            <w:r>
              <w:rPr>
                <w:color w:val="000000" w:themeColor="text1"/>
                <w:szCs w:val="21"/>
              </w:rPr>
              <w:t>0</w:t>
            </w:r>
          </w:p>
        </w:tc>
      </w:tr>
      <w:tr w14:paraId="65498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0" w:type="dxa"/>
            <w:vMerge w:val="continue"/>
            <w:vAlign w:val="center"/>
          </w:tcPr>
          <w:p w14:paraId="52619B0A">
            <w:pPr>
              <w:pStyle w:val="43"/>
              <w:spacing w:beforeLines="0" w:afterLines="0" w:line="240" w:lineRule="auto"/>
              <w:rPr>
                <w:rFonts w:ascii="Times New Roman"/>
                <w:snapToGrid w:val="0"/>
                <w:kern w:val="21"/>
                <w:sz w:val="21"/>
                <w:szCs w:val="21"/>
              </w:rPr>
            </w:pPr>
          </w:p>
        </w:tc>
        <w:tc>
          <w:tcPr>
            <w:tcW w:w="1036" w:type="dxa"/>
            <w:vMerge w:val="continue"/>
            <w:vAlign w:val="center"/>
          </w:tcPr>
          <w:p w14:paraId="39C5479C">
            <w:pPr>
              <w:pStyle w:val="43"/>
              <w:spacing w:beforeLines="0" w:afterLines="0" w:line="240" w:lineRule="auto"/>
              <w:rPr>
                <w:rFonts w:ascii="Times New Roman"/>
                <w:snapToGrid w:val="0"/>
                <w:kern w:val="21"/>
                <w:sz w:val="21"/>
                <w:szCs w:val="21"/>
              </w:rPr>
            </w:pPr>
          </w:p>
        </w:tc>
        <w:tc>
          <w:tcPr>
            <w:tcW w:w="1365" w:type="dxa"/>
            <w:vAlign w:val="center"/>
          </w:tcPr>
          <w:p w14:paraId="282EC65A">
            <w:pPr>
              <w:jc w:val="center"/>
              <w:rPr>
                <w:rFonts w:hAnsi="宋体"/>
                <w:color w:val="000000" w:themeColor="text1"/>
                <w:szCs w:val="21"/>
              </w:rPr>
            </w:pPr>
            <w:r>
              <w:rPr>
                <w:rFonts w:hint="eastAsia" w:hAnsi="宋体"/>
                <w:color w:val="000000" w:themeColor="text1"/>
                <w:szCs w:val="21"/>
              </w:rPr>
              <w:t>非甲烷总烃</w:t>
            </w:r>
          </w:p>
        </w:tc>
        <w:tc>
          <w:tcPr>
            <w:tcW w:w="1575" w:type="dxa"/>
            <w:vAlign w:val="center"/>
          </w:tcPr>
          <w:p w14:paraId="62540302">
            <w:pPr>
              <w:jc w:val="center"/>
              <w:rPr>
                <w:rFonts w:ascii="宋体" w:hAnsi="宋体" w:cs="宋体"/>
                <w:color w:val="000000" w:themeColor="text1"/>
                <w:sz w:val="24"/>
              </w:rPr>
            </w:pPr>
            <w:r>
              <w:rPr>
                <w:rFonts w:hint="eastAsia"/>
                <w:color w:val="000000" w:themeColor="text1"/>
              </w:rPr>
              <w:t>1.7374</w:t>
            </w:r>
          </w:p>
        </w:tc>
        <w:tc>
          <w:tcPr>
            <w:tcW w:w="1276" w:type="dxa"/>
            <w:vAlign w:val="center"/>
          </w:tcPr>
          <w:p w14:paraId="13D1EA3D">
            <w:pPr>
              <w:jc w:val="center"/>
              <w:rPr>
                <w:snapToGrid w:val="0"/>
                <w:color w:val="000000" w:themeColor="text1"/>
                <w:kern w:val="21"/>
                <w:szCs w:val="21"/>
              </w:rPr>
            </w:pPr>
            <w:r>
              <w:rPr>
                <w:rFonts w:hint="eastAsia"/>
                <w:color w:val="000000" w:themeColor="text1"/>
              </w:rPr>
              <w:t>1.7374</w:t>
            </w:r>
          </w:p>
        </w:tc>
        <w:tc>
          <w:tcPr>
            <w:tcW w:w="1701" w:type="dxa"/>
            <w:vAlign w:val="center"/>
          </w:tcPr>
          <w:p w14:paraId="51B0BA77">
            <w:pPr>
              <w:jc w:val="center"/>
              <w:rPr>
                <w:snapToGrid w:val="0"/>
                <w:color w:val="000000" w:themeColor="text1"/>
                <w:kern w:val="21"/>
                <w:szCs w:val="21"/>
              </w:rPr>
            </w:pPr>
            <w:r>
              <w:rPr>
                <w:color w:val="000000" w:themeColor="text1"/>
                <w:kern w:val="0"/>
                <w:szCs w:val="21"/>
              </w:rPr>
              <w:t>/</w:t>
            </w:r>
          </w:p>
        </w:tc>
        <w:tc>
          <w:tcPr>
            <w:tcW w:w="1559" w:type="dxa"/>
            <w:vAlign w:val="center"/>
          </w:tcPr>
          <w:p w14:paraId="6451DC2D">
            <w:pPr>
              <w:jc w:val="center"/>
              <w:rPr>
                <w:color w:val="000000" w:themeColor="text1"/>
                <w:szCs w:val="21"/>
              </w:rPr>
            </w:pPr>
            <w:r>
              <w:rPr>
                <w:color w:val="000000" w:themeColor="text1"/>
                <w:szCs w:val="21"/>
              </w:rPr>
              <w:t>0.2651</w:t>
            </w:r>
          </w:p>
        </w:tc>
        <w:tc>
          <w:tcPr>
            <w:tcW w:w="1645" w:type="dxa"/>
            <w:vAlign w:val="center"/>
          </w:tcPr>
          <w:p w14:paraId="7CF18EE3">
            <w:pPr>
              <w:widowControl/>
              <w:jc w:val="center"/>
              <w:textAlignment w:val="center"/>
              <w:rPr>
                <w:color w:val="000000" w:themeColor="text1"/>
                <w:szCs w:val="21"/>
              </w:rPr>
            </w:pPr>
            <w:r>
              <w:rPr>
                <w:color w:val="000000" w:themeColor="text1"/>
                <w:szCs w:val="21"/>
              </w:rPr>
              <w:t>/</w:t>
            </w:r>
          </w:p>
        </w:tc>
        <w:tc>
          <w:tcPr>
            <w:tcW w:w="1715" w:type="dxa"/>
            <w:vAlign w:val="center"/>
          </w:tcPr>
          <w:p w14:paraId="54A19898">
            <w:pPr>
              <w:jc w:val="center"/>
              <w:rPr>
                <w:color w:val="000000" w:themeColor="text1"/>
                <w:szCs w:val="21"/>
              </w:rPr>
            </w:pPr>
            <w:r>
              <w:rPr>
                <w:color w:val="000000" w:themeColor="text1"/>
                <w:szCs w:val="21"/>
              </w:rPr>
              <w:t>2.0025</w:t>
            </w:r>
          </w:p>
        </w:tc>
        <w:tc>
          <w:tcPr>
            <w:tcW w:w="1186" w:type="dxa"/>
            <w:vAlign w:val="center"/>
          </w:tcPr>
          <w:p w14:paraId="17746A2A">
            <w:pPr>
              <w:jc w:val="center"/>
              <w:rPr>
                <w:color w:val="000000" w:themeColor="text1"/>
                <w:szCs w:val="21"/>
              </w:rPr>
            </w:pPr>
            <w:r>
              <w:rPr>
                <w:color w:val="000000" w:themeColor="text1"/>
                <w:szCs w:val="21"/>
              </w:rPr>
              <w:t>+0.2651</w:t>
            </w:r>
          </w:p>
        </w:tc>
      </w:tr>
      <w:tr w14:paraId="77F97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restart"/>
            <w:vAlign w:val="center"/>
          </w:tcPr>
          <w:p w14:paraId="7832AEAD">
            <w:pPr>
              <w:pStyle w:val="43"/>
              <w:spacing w:beforeLines="0" w:afterLines="0" w:line="240" w:lineRule="auto"/>
              <w:rPr>
                <w:rFonts w:ascii="Times New Roman"/>
                <w:snapToGrid w:val="0"/>
                <w:kern w:val="21"/>
                <w:sz w:val="21"/>
                <w:szCs w:val="21"/>
              </w:rPr>
            </w:pPr>
            <w:r>
              <w:rPr>
                <w:rFonts w:ascii="Times New Roman"/>
                <w:snapToGrid w:val="0"/>
                <w:kern w:val="21"/>
                <w:sz w:val="21"/>
                <w:szCs w:val="21"/>
              </w:rPr>
              <w:t>废水</w:t>
            </w:r>
          </w:p>
        </w:tc>
        <w:tc>
          <w:tcPr>
            <w:tcW w:w="1365" w:type="dxa"/>
            <w:vAlign w:val="center"/>
          </w:tcPr>
          <w:p w14:paraId="59425051">
            <w:pPr>
              <w:pStyle w:val="5"/>
              <w:adjustRightInd w:val="0"/>
              <w:ind w:firstLine="0" w:firstLineChars="0"/>
              <w:jc w:val="center"/>
            </w:pPr>
            <w:r>
              <w:rPr>
                <w:szCs w:val="21"/>
              </w:rPr>
              <w:t>废水量</w:t>
            </w:r>
          </w:p>
        </w:tc>
        <w:tc>
          <w:tcPr>
            <w:tcW w:w="1575" w:type="dxa"/>
            <w:vAlign w:val="center"/>
          </w:tcPr>
          <w:p w14:paraId="7D5EC097">
            <w:pPr>
              <w:jc w:val="center"/>
              <w:rPr>
                <w:rFonts w:ascii="宋体" w:hAnsi="宋体" w:cs="宋体"/>
                <w:sz w:val="24"/>
              </w:rPr>
            </w:pPr>
            <w:r>
              <w:rPr>
                <w:szCs w:val="21"/>
              </w:rPr>
              <w:t>15184</w:t>
            </w:r>
          </w:p>
        </w:tc>
        <w:tc>
          <w:tcPr>
            <w:tcW w:w="1276" w:type="dxa"/>
            <w:vAlign w:val="center"/>
          </w:tcPr>
          <w:p w14:paraId="20844F65">
            <w:pPr>
              <w:jc w:val="center"/>
              <w:rPr>
                <w:szCs w:val="21"/>
              </w:rPr>
            </w:pPr>
            <w:r>
              <w:rPr>
                <w:szCs w:val="21"/>
              </w:rPr>
              <w:t>15184</w:t>
            </w:r>
          </w:p>
        </w:tc>
        <w:tc>
          <w:tcPr>
            <w:tcW w:w="1701" w:type="dxa"/>
            <w:vAlign w:val="center"/>
          </w:tcPr>
          <w:p w14:paraId="141F9C5D">
            <w:pPr>
              <w:jc w:val="center"/>
              <w:rPr>
                <w:snapToGrid w:val="0"/>
                <w:kern w:val="21"/>
                <w:szCs w:val="21"/>
              </w:rPr>
            </w:pPr>
            <w:r>
              <w:rPr>
                <w:snapToGrid w:val="0"/>
                <w:kern w:val="21"/>
                <w:szCs w:val="21"/>
              </w:rPr>
              <w:t>0</w:t>
            </w:r>
          </w:p>
        </w:tc>
        <w:tc>
          <w:tcPr>
            <w:tcW w:w="1559" w:type="dxa"/>
            <w:vAlign w:val="center"/>
          </w:tcPr>
          <w:p w14:paraId="28104598">
            <w:pPr>
              <w:jc w:val="center"/>
              <w:rPr>
                <w:szCs w:val="21"/>
              </w:rPr>
            </w:pPr>
            <w:r>
              <w:rPr>
                <w:rFonts w:hint="eastAsia"/>
                <w:szCs w:val="21"/>
              </w:rPr>
              <w:t>2400</w:t>
            </w:r>
          </w:p>
        </w:tc>
        <w:tc>
          <w:tcPr>
            <w:tcW w:w="1645" w:type="dxa"/>
            <w:vAlign w:val="center"/>
          </w:tcPr>
          <w:p w14:paraId="075D762F">
            <w:pPr>
              <w:jc w:val="center"/>
              <w:rPr>
                <w:snapToGrid w:val="0"/>
                <w:kern w:val="21"/>
                <w:szCs w:val="21"/>
              </w:rPr>
            </w:pPr>
            <w:r>
              <w:rPr>
                <w:szCs w:val="21"/>
              </w:rPr>
              <w:t>5920</w:t>
            </w:r>
          </w:p>
        </w:tc>
        <w:tc>
          <w:tcPr>
            <w:tcW w:w="1715" w:type="dxa"/>
            <w:vAlign w:val="center"/>
          </w:tcPr>
          <w:p w14:paraId="1B5AB2A7">
            <w:pPr>
              <w:widowControl/>
              <w:jc w:val="center"/>
              <w:textAlignment w:val="center"/>
              <w:rPr>
                <w:szCs w:val="21"/>
              </w:rPr>
            </w:pPr>
            <w:r>
              <w:rPr>
                <w:rFonts w:hint="eastAsia"/>
                <w:kern w:val="0"/>
                <w:szCs w:val="21"/>
              </w:rPr>
              <w:t>11664</w:t>
            </w:r>
          </w:p>
        </w:tc>
        <w:tc>
          <w:tcPr>
            <w:tcW w:w="1186" w:type="dxa"/>
            <w:vAlign w:val="center"/>
          </w:tcPr>
          <w:p w14:paraId="4D515ADE">
            <w:pPr>
              <w:widowControl/>
              <w:jc w:val="center"/>
              <w:textAlignment w:val="center"/>
              <w:rPr>
                <w:szCs w:val="21"/>
              </w:rPr>
            </w:pPr>
            <w:r>
              <w:rPr>
                <w:rFonts w:hint="eastAsia"/>
                <w:szCs w:val="21"/>
              </w:rPr>
              <w:t>-3520</w:t>
            </w:r>
          </w:p>
        </w:tc>
      </w:tr>
      <w:tr w14:paraId="483DD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4B516D8A">
            <w:pPr>
              <w:pStyle w:val="43"/>
              <w:spacing w:beforeLines="0" w:afterLines="0" w:line="240" w:lineRule="auto"/>
              <w:rPr>
                <w:rFonts w:ascii="Times New Roman"/>
                <w:snapToGrid w:val="0"/>
                <w:kern w:val="21"/>
                <w:sz w:val="21"/>
                <w:szCs w:val="21"/>
              </w:rPr>
            </w:pPr>
          </w:p>
        </w:tc>
        <w:tc>
          <w:tcPr>
            <w:tcW w:w="1365" w:type="dxa"/>
            <w:vAlign w:val="center"/>
          </w:tcPr>
          <w:p w14:paraId="10A3E5B9">
            <w:pPr>
              <w:pStyle w:val="8"/>
              <w:jc w:val="center"/>
              <w:rPr>
                <w:sz w:val="24"/>
              </w:rPr>
            </w:pPr>
            <w:r>
              <w:rPr>
                <w:szCs w:val="21"/>
              </w:rPr>
              <w:t>COD</w:t>
            </w:r>
          </w:p>
        </w:tc>
        <w:tc>
          <w:tcPr>
            <w:tcW w:w="1575" w:type="dxa"/>
            <w:vAlign w:val="center"/>
          </w:tcPr>
          <w:p w14:paraId="2D531254">
            <w:pPr>
              <w:jc w:val="center"/>
              <w:rPr>
                <w:rFonts w:ascii="宋体" w:hAnsi="宋体" w:cs="宋体"/>
                <w:sz w:val="24"/>
              </w:rPr>
            </w:pPr>
            <w:r>
              <w:rPr>
                <w:szCs w:val="21"/>
              </w:rPr>
              <w:t>4.485</w:t>
            </w:r>
          </w:p>
        </w:tc>
        <w:tc>
          <w:tcPr>
            <w:tcW w:w="1276" w:type="dxa"/>
            <w:vAlign w:val="center"/>
          </w:tcPr>
          <w:p w14:paraId="04D684EC">
            <w:pPr>
              <w:jc w:val="center"/>
              <w:rPr>
                <w:szCs w:val="21"/>
              </w:rPr>
            </w:pPr>
            <w:r>
              <w:rPr>
                <w:szCs w:val="21"/>
              </w:rPr>
              <w:t>4.485</w:t>
            </w:r>
          </w:p>
        </w:tc>
        <w:tc>
          <w:tcPr>
            <w:tcW w:w="1701" w:type="dxa"/>
            <w:vAlign w:val="center"/>
          </w:tcPr>
          <w:p w14:paraId="2E829719">
            <w:pPr>
              <w:jc w:val="center"/>
              <w:rPr>
                <w:snapToGrid w:val="0"/>
                <w:kern w:val="21"/>
                <w:szCs w:val="21"/>
              </w:rPr>
            </w:pPr>
            <w:r>
              <w:rPr>
                <w:snapToGrid w:val="0"/>
                <w:kern w:val="21"/>
                <w:szCs w:val="21"/>
              </w:rPr>
              <w:t>0</w:t>
            </w:r>
          </w:p>
        </w:tc>
        <w:tc>
          <w:tcPr>
            <w:tcW w:w="1559" w:type="dxa"/>
            <w:vAlign w:val="center"/>
          </w:tcPr>
          <w:p w14:paraId="5886105D">
            <w:pPr>
              <w:jc w:val="center"/>
              <w:rPr>
                <w:szCs w:val="21"/>
              </w:rPr>
            </w:pPr>
            <w:r>
              <w:rPr>
                <w:szCs w:val="21"/>
              </w:rPr>
              <w:t>0.72</w:t>
            </w:r>
          </w:p>
        </w:tc>
        <w:tc>
          <w:tcPr>
            <w:tcW w:w="1645" w:type="dxa"/>
            <w:vAlign w:val="center"/>
          </w:tcPr>
          <w:p w14:paraId="422371B9">
            <w:pPr>
              <w:jc w:val="center"/>
              <w:rPr>
                <w:snapToGrid w:val="0"/>
                <w:kern w:val="21"/>
                <w:szCs w:val="21"/>
              </w:rPr>
            </w:pPr>
            <w:r>
              <w:rPr>
                <w:szCs w:val="21"/>
              </w:rPr>
              <w:t>1.706</w:t>
            </w:r>
          </w:p>
        </w:tc>
        <w:tc>
          <w:tcPr>
            <w:tcW w:w="1715" w:type="dxa"/>
            <w:vAlign w:val="center"/>
          </w:tcPr>
          <w:p w14:paraId="30445A77">
            <w:pPr>
              <w:widowControl/>
              <w:jc w:val="center"/>
              <w:textAlignment w:val="center"/>
              <w:rPr>
                <w:szCs w:val="21"/>
              </w:rPr>
            </w:pPr>
            <w:r>
              <w:rPr>
                <w:rFonts w:hint="eastAsia"/>
                <w:kern w:val="0"/>
                <w:szCs w:val="21"/>
              </w:rPr>
              <w:t>3.499</w:t>
            </w:r>
          </w:p>
        </w:tc>
        <w:tc>
          <w:tcPr>
            <w:tcW w:w="1186" w:type="dxa"/>
            <w:vAlign w:val="center"/>
          </w:tcPr>
          <w:p w14:paraId="7D8966DA">
            <w:pPr>
              <w:widowControl/>
              <w:jc w:val="center"/>
              <w:textAlignment w:val="center"/>
              <w:rPr>
                <w:szCs w:val="21"/>
              </w:rPr>
            </w:pPr>
            <w:r>
              <w:rPr>
                <w:rFonts w:hint="eastAsia"/>
                <w:szCs w:val="21"/>
              </w:rPr>
              <w:t>-0.986</w:t>
            </w:r>
          </w:p>
        </w:tc>
      </w:tr>
      <w:tr w14:paraId="60794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67511607">
            <w:pPr>
              <w:pStyle w:val="43"/>
              <w:spacing w:beforeLines="0" w:afterLines="0" w:line="240" w:lineRule="auto"/>
              <w:rPr>
                <w:rFonts w:ascii="Times New Roman"/>
                <w:snapToGrid w:val="0"/>
                <w:kern w:val="21"/>
                <w:sz w:val="21"/>
                <w:szCs w:val="21"/>
              </w:rPr>
            </w:pPr>
          </w:p>
        </w:tc>
        <w:tc>
          <w:tcPr>
            <w:tcW w:w="1365" w:type="dxa"/>
            <w:vAlign w:val="center"/>
          </w:tcPr>
          <w:p w14:paraId="67224530">
            <w:pPr>
              <w:pStyle w:val="8"/>
              <w:jc w:val="center"/>
              <w:rPr>
                <w:sz w:val="24"/>
              </w:rPr>
            </w:pPr>
            <w:r>
              <w:rPr>
                <w:szCs w:val="21"/>
              </w:rPr>
              <w:t>SS</w:t>
            </w:r>
          </w:p>
        </w:tc>
        <w:tc>
          <w:tcPr>
            <w:tcW w:w="1575" w:type="dxa"/>
            <w:vAlign w:val="center"/>
          </w:tcPr>
          <w:p w14:paraId="6A640E0D">
            <w:pPr>
              <w:jc w:val="center"/>
              <w:rPr>
                <w:rFonts w:ascii="宋体" w:hAnsi="宋体" w:cs="宋体"/>
                <w:sz w:val="24"/>
              </w:rPr>
            </w:pPr>
            <w:r>
              <w:rPr>
                <w:szCs w:val="21"/>
              </w:rPr>
              <w:t>2.246</w:t>
            </w:r>
          </w:p>
        </w:tc>
        <w:tc>
          <w:tcPr>
            <w:tcW w:w="1276" w:type="dxa"/>
            <w:vAlign w:val="center"/>
          </w:tcPr>
          <w:p w14:paraId="14A9B58D">
            <w:pPr>
              <w:jc w:val="center"/>
              <w:rPr>
                <w:szCs w:val="21"/>
              </w:rPr>
            </w:pPr>
            <w:r>
              <w:rPr>
                <w:szCs w:val="21"/>
              </w:rPr>
              <w:t>2.246</w:t>
            </w:r>
          </w:p>
        </w:tc>
        <w:tc>
          <w:tcPr>
            <w:tcW w:w="1701" w:type="dxa"/>
            <w:vAlign w:val="center"/>
          </w:tcPr>
          <w:p w14:paraId="1238B6EC">
            <w:pPr>
              <w:jc w:val="center"/>
              <w:rPr>
                <w:snapToGrid w:val="0"/>
                <w:kern w:val="21"/>
                <w:szCs w:val="21"/>
              </w:rPr>
            </w:pPr>
            <w:r>
              <w:rPr>
                <w:snapToGrid w:val="0"/>
                <w:kern w:val="21"/>
                <w:szCs w:val="21"/>
              </w:rPr>
              <w:t>0</w:t>
            </w:r>
          </w:p>
        </w:tc>
        <w:tc>
          <w:tcPr>
            <w:tcW w:w="1559" w:type="dxa"/>
            <w:vAlign w:val="center"/>
          </w:tcPr>
          <w:p w14:paraId="464A0662">
            <w:pPr>
              <w:jc w:val="center"/>
              <w:rPr>
                <w:szCs w:val="21"/>
              </w:rPr>
            </w:pPr>
            <w:r>
              <w:rPr>
                <w:szCs w:val="21"/>
              </w:rPr>
              <w:t>0.36</w:t>
            </w:r>
          </w:p>
        </w:tc>
        <w:tc>
          <w:tcPr>
            <w:tcW w:w="1645" w:type="dxa"/>
            <w:vAlign w:val="center"/>
          </w:tcPr>
          <w:p w14:paraId="49066802">
            <w:pPr>
              <w:jc w:val="center"/>
              <w:rPr>
                <w:snapToGrid w:val="0"/>
                <w:kern w:val="21"/>
                <w:szCs w:val="21"/>
              </w:rPr>
            </w:pPr>
            <w:r>
              <w:rPr>
                <w:szCs w:val="21"/>
              </w:rPr>
              <w:t>0.856</w:t>
            </w:r>
          </w:p>
        </w:tc>
        <w:tc>
          <w:tcPr>
            <w:tcW w:w="1715" w:type="dxa"/>
            <w:vAlign w:val="center"/>
          </w:tcPr>
          <w:p w14:paraId="7C5038D8">
            <w:pPr>
              <w:widowControl/>
              <w:jc w:val="center"/>
              <w:textAlignment w:val="center"/>
              <w:rPr>
                <w:szCs w:val="21"/>
              </w:rPr>
            </w:pPr>
            <w:r>
              <w:rPr>
                <w:kern w:val="0"/>
                <w:szCs w:val="21"/>
              </w:rPr>
              <w:t>1.7</w:t>
            </w:r>
            <w:r>
              <w:rPr>
                <w:rFonts w:hint="eastAsia"/>
                <w:kern w:val="0"/>
                <w:szCs w:val="21"/>
              </w:rPr>
              <w:t>5</w:t>
            </w:r>
          </w:p>
        </w:tc>
        <w:tc>
          <w:tcPr>
            <w:tcW w:w="1186" w:type="dxa"/>
            <w:vAlign w:val="center"/>
          </w:tcPr>
          <w:p w14:paraId="49438957">
            <w:pPr>
              <w:widowControl/>
              <w:jc w:val="center"/>
              <w:textAlignment w:val="center"/>
              <w:rPr>
                <w:szCs w:val="21"/>
              </w:rPr>
            </w:pPr>
            <w:r>
              <w:rPr>
                <w:rFonts w:hint="eastAsia"/>
                <w:szCs w:val="21"/>
              </w:rPr>
              <w:t>-0.496</w:t>
            </w:r>
          </w:p>
        </w:tc>
      </w:tr>
      <w:tr w14:paraId="326B0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2B227B89">
            <w:pPr>
              <w:pStyle w:val="43"/>
              <w:spacing w:beforeLines="0" w:afterLines="0" w:line="240" w:lineRule="auto"/>
              <w:rPr>
                <w:rFonts w:ascii="Times New Roman"/>
                <w:snapToGrid w:val="0"/>
                <w:kern w:val="21"/>
                <w:sz w:val="21"/>
                <w:szCs w:val="21"/>
              </w:rPr>
            </w:pPr>
          </w:p>
        </w:tc>
        <w:tc>
          <w:tcPr>
            <w:tcW w:w="1365" w:type="dxa"/>
            <w:vAlign w:val="center"/>
          </w:tcPr>
          <w:p w14:paraId="4806D21C">
            <w:pPr>
              <w:pStyle w:val="8"/>
              <w:jc w:val="center"/>
              <w:rPr>
                <w:sz w:val="24"/>
              </w:rPr>
            </w:pPr>
            <w:r>
              <w:rPr>
                <w:szCs w:val="21"/>
              </w:rPr>
              <w:t>氨氮</w:t>
            </w:r>
          </w:p>
        </w:tc>
        <w:tc>
          <w:tcPr>
            <w:tcW w:w="1575" w:type="dxa"/>
            <w:vAlign w:val="center"/>
          </w:tcPr>
          <w:p w14:paraId="23E2324D">
            <w:pPr>
              <w:jc w:val="center"/>
              <w:rPr>
                <w:rFonts w:ascii="宋体" w:hAnsi="宋体" w:cs="宋体"/>
                <w:sz w:val="24"/>
              </w:rPr>
            </w:pPr>
            <w:r>
              <w:rPr>
                <w:szCs w:val="21"/>
              </w:rPr>
              <w:t>0.278</w:t>
            </w:r>
          </w:p>
        </w:tc>
        <w:tc>
          <w:tcPr>
            <w:tcW w:w="1276" w:type="dxa"/>
            <w:vAlign w:val="center"/>
          </w:tcPr>
          <w:p w14:paraId="22027493">
            <w:pPr>
              <w:jc w:val="center"/>
              <w:rPr>
                <w:szCs w:val="21"/>
              </w:rPr>
            </w:pPr>
            <w:r>
              <w:rPr>
                <w:szCs w:val="21"/>
              </w:rPr>
              <w:t>0.278</w:t>
            </w:r>
          </w:p>
        </w:tc>
        <w:tc>
          <w:tcPr>
            <w:tcW w:w="1701" w:type="dxa"/>
            <w:vAlign w:val="center"/>
          </w:tcPr>
          <w:p w14:paraId="5320164B">
            <w:pPr>
              <w:jc w:val="center"/>
              <w:rPr>
                <w:snapToGrid w:val="0"/>
                <w:kern w:val="21"/>
                <w:szCs w:val="21"/>
              </w:rPr>
            </w:pPr>
            <w:r>
              <w:rPr>
                <w:snapToGrid w:val="0"/>
                <w:kern w:val="21"/>
                <w:szCs w:val="21"/>
              </w:rPr>
              <w:t>0</w:t>
            </w:r>
          </w:p>
        </w:tc>
        <w:tc>
          <w:tcPr>
            <w:tcW w:w="1559" w:type="dxa"/>
            <w:vAlign w:val="center"/>
          </w:tcPr>
          <w:p w14:paraId="6367D6A2">
            <w:pPr>
              <w:jc w:val="center"/>
              <w:rPr>
                <w:szCs w:val="21"/>
              </w:rPr>
            </w:pPr>
            <w:r>
              <w:rPr>
                <w:szCs w:val="21"/>
              </w:rPr>
              <w:t>0.072</w:t>
            </w:r>
          </w:p>
        </w:tc>
        <w:tc>
          <w:tcPr>
            <w:tcW w:w="1645" w:type="dxa"/>
            <w:vAlign w:val="center"/>
          </w:tcPr>
          <w:p w14:paraId="089019EC">
            <w:pPr>
              <w:jc w:val="center"/>
              <w:rPr>
                <w:snapToGrid w:val="0"/>
                <w:kern w:val="21"/>
                <w:szCs w:val="21"/>
              </w:rPr>
            </w:pPr>
            <w:r>
              <w:rPr>
                <w:szCs w:val="21"/>
              </w:rPr>
              <w:t>0</w:t>
            </w:r>
          </w:p>
        </w:tc>
        <w:tc>
          <w:tcPr>
            <w:tcW w:w="1715" w:type="dxa"/>
            <w:vAlign w:val="center"/>
          </w:tcPr>
          <w:p w14:paraId="63B2D4CC">
            <w:pPr>
              <w:widowControl/>
              <w:jc w:val="center"/>
              <w:textAlignment w:val="center"/>
              <w:rPr>
                <w:szCs w:val="21"/>
              </w:rPr>
            </w:pPr>
            <w:r>
              <w:rPr>
                <w:kern w:val="0"/>
                <w:szCs w:val="21"/>
              </w:rPr>
              <w:t>0.35</w:t>
            </w:r>
          </w:p>
        </w:tc>
        <w:tc>
          <w:tcPr>
            <w:tcW w:w="1186" w:type="dxa"/>
            <w:vAlign w:val="center"/>
          </w:tcPr>
          <w:p w14:paraId="1B0BD37F">
            <w:pPr>
              <w:widowControl/>
              <w:jc w:val="center"/>
              <w:textAlignment w:val="center"/>
              <w:rPr>
                <w:szCs w:val="21"/>
              </w:rPr>
            </w:pPr>
            <w:r>
              <w:rPr>
                <w:kern w:val="0"/>
                <w:szCs w:val="21"/>
              </w:rPr>
              <w:t>0.072</w:t>
            </w:r>
          </w:p>
        </w:tc>
      </w:tr>
      <w:tr w14:paraId="4F518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25E7FE7E">
            <w:pPr>
              <w:pStyle w:val="43"/>
              <w:spacing w:beforeLines="0" w:afterLines="0" w:line="240" w:lineRule="auto"/>
              <w:rPr>
                <w:rFonts w:ascii="Times New Roman"/>
                <w:snapToGrid w:val="0"/>
                <w:kern w:val="21"/>
                <w:sz w:val="21"/>
                <w:szCs w:val="21"/>
              </w:rPr>
            </w:pPr>
          </w:p>
        </w:tc>
        <w:tc>
          <w:tcPr>
            <w:tcW w:w="1365" w:type="dxa"/>
            <w:vAlign w:val="center"/>
          </w:tcPr>
          <w:p w14:paraId="78FFEED8">
            <w:pPr>
              <w:pStyle w:val="8"/>
              <w:jc w:val="center"/>
              <w:rPr>
                <w:sz w:val="24"/>
              </w:rPr>
            </w:pPr>
            <w:r>
              <w:rPr>
                <w:szCs w:val="21"/>
              </w:rPr>
              <w:t xml:space="preserve">TN </w:t>
            </w:r>
          </w:p>
        </w:tc>
        <w:tc>
          <w:tcPr>
            <w:tcW w:w="1575" w:type="dxa"/>
            <w:vAlign w:val="center"/>
          </w:tcPr>
          <w:p w14:paraId="7EB57198">
            <w:pPr>
              <w:jc w:val="center"/>
              <w:rPr>
                <w:rFonts w:ascii="宋体" w:hAnsi="宋体" w:cs="宋体"/>
                <w:sz w:val="24"/>
              </w:rPr>
            </w:pPr>
            <w:r>
              <w:rPr>
                <w:szCs w:val="21"/>
              </w:rPr>
              <w:t>0.37</w:t>
            </w:r>
          </w:p>
        </w:tc>
        <w:tc>
          <w:tcPr>
            <w:tcW w:w="1276" w:type="dxa"/>
            <w:vAlign w:val="center"/>
          </w:tcPr>
          <w:p w14:paraId="792C83C3">
            <w:pPr>
              <w:jc w:val="center"/>
              <w:rPr>
                <w:szCs w:val="21"/>
              </w:rPr>
            </w:pPr>
            <w:r>
              <w:rPr>
                <w:szCs w:val="21"/>
              </w:rPr>
              <w:t>0.37</w:t>
            </w:r>
          </w:p>
        </w:tc>
        <w:tc>
          <w:tcPr>
            <w:tcW w:w="1701" w:type="dxa"/>
            <w:vAlign w:val="center"/>
          </w:tcPr>
          <w:p w14:paraId="7C6D7914">
            <w:pPr>
              <w:jc w:val="center"/>
              <w:rPr>
                <w:snapToGrid w:val="0"/>
                <w:kern w:val="21"/>
                <w:szCs w:val="21"/>
              </w:rPr>
            </w:pPr>
            <w:r>
              <w:rPr>
                <w:snapToGrid w:val="0"/>
                <w:kern w:val="21"/>
                <w:szCs w:val="21"/>
              </w:rPr>
              <w:t>0</w:t>
            </w:r>
          </w:p>
        </w:tc>
        <w:tc>
          <w:tcPr>
            <w:tcW w:w="1559" w:type="dxa"/>
            <w:vAlign w:val="center"/>
          </w:tcPr>
          <w:p w14:paraId="15BC1F8E">
            <w:pPr>
              <w:jc w:val="center"/>
              <w:rPr>
                <w:szCs w:val="21"/>
              </w:rPr>
            </w:pPr>
            <w:r>
              <w:rPr>
                <w:szCs w:val="21"/>
              </w:rPr>
              <w:t>0.096</w:t>
            </w:r>
          </w:p>
        </w:tc>
        <w:tc>
          <w:tcPr>
            <w:tcW w:w="1645" w:type="dxa"/>
            <w:vAlign w:val="center"/>
          </w:tcPr>
          <w:p w14:paraId="40708B81">
            <w:pPr>
              <w:jc w:val="center"/>
              <w:rPr>
                <w:snapToGrid w:val="0"/>
                <w:kern w:val="21"/>
                <w:szCs w:val="21"/>
              </w:rPr>
            </w:pPr>
            <w:r>
              <w:rPr>
                <w:szCs w:val="21"/>
              </w:rPr>
              <w:t>0</w:t>
            </w:r>
          </w:p>
        </w:tc>
        <w:tc>
          <w:tcPr>
            <w:tcW w:w="1715" w:type="dxa"/>
            <w:vAlign w:val="center"/>
          </w:tcPr>
          <w:p w14:paraId="316BACE3">
            <w:pPr>
              <w:widowControl/>
              <w:jc w:val="center"/>
              <w:textAlignment w:val="center"/>
              <w:rPr>
                <w:szCs w:val="21"/>
              </w:rPr>
            </w:pPr>
            <w:r>
              <w:rPr>
                <w:kern w:val="0"/>
                <w:szCs w:val="21"/>
              </w:rPr>
              <w:t>0.466</w:t>
            </w:r>
          </w:p>
        </w:tc>
        <w:tc>
          <w:tcPr>
            <w:tcW w:w="1186" w:type="dxa"/>
            <w:vAlign w:val="center"/>
          </w:tcPr>
          <w:p w14:paraId="1B1CE99C">
            <w:pPr>
              <w:widowControl/>
              <w:jc w:val="center"/>
              <w:textAlignment w:val="center"/>
              <w:rPr>
                <w:szCs w:val="21"/>
              </w:rPr>
            </w:pPr>
            <w:r>
              <w:rPr>
                <w:kern w:val="0"/>
                <w:szCs w:val="21"/>
              </w:rPr>
              <w:t>0.096</w:t>
            </w:r>
          </w:p>
        </w:tc>
      </w:tr>
      <w:tr w14:paraId="25DCB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42DB818C">
            <w:pPr>
              <w:pStyle w:val="43"/>
              <w:spacing w:beforeLines="0" w:afterLines="0" w:line="240" w:lineRule="auto"/>
              <w:rPr>
                <w:rFonts w:ascii="Times New Roman"/>
                <w:snapToGrid w:val="0"/>
                <w:kern w:val="21"/>
                <w:sz w:val="21"/>
                <w:szCs w:val="21"/>
              </w:rPr>
            </w:pPr>
          </w:p>
        </w:tc>
        <w:tc>
          <w:tcPr>
            <w:tcW w:w="1365" w:type="dxa"/>
            <w:vAlign w:val="center"/>
          </w:tcPr>
          <w:p w14:paraId="067BF625">
            <w:pPr>
              <w:pStyle w:val="8"/>
              <w:jc w:val="center"/>
              <w:rPr>
                <w:szCs w:val="21"/>
              </w:rPr>
            </w:pPr>
            <w:r>
              <w:rPr>
                <w:szCs w:val="21"/>
              </w:rPr>
              <w:t>TP</w:t>
            </w:r>
          </w:p>
        </w:tc>
        <w:tc>
          <w:tcPr>
            <w:tcW w:w="1575" w:type="dxa"/>
            <w:vAlign w:val="center"/>
          </w:tcPr>
          <w:p w14:paraId="67D0EF68">
            <w:pPr>
              <w:jc w:val="center"/>
              <w:rPr>
                <w:rFonts w:ascii="宋体" w:hAnsi="宋体" w:cs="宋体"/>
                <w:sz w:val="24"/>
              </w:rPr>
            </w:pPr>
            <w:r>
              <w:rPr>
                <w:szCs w:val="21"/>
              </w:rPr>
              <w:t>0.0086</w:t>
            </w:r>
          </w:p>
        </w:tc>
        <w:tc>
          <w:tcPr>
            <w:tcW w:w="1276" w:type="dxa"/>
            <w:vAlign w:val="center"/>
          </w:tcPr>
          <w:p w14:paraId="6A307032">
            <w:pPr>
              <w:jc w:val="center"/>
              <w:rPr>
                <w:szCs w:val="21"/>
              </w:rPr>
            </w:pPr>
            <w:r>
              <w:rPr>
                <w:szCs w:val="21"/>
              </w:rPr>
              <w:t>0.0086</w:t>
            </w:r>
          </w:p>
        </w:tc>
        <w:tc>
          <w:tcPr>
            <w:tcW w:w="1701" w:type="dxa"/>
            <w:vAlign w:val="center"/>
          </w:tcPr>
          <w:p w14:paraId="5F13C467">
            <w:pPr>
              <w:jc w:val="center"/>
              <w:rPr>
                <w:snapToGrid w:val="0"/>
                <w:kern w:val="21"/>
                <w:szCs w:val="21"/>
              </w:rPr>
            </w:pPr>
            <w:r>
              <w:rPr>
                <w:snapToGrid w:val="0"/>
                <w:kern w:val="21"/>
                <w:szCs w:val="21"/>
              </w:rPr>
              <w:t>0</w:t>
            </w:r>
          </w:p>
        </w:tc>
        <w:tc>
          <w:tcPr>
            <w:tcW w:w="1559" w:type="dxa"/>
            <w:vAlign w:val="center"/>
          </w:tcPr>
          <w:p w14:paraId="74F3E0A0">
            <w:pPr>
              <w:jc w:val="center"/>
              <w:rPr>
                <w:szCs w:val="21"/>
              </w:rPr>
            </w:pPr>
            <w:r>
              <w:rPr>
                <w:szCs w:val="21"/>
              </w:rPr>
              <w:t xml:space="preserve">0.002 </w:t>
            </w:r>
          </w:p>
        </w:tc>
        <w:tc>
          <w:tcPr>
            <w:tcW w:w="1645" w:type="dxa"/>
            <w:vAlign w:val="center"/>
          </w:tcPr>
          <w:p w14:paraId="485DE0DD">
            <w:pPr>
              <w:jc w:val="center"/>
              <w:rPr>
                <w:szCs w:val="21"/>
              </w:rPr>
            </w:pPr>
            <w:r>
              <w:rPr>
                <w:szCs w:val="21"/>
              </w:rPr>
              <w:t>0</w:t>
            </w:r>
          </w:p>
        </w:tc>
        <w:tc>
          <w:tcPr>
            <w:tcW w:w="1715" w:type="dxa"/>
            <w:vAlign w:val="center"/>
          </w:tcPr>
          <w:p w14:paraId="0665BBEB">
            <w:pPr>
              <w:widowControl/>
              <w:jc w:val="center"/>
              <w:textAlignment w:val="center"/>
              <w:rPr>
                <w:szCs w:val="21"/>
              </w:rPr>
            </w:pPr>
            <w:r>
              <w:rPr>
                <w:kern w:val="0"/>
                <w:szCs w:val="21"/>
              </w:rPr>
              <w:t>0.0106</w:t>
            </w:r>
          </w:p>
        </w:tc>
        <w:tc>
          <w:tcPr>
            <w:tcW w:w="1186" w:type="dxa"/>
            <w:vAlign w:val="center"/>
          </w:tcPr>
          <w:p w14:paraId="21E7DDC3">
            <w:pPr>
              <w:widowControl/>
              <w:jc w:val="center"/>
              <w:textAlignment w:val="center"/>
              <w:rPr>
                <w:szCs w:val="21"/>
              </w:rPr>
            </w:pPr>
            <w:r>
              <w:rPr>
                <w:kern w:val="0"/>
                <w:szCs w:val="21"/>
              </w:rPr>
              <w:t>0.002</w:t>
            </w:r>
          </w:p>
        </w:tc>
      </w:tr>
      <w:tr w14:paraId="656FF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6AA4EDEE">
            <w:pPr>
              <w:pStyle w:val="43"/>
              <w:spacing w:beforeLines="0" w:afterLines="0" w:line="240" w:lineRule="auto"/>
              <w:rPr>
                <w:rFonts w:ascii="Times New Roman"/>
                <w:snapToGrid w:val="0"/>
                <w:kern w:val="21"/>
                <w:sz w:val="21"/>
                <w:szCs w:val="21"/>
              </w:rPr>
            </w:pPr>
          </w:p>
        </w:tc>
        <w:tc>
          <w:tcPr>
            <w:tcW w:w="1365" w:type="dxa"/>
            <w:vAlign w:val="center"/>
          </w:tcPr>
          <w:p w14:paraId="0F1057E2">
            <w:pPr>
              <w:pStyle w:val="8"/>
              <w:jc w:val="center"/>
              <w:rPr>
                <w:szCs w:val="21"/>
              </w:rPr>
            </w:pPr>
            <w:r>
              <w:rPr>
                <w:szCs w:val="21"/>
              </w:rPr>
              <w:t>石油类</w:t>
            </w:r>
          </w:p>
        </w:tc>
        <w:tc>
          <w:tcPr>
            <w:tcW w:w="1575" w:type="dxa"/>
            <w:vAlign w:val="center"/>
          </w:tcPr>
          <w:p w14:paraId="53E97F51">
            <w:pPr>
              <w:jc w:val="center"/>
              <w:rPr>
                <w:rFonts w:ascii="宋体" w:hAnsi="宋体" w:cs="宋体"/>
                <w:sz w:val="24"/>
              </w:rPr>
            </w:pPr>
            <w:r>
              <w:rPr>
                <w:szCs w:val="21"/>
              </w:rPr>
              <w:t>0.093</w:t>
            </w:r>
          </w:p>
        </w:tc>
        <w:tc>
          <w:tcPr>
            <w:tcW w:w="1276" w:type="dxa"/>
            <w:vAlign w:val="center"/>
          </w:tcPr>
          <w:p w14:paraId="2CC27ED0">
            <w:pPr>
              <w:jc w:val="center"/>
              <w:rPr>
                <w:szCs w:val="21"/>
              </w:rPr>
            </w:pPr>
            <w:r>
              <w:rPr>
                <w:szCs w:val="21"/>
              </w:rPr>
              <w:t>0.093</w:t>
            </w:r>
          </w:p>
        </w:tc>
        <w:tc>
          <w:tcPr>
            <w:tcW w:w="1701" w:type="dxa"/>
            <w:vAlign w:val="center"/>
          </w:tcPr>
          <w:p w14:paraId="5D7039BE">
            <w:pPr>
              <w:jc w:val="center"/>
              <w:rPr>
                <w:snapToGrid w:val="0"/>
                <w:kern w:val="21"/>
                <w:szCs w:val="21"/>
              </w:rPr>
            </w:pPr>
            <w:r>
              <w:rPr>
                <w:rFonts w:hint="eastAsia"/>
                <w:snapToGrid w:val="0"/>
                <w:kern w:val="21"/>
                <w:szCs w:val="21"/>
              </w:rPr>
              <w:t>0</w:t>
            </w:r>
          </w:p>
        </w:tc>
        <w:tc>
          <w:tcPr>
            <w:tcW w:w="1559" w:type="dxa"/>
            <w:vAlign w:val="center"/>
          </w:tcPr>
          <w:p w14:paraId="38A676D2">
            <w:pPr>
              <w:jc w:val="center"/>
              <w:rPr>
                <w:szCs w:val="21"/>
              </w:rPr>
            </w:pPr>
            <w:r>
              <w:rPr>
                <w:szCs w:val="21"/>
              </w:rPr>
              <w:t>0.024</w:t>
            </w:r>
          </w:p>
        </w:tc>
        <w:tc>
          <w:tcPr>
            <w:tcW w:w="1645" w:type="dxa"/>
            <w:vAlign w:val="center"/>
          </w:tcPr>
          <w:p w14:paraId="449058DE">
            <w:pPr>
              <w:jc w:val="center"/>
              <w:rPr>
                <w:szCs w:val="21"/>
              </w:rPr>
            </w:pPr>
            <w:r>
              <w:rPr>
                <w:szCs w:val="21"/>
              </w:rPr>
              <w:t>0</w:t>
            </w:r>
          </w:p>
        </w:tc>
        <w:tc>
          <w:tcPr>
            <w:tcW w:w="1715" w:type="dxa"/>
            <w:vAlign w:val="center"/>
          </w:tcPr>
          <w:p w14:paraId="49A40B83">
            <w:pPr>
              <w:widowControl/>
              <w:jc w:val="center"/>
              <w:textAlignment w:val="center"/>
              <w:rPr>
                <w:szCs w:val="21"/>
              </w:rPr>
            </w:pPr>
            <w:r>
              <w:rPr>
                <w:kern w:val="0"/>
                <w:szCs w:val="21"/>
              </w:rPr>
              <w:t>0.117</w:t>
            </w:r>
          </w:p>
        </w:tc>
        <w:tc>
          <w:tcPr>
            <w:tcW w:w="1186" w:type="dxa"/>
            <w:vAlign w:val="center"/>
          </w:tcPr>
          <w:p w14:paraId="14FC1E02">
            <w:pPr>
              <w:widowControl/>
              <w:jc w:val="center"/>
              <w:textAlignment w:val="center"/>
              <w:rPr>
                <w:szCs w:val="21"/>
              </w:rPr>
            </w:pPr>
            <w:r>
              <w:rPr>
                <w:kern w:val="0"/>
                <w:szCs w:val="21"/>
              </w:rPr>
              <w:t>0.024</w:t>
            </w:r>
          </w:p>
        </w:tc>
      </w:tr>
      <w:tr w14:paraId="536F9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14C16E5E">
            <w:pPr>
              <w:pStyle w:val="43"/>
              <w:spacing w:beforeLines="0" w:afterLines="0" w:line="240" w:lineRule="auto"/>
              <w:rPr>
                <w:rFonts w:ascii="Times New Roman"/>
                <w:snapToGrid w:val="0"/>
                <w:kern w:val="21"/>
                <w:sz w:val="21"/>
                <w:szCs w:val="21"/>
              </w:rPr>
            </w:pPr>
          </w:p>
        </w:tc>
        <w:tc>
          <w:tcPr>
            <w:tcW w:w="1365" w:type="dxa"/>
            <w:vAlign w:val="center"/>
          </w:tcPr>
          <w:p w14:paraId="5E7FD447">
            <w:pPr>
              <w:pStyle w:val="8"/>
              <w:jc w:val="center"/>
              <w:rPr>
                <w:szCs w:val="21"/>
              </w:rPr>
            </w:pPr>
            <w:r>
              <w:rPr>
                <w:rFonts w:hint="eastAsia"/>
                <w:szCs w:val="21"/>
              </w:rPr>
              <w:t>动植物油</w:t>
            </w:r>
          </w:p>
        </w:tc>
        <w:tc>
          <w:tcPr>
            <w:tcW w:w="1575" w:type="dxa"/>
            <w:vAlign w:val="center"/>
          </w:tcPr>
          <w:p w14:paraId="6E1E47E5">
            <w:pPr>
              <w:jc w:val="center"/>
              <w:rPr>
                <w:rFonts w:ascii="宋体" w:hAnsi="宋体" w:cs="宋体"/>
                <w:sz w:val="24"/>
              </w:rPr>
            </w:pPr>
            <w:r>
              <w:rPr>
                <w:szCs w:val="21"/>
              </w:rPr>
              <w:t>0.926</w:t>
            </w:r>
          </w:p>
        </w:tc>
        <w:tc>
          <w:tcPr>
            <w:tcW w:w="1276" w:type="dxa"/>
            <w:vAlign w:val="center"/>
          </w:tcPr>
          <w:p w14:paraId="565DFCEB">
            <w:pPr>
              <w:jc w:val="center"/>
              <w:rPr>
                <w:szCs w:val="21"/>
              </w:rPr>
            </w:pPr>
            <w:r>
              <w:rPr>
                <w:szCs w:val="21"/>
              </w:rPr>
              <w:t>0.926</w:t>
            </w:r>
          </w:p>
        </w:tc>
        <w:tc>
          <w:tcPr>
            <w:tcW w:w="1701" w:type="dxa"/>
            <w:vAlign w:val="center"/>
          </w:tcPr>
          <w:p w14:paraId="1BF1E86F">
            <w:pPr>
              <w:jc w:val="center"/>
              <w:rPr>
                <w:snapToGrid w:val="0"/>
                <w:kern w:val="21"/>
                <w:szCs w:val="21"/>
              </w:rPr>
            </w:pPr>
            <w:r>
              <w:rPr>
                <w:snapToGrid w:val="0"/>
                <w:kern w:val="21"/>
                <w:szCs w:val="21"/>
              </w:rPr>
              <w:t>0</w:t>
            </w:r>
          </w:p>
        </w:tc>
        <w:tc>
          <w:tcPr>
            <w:tcW w:w="1559" w:type="dxa"/>
            <w:vAlign w:val="center"/>
          </w:tcPr>
          <w:p w14:paraId="0AA02F54">
            <w:pPr>
              <w:jc w:val="center"/>
              <w:rPr>
                <w:szCs w:val="21"/>
              </w:rPr>
            </w:pPr>
            <w:r>
              <w:rPr>
                <w:szCs w:val="21"/>
              </w:rPr>
              <w:t>0.12</w:t>
            </w:r>
          </w:p>
        </w:tc>
        <w:tc>
          <w:tcPr>
            <w:tcW w:w="1645" w:type="dxa"/>
            <w:vAlign w:val="center"/>
          </w:tcPr>
          <w:p w14:paraId="256BEBE4">
            <w:pPr>
              <w:jc w:val="center"/>
              <w:rPr>
                <w:snapToGrid w:val="0"/>
                <w:kern w:val="21"/>
                <w:szCs w:val="21"/>
              </w:rPr>
            </w:pPr>
            <w:r>
              <w:rPr>
                <w:szCs w:val="21"/>
              </w:rPr>
              <w:t>0</w:t>
            </w:r>
          </w:p>
        </w:tc>
        <w:tc>
          <w:tcPr>
            <w:tcW w:w="1715" w:type="dxa"/>
            <w:vAlign w:val="center"/>
          </w:tcPr>
          <w:p w14:paraId="32A9ED7F">
            <w:pPr>
              <w:widowControl/>
              <w:jc w:val="center"/>
              <w:textAlignment w:val="center"/>
              <w:rPr>
                <w:sz w:val="24"/>
                <w:szCs w:val="21"/>
              </w:rPr>
            </w:pPr>
            <w:r>
              <w:rPr>
                <w:kern w:val="0"/>
                <w:szCs w:val="21"/>
              </w:rPr>
              <w:t>1.046</w:t>
            </w:r>
          </w:p>
        </w:tc>
        <w:tc>
          <w:tcPr>
            <w:tcW w:w="1186" w:type="dxa"/>
            <w:vAlign w:val="center"/>
          </w:tcPr>
          <w:p w14:paraId="29A3B582">
            <w:pPr>
              <w:widowControl/>
              <w:jc w:val="center"/>
              <w:textAlignment w:val="center"/>
              <w:rPr>
                <w:szCs w:val="21"/>
              </w:rPr>
            </w:pPr>
            <w:r>
              <w:rPr>
                <w:kern w:val="0"/>
                <w:szCs w:val="21"/>
              </w:rPr>
              <w:t>0.12</w:t>
            </w:r>
          </w:p>
        </w:tc>
      </w:tr>
      <w:tr w14:paraId="428E6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restart"/>
            <w:vAlign w:val="center"/>
          </w:tcPr>
          <w:p w14:paraId="145B6D7F">
            <w:pPr>
              <w:pStyle w:val="43"/>
              <w:spacing w:beforeLines="0" w:afterLines="0" w:line="240" w:lineRule="auto"/>
              <w:rPr>
                <w:rFonts w:ascii="Times New Roman"/>
                <w:snapToGrid w:val="0"/>
                <w:kern w:val="21"/>
                <w:sz w:val="21"/>
                <w:szCs w:val="21"/>
              </w:rPr>
            </w:pPr>
            <w:r>
              <w:rPr>
                <w:rFonts w:ascii="Times New Roman"/>
                <w:snapToGrid w:val="0"/>
                <w:kern w:val="21"/>
                <w:sz w:val="21"/>
                <w:szCs w:val="21"/>
              </w:rPr>
              <w:t>一般工业</w:t>
            </w:r>
          </w:p>
          <w:p w14:paraId="3C2FE5DC">
            <w:pPr>
              <w:pStyle w:val="43"/>
              <w:spacing w:beforeLines="0" w:afterLines="0" w:line="240" w:lineRule="auto"/>
              <w:rPr>
                <w:rFonts w:ascii="Times New Roman"/>
                <w:snapToGrid w:val="0"/>
                <w:kern w:val="21"/>
                <w:sz w:val="21"/>
                <w:szCs w:val="21"/>
              </w:rPr>
            </w:pPr>
            <w:r>
              <w:rPr>
                <w:rFonts w:ascii="Times New Roman"/>
                <w:snapToGrid w:val="0"/>
                <w:kern w:val="21"/>
                <w:sz w:val="21"/>
                <w:szCs w:val="21"/>
              </w:rPr>
              <w:t>固体废物</w:t>
            </w:r>
          </w:p>
        </w:tc>
        <w:tc>
          <w:tcPr>
            <w:tcW w:w="1365" w:type="dxa"/>
            <w:vAlign w:val="center"/>
          </w:tcPr>
          <w:p w14:paraId="6C558A31">
            <w:pPr>
              <w:pStyle w:val="8"/>
              <w:adjustRightInd w:val="0"/>
              <w:snapToGrid w:val="0"/>
              <w:jc w:val="center"/>
              <w:rPr>
                <w:kern w:val="0"/>
                <w:sz w:val="24"/>
              </w:rPr>
            </w:pPr>
            <w:r>
              <w:rPr>
                <w:szCs w:val="21"/>
              </w:rPr>
              <w:t>废胶料</w:t>
            </w:r>
          </w:p>
        </w:tc>
        <w:tc>
          <w:tcPr>
            <w:tcW w:w="1575" w:type="dxa"/>
            <w:vAlign w:val="center"/>
          </w:tcPr>
          <w:p w14:paraId="44050A20">
            <w:pPr>
              <w:spacing w:line="280" w:lineRule="exact"/>
              <w:jc w:val="center"/>
              <w:rPr>
                <w:szCs w:val="21"/>
              </w:rPr>
            </w:pPr>
            <w:r>
              <w:rPr>
                <w:rFonts w:hint="eastAsia"/>
                <w:szCs w:val="21"/>
              </w:rPr>
              <w:t>3.8</w:t>
            </w:r>
          </w:p>
        </w:tc>
        <w:tc>
          <w:tcPr>
            <w:tcW w:w="1276" w:type="dxa"/>
            <w:vAlign w:val="center"/>
          </w:tcPr>
          <w:p w14:paraId="105AA804">
            <w:pPr>
              <w:spacing w:line="280" w:lineRule="exact"/>
              <w:jc w:val="center"/>
              <w:rPr>
                <w:szCs w:val="21"/>
              </w:rPr>
            </w:pPr>
            <w:r>
              <w:rPr>
                <w:rFonts w:hint="eastAsia"/>
                <w:szCs w:val="21"/>
              </w:rPr>
              <w:t>3.8</w:t>
            </w:r>
          </w:p>
        </w:tc>
        <w:tc>
          <w:tcPr>
            <w:tcW w:w="1701" w:type="dxa"/>
            <w:vAlign w:val="center"/>
          </w:tcPr>
          <w:p w14:paraId="039E9245">
            <w:pPr>
              <w:jc w:val="center"/>
              <w:rPr>
                <w:snapToGrid w:val="0"/>
                <w:kern w:val="21"/>
                <w:szCs w:val="21"/>
              </w:rPr>
            </w:pPr>
            <w:r>
              <w:rPr>
                <w:snapToGrid w:val="0"/>
                <w:kern w:val="21"/>
                <w:szCs w:val="21"/>
              </w:rPr>
              <w:t>0</w:t>
            </w:r>
          </w:p>
        </w:tc>
        <w:tc>
          <w:tcPr>
            <w:tcW w:w="1559" w:type="dxa"/>
            <w:vAlign w:val="center"/>
          </w:tcPr>
          <w:p w14:paraId="59A7527C">
            <w:pPr>
              <w:pStyle w:val="47"/>
              <w:adjustRightInd w:val="0"/>
              <w:snapToGrid w:val="0"/>
              <w:rPr>
                <w:rFonts w:eastAsia="宋体"/>
                <w:kern w:val="0"/>
              </w:rPr>
            </w:pPr>
            <w:r>
              <w:rPr>
                <w:rFonts w:hint="eastAsia" w:eastAsia="宋体"/>
                <w:kern w:val="0"/>
              </w:rPr>
              <w:t>2.3</w:t>
            </w:r>
          </w:p>
        </w:tc>
        <w:tc>
          <w:tcPr>
            <w:tcW w:w="1645" w:type="dxa"/>
            <w:vAlign w:val="center"/>
          </w:tcPr>
          <w:p w14:paraId="640BB0AE">
            <w:pPr>
              <w:jc w:val="center"/>
              <w:rPr>
                <w:snapToGrid w:val="0"/>
                <w:kern w:val="21"/>
                <w:szCs w:val="21"/>
              </w:rPr>
            </w:pPr>
            <w:r>
              <w:rPr>
                <w:szCs w:val="21"/>
              </w:rPr>
              <w:t>/</w:t>
            </w:r>
          </w:p>
        </w:tc>
        <w:tc>
          <w:tcPr>
            <w:tcW w:w="1715" w:type="dxa"/>
            <w:vAlign w:val="center"/>
          </w:tcPr>
          <w:p w14:paraId="54E4BBCA">
            <w:pPr>
              <w:jc w:val="center"/>
              <w:rPr>
                <w:sz w:val="24"/>
              </w:rPr>
            </w:pPr>
            <w:r>
              <w:t>6.1</w:t>
            </w:r>
          </w:p>
        </w:tc>
        <w:tc>
          <w:tcPr>
            <w:tcW w:w="1186" w:type="dxa"/>
            <w:vAlign w:val="center"/>
          </w:tcPr>
          <w:p w14:paraId="48E451EA">
            <w:pPr>
              <w:pStyle w:val="47"/>
              <w:adjustRightInd w:val="0"/>
              <w:snapToGrid w:val="0"/>
              <w:rPr>
                <w:rFonts w:eastAsia="宋体"/>
                <w:kern w:val="0"/>
              </w:rPr>
            </w:pPr>
            <w:r>
              <w:rPr>
                <w:rFonts w:hint="eastAsia" w:eastAsia="宋体"/>
                <w:kern w:val="0"/>
              </w:rPr>
              <w:t>+2.3</w:t>
            </w:r>
          </w:p>
        </w:tc>
      </w:tr>
      <w:tr w14:paraId="2E9BA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1C1252EC">
            <w:pPr>
              <w:pStyle w:val="43"/>
              <w:spacing w:beforeLines="0" w:afterLines="0" w:line="240" w:lineRule="auto"/>
              <w:rPr>
                <w:rFonts w:ascii="Times New Roman"/>
                <w:snapToGrid w:val="0"/>
                <w:kern w:val="21"/>
                <w:sz w:val="21"/>
                <w:szCs w:val="21"/>
              </w:rPr>
            </w:pPr>
          </w:p>
        </w:tc>
        <w:tc>
          <w:tcPr>
            <w:tcW w:w="1365" w:type="dxa"/>
            <w:vAlign w:val="center"/>
          </w:tcPr>
          <w:p w14:paraId="764DC2D2">
            <w:pPr>
              <w:pStyle w:val="8"/>
              <w:adjustRightInd w:val="0"/>
              <w:snapToGrid w:val="0"/>
              <w:jc w:val="center"/>
              <w:rPr>
                <w:kern w:val="0"/>
                <w:sz w:val="24"/>
              </w:rPr>
            </w:pPr>
            <w:r>
              <w:rPr>
                <w:kern w:val="0"/>
                <w:sz w:val="24"/>
              </w:rPr>
              <w:t>废橡胶边角料</w:t>
            </w:r>
          </w:p>
        </w:tc>
        <w:tc>
          <w:tcPr>
            <w:tcW w:w="1575" w:type="dxa"/>
            <w:vAlign w:val="center"/>
          </w:tcPr>
          <w:p w14:paraId="70124A95">
            <w:pPr>
              <w:spacing w:line="280" w:lineRule="exact"/>
              <w:jc w:val="center"/>
              <w:rPr>
                <w:szCs w:val="21"/>
              </w:rPr>
            </w:pPr>
            <w:r>
              <w:rPr>
                <w:rFonts w:hint="eastAsia"/>
                <w:szCs w:val="21"/>
              </w:rPr>
              <w:t>15.4</w:t>
            </w:r>
          </w:p>
        </w:tc>
        <w:tc>
          <w:tcPr>
            <w:tcW w:w="1276" w:type="dxa"/>
            <w:vAlign w:val="center"/>
          </w:tcPr>
          <w:p w14:paraId="028E28EA">
            <w:pPr>
              <w:spacing w:line="280" w:lineRule="exact"/>
              <w:jc w:val="center"/>
              <w:rPr>
                <w:szCs w:val="21"/>
              </w:rPr>
            </w:pPr>
            <w:r>
              <w:rPr>
                <w:rFonts w:hint="eastAsia"/>
                <w:szCs w:val="21"/>
              </w:rPr>
              <w:t>15.4</w:t>
            </w:r>
          </w:p>
        </w:tc>
        <w:tc>
          <w:tcPr>
            <w:tcW w:w="1701" w:type="dxa"/>
            <w:vAlign w:val="center"/>
          </w:tcPr>
          <w:p w14:paraId="45D48E1B">
            <w:pPr>
              <w:jc w:val="center"/>
              <w:rPr>
                <w:snapToGrid w:val="0"/>
                <w:kern w:val="21"/>
                <w:szCs w:val="21"/>
              </w:rPr>
            </w:pPr>
            <w:r>
              <w:rPr>
                <w:snapToGrid w:val="0"/>
                <w:kern w:val="21"/>
                <w:szCs w:val="21"/>
              </w:rPr>
              <w:t>0</w:t>
            </w:r>
          </w:p>
        </w:tc>
        <w:tc>
          <w:tcPr>
            <w:tcW w:w="1559" w:type="dxa"/>
            <w:vAlign w:val="center"/>
          </w:tcPr>
          <w:p w14:paraId="1508EDE7">
            <w:pPr>
              <w:pStyle w:val="47"/>
              <w:adjustRightInd w:val="0"/>
              <w:snapToGrid w:val="0"/>
              <w:rPr>
                <w:rFonts w:eastAsia="宋体"/>
                <w:kern w:val="0"/>
              </w:rPr>
            </w:pPr>
            <w:r>
              <w:rPr>
                <w:rFonts w:hint="eastAsia" w:eastAsia="宋体"/>
                <w:kern w:val="0"/>
              </w:rPr>
              <w:t>9.3</w:t>
            </w:r>
          </w:p>
        </w:tc>
        <w:tc>
          <w:tcPr>
            <w:tcW w:w="1645" w:type="dxa"/>
            <w:vAlign w:val="center"/>
          </w:tcPr>
          <w:p w14:paraId="49BD7D86">
            <w:pPr>
              <w:jc w:val="center"/>
              <w:rPr>
                <w:snapToGrid w:val="0"/>
                <w:kern w:val="21"/>
                <w:szCs w:val="21"/>
              </w:rPr>
            </w:pPr>
            <w:r>
              <w:rPr>
                <w:szCs w:val="21"/>
              </w:rPr>
              <w:t>/</w:t>
            </w:r>
          </w:p>
        </w:tc>
        <w:tc>
          <w:tcPr>
            <w:tcW w:w="1715" w:type="dxa"/>
            <w:vAlign w:val="center"/>
          </w:tcPr>
          <w:p w14:paraId="1BACE9CD">
            <w:pPr>
              <w:jc w:val="center"/>
              <w:rPr>
                <w:sz w:val="24"/>
              </w:rPr>
            </w:pPr>
            <w:r>
              <w:t>24.7</w:t>
            </w:r>
          </w:p>
        </w:tc>
        <w:tc>
          <w:tcPr>
            <w:tcW w:w="1186" w:type="dxa"/>
            <w:vAlign w:val="center"/>
          </w:tcPr>
          <w:p w14:paraId="765C62C7">
            <w:pPr>
              <w:pStyle w:val="47"/>
              <w:adjustRightInd w:val="0"/>
              <w:snapToGrid w:val="0"/>
              <w:rPr>
                <w:rFonts w:eastAsia="宋体"/>
                <w:kern w:val="0"/>
              </w:rPr>
            </w:pPr>
            <w:r>
              <w:rPr>
                <w:rFonts w:hint="eastAsia" w:eastAsia="宋体"/>
                <w:kern w:val="0"/>
              </w:rPr>
              <w:t>+9.3</w:t>
            </w:r>
          </w:p>
        </w:tc>
      </w:tr>
      <w:tr w14:paraId="797F0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360A47E2">
            <w:pPr>
              <w:pStyle w:val="43"/>
              <w:spacing w:beforeLines="0" w:afterLines="0" w:line="240" w:lineRule="auto"/>
              <w:rPr>
                <w:rFonts w:ascii="Times New Roman"/>
                <w:snapToGrid w:val="0"/>
                <w:kern w:val="21"/>
                <w:sz w:val="21"/>
                <w:szCs w:val="21"/>
              </w:rPr>
            </w:pPr>
          </w:p>
        </w:tc>
        <w:tc>
          <w:tcPr>
            <w:tcW w:w="1365" w:type="dxa"/>
            <w:vAlign w:val="center"/>
          </w:tcPr>
          <w:p w14:paraId="01F88A27">
            <w:pPr>
              <w:pStyle w:val="8"/>
              <w:adjustRightInd w:val="0"/>
              <w:snapToGrid w:val="0"/>
              <w:jc w:val="center"/>
              <w:rPr>
                <w:kern w:val="0"/>
                <w:sz w:val="24"/>
              </w:rPr>
            </w:pPr>
            <w:r>
              <w:rPr>
                <w:szCs w:val="21"/>
              </w:rPr>
              <w:t>废金属边角料</w:t>
            </w:r>
          </w:p>
        </w:tc>
        <w:tc>
          <w:tcPr>
            <w:tcW w:w="1575" w:type="dxa"/>
            <w:vAlign w:val="center"/>
          </w:tcPr>
          <w:p w14:paraId="21C32569">
            <w:pPr>
              <w:spacing w:line="280" w:lineRule="exact"/>
              <w:jc w:val="center"/>
              <w:rPr>
                <w:szCs w:val="21"/>
              </w:rPr>
            </w:pPr>
            <w:r>
              <w:rPr>
                <w:rFonts w:hint="eastAsia"/>
                <w:szCs w:val="21"/>
              </w:rPr>
              <w:t>0.8</w:t>
            </w:r>
          </w:p>
        </w:tc>
        <w:tc>
          <w:tcPr>
            <w:tcW w:w="1276" w:type="dxa"/>
            <w:vAlign w:val="center"/>
          </w:tcPr>
          <w:p w14:paraId="625F68CD">
            <w:pPr>
              <w:spacing w:line="280" w:lineRule="exact"/>
              <w:jc w:val="center"/>
              <w:rPr>
                <w:szCs w:val="21"/>
              </w:rPr>
            </w:pPr>
            <w:r>
              <w:rPr>
                <w:rFonts w:hint="eastAsia"/>
                <w:szCs w:val="21"/>
              </w:rPr>
              <w:t>0.8</w:t>
            </w:r>
          </w:p>
        </w:tc>
        <w:tc>
          <w:tcPr>
            <w:tcW w:w="1701" w:type="dxa"/>
            <w:vAlign w:val="center"/>
          </w:tcPr>
          <w:p w14:paraId="10EC474A">
            <w:pPr>
              <w:jc w:val="center"/>
              <w:rPr>
                <w:snapToGrid w:val="0"/>
                <w:kern w:val="21"/>
                <w:szCs w:val="21"/>
              </w:rPr>
            </w:pPr>
            <w:r>
              <w:rPr>
                <w:snapToGrid w:val="0"/>
                <w:kern w:val="21"/>
                <w:szCs w:val="21"/>
              </w:rPr>
              <w:t>0</w:t>
            </w:r>
          </w:p>
        </w:tc>
        <w:tc>
          <w:tcPr>
            <w:tcW w:w="1559" w:type="dxa"/>
            <w:vAlign w:val="center"/>
          </w:tcPr>
          <w:p w14:paraId="528091F1">
            <w:pPr>
              <w:pStyle w:val="47"/>
              <w:adjustRightInd w:val="0"/>
              <w:snapToGrid w:val="0"/>
              <w:rPr>
                <w:rFonts w:eastAsia="宋体"/>
                <w:kern w:val="0"/>
              </w:rPr>
            </w:pPr>
            <w:r>
              <w:rPr>
                <w:rFonts w:hint="eastAsia" w:eastAsia="宋体"/>
                <w:kern w:val="0"/>
              </w:rPr>
              <w:t>0.5</w:t>
            </w:r>
          </w:p>
        </w:tc>
        <w:tc>
          <w:tcPr>
            <w:tcW w:w="1645" w:type="dxa"/>
            <w:vAlign w:val="center"/>
          </w:tcPr>
          <w:p w14:paraId="7B9A4834">
            <w:pPr>
              <w:jc w:val="center"/>
              <w:rPr>
                <w:snapToGrid w:val="0"/>
                <w:kern w:val="21"/>
                <w:szCs w:val="21"/>
              </w:rPr>
            </w:pPr>
            <w:r>
              <w:rPr>
                <w:szCs w:val="21"/>
              </w:rPr>
              <w:t>/</w:t>
            </w:r>
          </w:p>
        </w:tc>
        <w:tc>
          <w:tcPr>
            <w:tcW w:w="1715" w:type="dxa"/>
            <w:vAlign w:val="center"/>
          </w:tcPr>
          <w:p w14:paraId="6D50A84E">
            <w:pPr>
              <w:jc w:val="center"/>
              <w:rPr>
                <w:sz w:val="24"/>
              </w:rPr>
            </w:pPr>
            <w:r>
              <w:t>1.3</w:t>
            </w:r>
          </w:p>
        </w:tc>
        <w:tc>
          <w:tcPr>
            <w:tcW w:w="1186" w:type="dxa"/>
            <w:vAlign w:val="center"/>
          </w:tcPr>
          <w:p w14:paraId="53CA2300">
            <w:pPr>
              <w:pStyle w:val="47"/>
              <w:adjustRightInd w:val="0"/>
              <w:snapToGrid w:val="0"/>
              <w:rPr>
                <w:rFonts w:eastAsia="宋体"/>
                <w:kern w:val="0"/>
              </w:rPr>
            </w:pPr>
            <w:r>
              <w:rPr>
                <w:rFonts w:hint="eastAsia" w:eastAsia="宋体"/>
                <w:kern w:val="0"/>
              </w:rPr>
              <w:t>+0.5</w:t>
            </w:r>
          </w:p>
        </w:tc>
      </w:tr>
      <w:tr w14:paraId="302C8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71F254A3">
            <w:pPr>
              <w:pStyle w:val="43"/>
              <w:spacing w:beforeLines="0" w:afterLines="0" w:line="240" w:lineRule="auto"/>
              <w:rPr>
                <w:rFonts w:ascii="Times New Roman"/>
                <w:snapToGrid w:val="0"/>
                <w:kern w:val="21"/>
                <w:sz w:val="21"/>
                <w:szCs w:val="21"/>
              </w:rPr>
            </w:pPr>
          </w:p>
        </w:tc>
        <w:tc>
          <w:tcPr>
            <w:tcW w:w="1365" w:type="dxa"/>
            <w:vAlign w:val="center"/>
          </w:tcPr>
          <w:p w14:paraId="385723CC">
            <w:pPr>
              <w:pStyle w:val="8"/>
              <w:adjustRightInd w:val="0"/>
              <w:snapToGrid w:val="0"/>
              <w:jc w:val="center"/>
              <w:rPr>
                <w:kern w:val="0"/>
                <w:szCs w:val="21"/>
              </w:rPr>
            </w:pPr>
            <w:r>
              <w:rPr>
                <w:szCs w:val="21"/>
              </w:rPr>
              <w:t>收集粉尘</w:t>
            </w:r>
          </w:p>
        </w:tc>
        <w:tc>
          <w:tcPr>
            <w:tcW w:w="1575" w:type="dxa"/>
            <w:vAlign w:val="center"/>
          </w:tcPr>
          <w:p w14:paraId="6F329E86">
            <w:pPr>
              <w:spacing w:line="280" w:lineRule="exact"/>
              <w:jc w:val="center"/>
              <w:rPr>
                <w:szCs w:val="21"/>
              </w:rPr>
            </w:pPr>
            <w:r>
              <w:rPr>
                <w:rFonts w:hint="eastAsia"/>
                <w:szCs w:val="21"/>
              </w:rPr>
              <w:t>13.7</w:t>
            </w:r>
          </w:p>
        </w:tc>
        <w:tc>
          <w:tcPr>
            <w:tcW w:w="1276" w:type="dxa"/>
            <w:vAlign w:val="center"/>
          </w:tcPr>
          <w:p w14:paraId="2533C818">
            <w:pPr>
              <w:spacing w:line="280" w:lineRule="exact"/>
              <w:jc w:val="center"/>
              <w:rPr>
                <w:szCs w:val="21"/>
              </w:rPr>
            </w:pPr>
            <w:r>
              <w:rPr>
                <w:rFonts w:hint="eastAsia"/>
                <w:szCs w:val="21"/>
              </w:rPr>
              <w:t>13.7</w:t>
            </w:r>
          </w:p>
        </w:tc>
        <w:tc>
          <w:tcPr>
            <w:tcW w:w="1701" w:type="dxa"/>
            <w:vAlign w:val="center"/>
          </w:tcPr>
          <w:p w14:paraId="35552EA6">
            <w:pPr>
              <w:jc w:val="center"/>
              <w:rPr>
                <w:snapToGrid w:val="0"/>
                <w:kern w:val="21"/>
                <w:szCs w:val="21"/>
              </w:rPr>
            </w:pPr>
            <w:r>
              <w:rPr>
                <w:snapToGrid w:val="0"/>
                <w:kern w:val="21"/>
                <w:szCs w:val="21"/>
              </w:rPr>
              <w:t>0</w:t>
            </w:r>
          </w:p>
        </w:tc>
        <w:tc>
          <w:tcPr>
            <w:tcW w:w="1559" w:type="dxa"/>
            <w:vAlign w:val="center"/>
          </w:tcPr>
          <w:p w14:paraId="77C41423">
            <w:pPr>
              <w:pStyle w:val="47"/>
              <w:adjustRightInd w:val="0"/>
              <w:snapToGrid w:val="0"/>
              <w:rPr>
                <w:rFonts w:eastAsia="宋体"/>
                <w:kern w:val="0"/>
              </w:rPr>
            </w:pPr>
            <w:r>
              <w:rPr>
                <w:rFonts w:hint="eastAsia" w:eastAsia="宋体"/>
                <w:kern w:val="0"/>
              </w:rPr>
              <w:t>1.32</w:t>
            </w:r>
          </w:p>
        </w:tc>
        <w:tc>
          <w:tcPr>
            <w:tcW w:w="1645" w:type="dxa"/>
            <w:vAlign w:val="center"/>
          </w:tcPr>
          <w:p w14:paraId="6B4F6ACA">
            <w:pPr>
              <w:jc w:val="center"/>
              <w:rPr>
                <w:snapToGrid w:val="0"/>
                <w:kern w:val="21"/>
                <w:szCs w:val="21"/>
              </w:rPr>
            </w:pPr>
            <w:r>
              <w:rPr>
                <w:szCs w:val="21"/>
              </w:rPr>
              <w:t>/</w:t>
            </w:r>
          </w:p>
        </w:tc>
        <w:tc>
          <w:tcPr>
            <w:tcW w:w="1715" w:type="dxa"/>
            <w:vAlign w:val="center"/>
          </w:tcPr>
          <w:p w14:paraId="28FD7263">
            <w:pPr>
              <w:jc w:val="center"/>
              <w:rPr>
                <w:sz w:val="24"/>
              </w:rPr>
            </w:pPr>
            <w:r>
              <w:t>15.02</w:t>
            </w:r>
          </w:p>
        </w:tc>
        <w:tc>
          <w:tcPr>
            <w:tcW w:w="1186" w:type="dxa"/>
            <w:vAlign w:val="center"/>
          </w:tcPr>
          <w:p w14:paraId="3BDE40AC">
            <w:pPr>
              <w:pStyle w:val="47"/>
              <w:adjustRightInd w:val="0"/>
              <w:snapToGrid w:val="0"/>
              <w:rPr>
                <w:rFonts w:eastAsia="宋体"/>
                <w:kern w:val="0"/>
              </w:rPr>
            </w:pPr>
            <w:r>
              <w:rPr>
                <w:rFonts w:hint="eastAsia" w:eastAsia="宋体"/>
                <w:kern w:val="0"/>
              </w:rPr>
              <w:t>+1.32</w:t>
            </w:r>
          </w:p>
        </w:tc>
      </w:tr>
      <w:tr w14:paraId="366AF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restart"/>
            <w:vAlign w:val="center"/>
          </w:tcPr>
          <w:p w14:paraId="60437464">
            <w:pPr>
              <w:pStyle w:val="43"/>
              <w:spacing w:beforeLines="0" w:afterLines="0" w:line="240" w:lineRule="auto"/>
              <w:rPr>
                <w:rFonts w:ascii="Times New Roman"/>
                <w:snapToGrid w:val="0"/>
                <w:kern w:val="21"/>
                <w:sz w:val="21"/>
                <w:szCs w:val="21"/>
              </w:rPr>
            </w:pPr>
            <w:r>
              <w:rPr>
                <w:rFonts w:ascii="Times New Roman"/>
                <w:snapToGrid w:val="0"/>
                <w:kern w:val="21"/>
                <w:sz w:val="21"/>
                <w:szCs w:val="21"/>
              </w:rPr>
              <w:t>危险废物</w:t>
            </w:r>
          </w:p>
        </w:tc>
        <w:tc>
          <w:tcPr>
            <w:tcW w:w="1365" w:type="dxa"/>
            <w:vAlign w:val="center"/>
          </w:tcPr>
          <w:p w14:paraId="050A4279">
            <w:pPr>
              <w:pStyle w:val="8"/>
              <w:adjustRightInd w:val="0"/>
              <w:snapToGrid w:val="0"/>
              <w:jc w:val="center"/>
              <w:rPr>
                <w:szCs w:val="21"/>
              </w:rPr>
            </w:pPr>
            <w:r>
              <w:rPr>
                <w:szCs w:val="21"/>
              </w:rPr>
              <w:t>污泥</w:t>
            </w:r>
          </w:p>
        </w:tc>
        <w:tc>
          <w:tcPr>
            <w:tcW w:w="1575" w:type="dxa"/>
            <w:vAlign w:val="center"/>
          </w:tcPr>
          <w:p w14:paraId="0C528673">
            <w:pPr>
              <w:pStyle w:val="8"/>
              <w:adjustRightInd w:val="0"/>
              <w:snapToGrid w:val="0"/>
              <w:jc w:val="center"/>
              <w:rPr>
                <w:b/>
                <w:bCs/>
                <w:szCs w:val="21"/>
              </w:rPr>
            </w:pPr>
            <w:r>
              <w:rPr>
                <w:rFonts w:hint="eastAsia"/>
                <w:szCs w:val="21"/>
              </w:rPr>
              <w:t>27.3</w:t>
            </w:r>
          </w:p>
        </w:tc>
        <w:tc>
          <w:tcPr>
            <w:tcW w:w="1276" w:type="dxa"/>
            <w:vAlign w:val="center"/>
          </w:tcPr>
          <w:p w14:paraId="33E71504">
            <w:pPr>
              <w:pStyle w:val="8"/>
              <w:adjustRightInd w:val="0"/>
              <w:snapToGrid w:val="0"/>
              <w:jc w:val="center"/>
              <w:rPr>
                <w:snapToGrid w:val="0"/>
                <w:kern w:val="21"/>
                <w:szCs w:val="21"/>
              </w:rPr>
            </w:pPr>
            <w:r>
              <w:rPr>
                <w:rFonts w:hint="eastAsia"/>
                <w:szCs w:val="21"/>
              </w:rPr>
              <w:t>27.3</w:t>
            </w:r>
          </w:p>
        </w:tc>
        <w:tc>
          <w:tcPr>
            <w:tcW w:w="1701" w:type="dxa"/>
            <w:vAlign w:val="center"/>
          </w:tcPr>
          <w:p w14:paraId="63B7F754">
            <w:pPr>
              <w:jc w:val="center"/>
              <w:rPr>
                <w:snapToGrid w:val="0"/>
                <w:kern w:val="21"/>
                <w:szCs w:val="21"/>
              </w:rPr>
            </w:pPr>
            <w:r>
              <w:rPr>
                <w:snapToGrid w:val="0"/>
                <w:kern w:val="21"/>
                <w:szCs w:val="21"/>
              </w:rPr>
              <w:t>0</w:t>
            </w:r>
          </w:p>
        </w:tc>
        <w:tc>
          <w:tcPr>
            <w:tcW w:w="1559" w:type="dxa"/>
            <w:vAlign w:val="center"/>
          </w:tcPr>
          <w:p w14:paraId="589A3166">
            <w:pPr>
              <w:pStyle w:val="47"/>
              <w:adjustRightInd w:val="0"/>
              <w:snapToGrid w:val="0"/>
              <w:rPr>
                <w:rFonts w:eastAsia="宋体"/>
                <w:kern w:val="0"/>
              </w:rPr>
            </w:pPr>
            <w:r>
              <w:rPr>
                <w:rFonts w:hint="eastAsia" w:eastAsia="宋体"/>
                <w:kern w:val="0"/>
              </w:rPr>
              <w:t>10.6</w:t>
            </w:r>
          </w:p>
        </w:tc>
        <w:tc>
          <w:tcPr>
            <w:tcW w:w="1645" w:type="dxa"/>
            <w:vAlign w:val="center"/>
          </w:tcPr>
          <w:p w14:paraId="4D2CFD61">
            <w:pPr>
              <w:jc w:val="center"/>
              <w:rPr>
                <w:snapToGrid w:val="0"/>
                <w:kern w:val="21"/>
                <w:szCs w:val="21"/>
              </w:rPr>
            </w:pPr>
            <w:r>
              <w:rPr>
                <w:szCs w:val="21"/>
              </w:rPr>
              <w:t>/</w:t>
            </w:r>
          </w:p>
        </w:tc>
        <w:tc>
          <w:tcPr>
            <w:tcW w:w="1715" w:type="dxa"/>
            <w:vAlign w:val="center"/>
          </w:tcPr>
          <w:p w14:paraId="4ECC90CD">
            <w:pPr>
              <w:jc w:val="center"/>
              <w:rPr>
                <w:sz w:val="24"/>
              </w:rPr>
            </w:pPr>
            <w:r>
              <w:t>37.9</w:t>
            </w:r>
          </w:p>
        </w:tc>
        <w:tc>
          <w:tcPr>
            <w:tcW w:w="1186" w:type="dxa"/>
            <w:vAlign w:val="center"/>
          </w:tcPr>
          <w:p w14:paraId="5CB525B4">
            <w:pPr>
              <w:pStyle w:val="47"/>
              <w:adjustRightInd w:val="0"/>
              <w:snapToGrid w:val="0"/>
              <w:rPr>
                <w:rFonts w:eastAsia="宋体"/>
                <w:kern w:val="0"/>
              </w:rPr>
            </w:pPr>
            <w:r>
              <w:rPr>
                <w:rFonts w:hint="eastAsia" w:eastAsia="宋体"/>
                <w:kern w:val="0"/>
              </w:rPr>
              <w:t>+10.6</w:t>
            </w:r>
          </w:p>
        </w:tc>
      </w:tr>
      <w:tr w14:paraId="25DE1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672787BF">
            <w:pPr>
              <w:pStyle w:val="43"/>
              <w:spacing w:beforeLines="0" w:afterLines="0" w:line="240" w:lineRule="auto"/>
              <w:rPr>
                <w:rFonts w:ascii="Times New Roman"/>
                <w:snapToGrid w:val="0"/>
                <w:kern w:val="21"/>
                <w:sz w:val="21"/>
                <w:szCs w:val="21"/>
              </w:rPr>
            </w:pPr>
          </w:p>
        </w:tc>
        <w:tc>
          <w:tcPr>
            <w:tcW w:w="1365" w:type="dxa"/>
            <w:vAlign w:val="center"/>
          </w:tcPr>
          <w:p w14:paraId="01F7DF50">
            <w:pPr>
              <w:pStyle w:val="8"/>
              <w:adjustRightInd w:val="0"/>
              <w:snapToGrid w:val="0"/>
              <w:jc w:val="center"/>
              <w:rPr>
                <w:szCs w:val="21"/>
              </w:rPr>
            </w:pPr>
            <w:r>
              <w:rPr>
                <w:szCs w:val="21"/>
              </w:rPr>
              <w:t>废活性炭</w:t>
            </w:r>
          </w:p>
        </w:tc>
        <w:tc>
          <w:tcPr>
            <w:tcW w:w="1575" w:type="dxa"/>
            <w:vAlign w:val="center"/>
          </w:tcPr>
          <w:p w14:paraId="73407B3F">
            <w:pPr>
              <w:pStyle w:val="8"/>
              <w:adjustRightInd w:val="0"/>
              <w:snapToGrid w:val="0"/>
              <w:jc w:val="center"/>
              <w:rPr>
                <w:szCs w:val="21"/>
              </w:rPr>
            </w:pPr>
            <w:r>
              <w:rPr>
                <w:rFonts w:hint="eastAsia"/>
                <w:szCs w:val="21"/>
              </w:rPr>
              <w:t>45.6</w:t>
            </w:r>
          </w:p>
        </w:tc>
        <w:tc>
          <w:tcPr>
            <w:tcW w:w="1276" w:type="dxa"/>
            <w:vAlign w:val="center"/>
          </w:tcPr>
          <w:p w14:paraId="1002C5B0">
            <w:pPr>
              <w:pStyle w:val="8"/>
              <w:adjustRightInd w:val="0"/>
              <w:snapToGrid w:val="0"/>
              <w:jc w:val="center"/>
              <w:rPr>
                <w:snapToGrid w:val="0"/>
                <w:kern w:val="21"/>
                <w:szCs w:val="21"/>
              </w:rPr>
            </w:pPr>
            <w:r>
              <w:rPr>
                <w:rFonts w:hint="eastAsia"/>
                <w:szCs w:val="21"/>
              </w:rPr>
              <w:t>45.6</w:t>
            </w:r>
          </w:p>
        </w:tc>
        <w:tc>
          <w:tcPr>
            <w:tcW w:w="1701" w:type="dxa"/>
            <w:vAlign w:val="center"/>
          </w:tcPr>
          <w:p w14:paraId="2AEFB31E">
            <w:pPr>
              <w:jc w:val="center"/>
              <w:rPr>
                <w:snapToGrid w:val="0"/>
                <w:kern w:val="21"/>
                <w:szCs w:val="21"/>
              </w:rPr>
            </w:pPr>
            <w:r>
              <w:rPr>
                <w:snapToGrid w:val="0"/>
                <w:kern w:val="21"/>
                <w:szCs w:val="21"/>
              </w:rPr>
              <w:t>0</w:t>
            </w:r>
          </w:p>
        </w:tc>
        <w:tc>
          <w:tcPr>
            <w:tcW w:w="1559" w:type="dxa"/>
            <w:vAlign w:val="center"/>
          </w:tcPr>
          <w:p w14:paraId="1A461E6F">
            <w:pPr>
              <w:adjustRightInd w:val="0"/>
              <w:snapToGrid w:val="0"/>
              <w:jc w:val="center"/>
              <w:rPr>
                <w:kern w:val="0"/>
                <w:szCs w:val="21"/>
              </w:rPr>
            </w:pPr>
            <w:r>
              <w:rPr>
                <w:rFonts w:hint="eastAsia"/>
                <w:kern w:val="0"/>
              </w:rPr>
              <w:t>15.75</w:t>
            </w:r>
          </w:p>
        </w:tc>
        <w:tc>
          <w:tcPr>
            <w:tcW w:w="1645" w:type="dxa"/>
            <w:vAlign w:val="center"/>
          </w:tcPr>
          <w:p w14:paraId="4E5F56B1">
            <w:pPr>
              <w:jc w:val="center"/>
              <w:rPr>
                <w:snapToGrid w:val="0"/>
                <w:kern w:val="21"/>
                <w:szCs w:val="21"/>
              </w:rPr>
            </w:pPr>
            <w:r>
              <w:rPr>
                <w:szCs w:val="21"/>
              </w:rPr>
              <w:t>/</w:t>
            </w:r>
          </w:p>
        </w:tc>
        <w:tc>
          <w:tcPr>
            <w:tcW w:w="1715" w:type="dxa"/>
            <w:vAlign w:val="center"/>
          </w:tcPr>
          <w:p w14:paraId="457083A3">
            <w:pPr>
              <w:jc w:val="center"/>
              <w:rPr>
                <w:sz w:val="24"/>
              </w:rPr>
            </w:pPr>
            <w:r>
              <w:t>61.35</w:t>
            </w:r>
          </w:p>
        </w:tc>
        <w:tc>
          <w:tcPr>
            <w:tcW w:w="1186" w:type="dxa"/>
            <w:vAlign w:val="center"/>
          </w:tcPr>
          <w:p w14:paraId="3584B8D2">
            <w:pPr>
              <w:adjustRightInd w:val="0"/>
              <w:snapToGrid w:val="0"/>
              <w:jc w:val="center"/>
              <w:rPr>
                <w:kern w:val="0"/>
                <w:szCs w:val="21"/>
              </w:rPr>
            </w:pPr>
            <w:r>
              <w:rPr>
                <w:rFonts w:hint="eastAsia"/>
                <w:kern w:val="0"/>
              </w:rPr>
              <w:t>+15.75</w:t>
            </w:r>
          </w:p>
        </w:tc>
      </w:tr>
      <w:tr w14:paraId="1704E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30562DC1">
            <w:pPr>
              <w:pStyle w:val="43"/>
              <w:spacing w:beforeLines="0" w:afterLines="0" w:line="240" w:lineRule="auto"/>
              <w:rPr>
                <w:rFonts w:ascii="Times New Roman"/>
                <w:snapToGrid w:val="0"/>
                <w:kern w:val="21"/>
                <w:sz w:val="21"/>
                <w:szCs w:val="21"/>
              </w:rPr>
            </w:pPr>
          </w:p>
        </w:tc>
        <w:tc>
          <w:tcPr>
            <w:tcW w:w="1365" w:type="dxa"/>
            <w:vAlign w:val="center"/>
          </w:tcPr>
          <w:p w14:paraId="5C0DF7E0">
            <w:pPr>
              <w:pStyle w:val="8"/>
              <w:adjustRightInd w:val="0"/>
              <w:snapToGrid w:val="0"/>
              <w:jc w:val="center"/>
              <w:rPr>
                <w:szCs w:val="21"/>
              </w:rPr>
            </w:pPr>
            <w:r>
              <w:rPr>
                <w:szCs w:val="21"/>
              </w:rPr>
              <w:t>废包装桶</w:t>
            </w:r>
          </w:p>
        </w:tc>
        <w:tc>
          <w:tcPr>
            <w:tcW w:w="1575" w:type="dxa"/>
            <w:vAlign w:val="center"/>
          </w:tcPr>
          <w:p w14:paraId="49F35B0C">
            <w:pPr>
              <w:pStyle w:val="8"/>
              <w:adjustRightInd w:val="0"/>
              <w:snapToGrid w:val="0"/>
              <w:jc w:val="center"/>
              <w:rPr>
                <w:szCs w:val="21"/>
              </w:rPr>
            </w:pPr>
            <w:r>
              <w:rPr>
                <w:rFonts w:hint="eastAsia"/>
                <w:szCs w:val="21"/>
              </w:rPr>
              <w:t>0.88</w:t>
            </w:r>
          </w:p>
        </w:tc>
        <w:tc>
          <w:tcPr>
            <w:tcW w:w="1276" w:type="dxa"/>
            <w:vAlign w:val="center"/>
          </w:tcPr>
          <w:p w14:paraId="15A0088D">
            <w:pPr>
              <w:pStyle w:val="8"/>
              <w:adjustRightInd w:val="0"/>
              <w:snapToGrid w:val="0"/>
              <w:jc w:val="center"/>
              <w:rPr>
                <w:snapToGrid w:val="0"/>
                <w:kern w:val="21"/>
                <w:szCs w:val="21"/>
              </w:rPr>
            </w:pPr>
            <w:r>
              <w:rPr>
                <w:rFonts w:hint="eastAsia"/>
                <w:szCs w:val="21"/>
              </w:rPr>
              <w:t>0.88</w:t>
            </w:r>
          </w:p>
        </w:tc>
        <w:tc>
          <w:tcPr>
            <w:tcW w:w="1701" w:type="dxa"/>
            <w:vAlign w:val="center"/>
          </w:tcPr>
          <w:p w14:paraId="1E40D825">
            <w:pPr>
              <w:jc w:val="center"/>
              <w:rPr>
                <w:snapToGrid w:val="0"/>
                <w:kern w:val="21"/>
                <w:szCs w:val="21"/>
              </w:rPr>
            </w:pPr>
            <w:r>
              <w:rPr>
                <w:snapToGrid w:val="0"/>
                <w:kern w:val="21"/>
                <w:szCs w:val="21"/>
              </w:rPr>
              <w:t>0</w:t>
            </w:r>
          </w:p>
        </w:tc>
        <w:tc>
          <w:tcPr>
            <w:tcW w:w="1559" w:type="dxa"/>
            <w:vAlign w:val="center"/>
          </w:tcPr>
          <w:p w14:paraId="62916E42">
            <w:pPr>
              <w:adjustRightInd w:val="0"/>
              <w:snapToGrid w:val="0"/>
              <w:jc w:val="center"/>
              <w:rPr>
                <w:kern w:val="0"/>
                <w:szCs w:val="21"/>
              </w:rPr>
            </w:pPr>
            <w:r>
              <w:rPr>
                <w:rFonts w:hint="eastAsia"/>
                <w:kern w:val="0"/>
              </w:rPr>
              <w:t>0.1</w:t>
            </w:r>
          </w:p>
        </w:tc>
        <w:tc>
          <w:tcPr>
            <w:tcW w:w="1645" w:type="dxa"/>
            <w:vAlign w:val="center"/>
          </w:tcPr>
          <w:p w14:paraId="5096B964">
            <w:pPr>
              <w:jc w:val="center"/>
              <w:rPr>
                <w:snapToGrid w:val="0"/>
                <w:kern w:val="21"/>
                <w:szCs w:val="21"/>
              </w:rPr>
            </w:pPr>
            <w:r>
              <w:rPr>
                <w:szCs w:val="21"/>
              </w:rPr>
              <w:t>/</w:t>
            </w:r>
          </w:p>
        </w:tc>
        <w:tc>
          <w:tcPr>
            <w:tcW w:w="1715" w:type="dxa"/>
            <w:vAlign w:val="center"/>
          </w:tcPr>
          <w:p w14:paraId="1BF98AEF">
            <w:pPr>
              <w:jc w:val="center"/>
              <w:rPr>
                <w:sz w:val="24"/>
              </w:rPr>
            </w:pPr>
            <w:r>
              <w:t>0.98</w:t>
            </w:r>
          </w:p>
        </w:tc>
        <w:tc>
          <w:tcPr>
            <w:tcW w:w="1186" w:type="dxa"/>
            <w:vAlign w:val="center"/>
          </w:tcPr>
          <w:p w14:paraId="281CE162">
            <w:pPr>
              <w:adjustRightInd w:val="0"/>
              <w:snapToGrid w:val="0"/>
              <w:jc w:val="center"/>
              <w:rPr>
                <w:kern w:val="0"/>
                <w:szCs w:val="21"/>
              </w:rPr>
            </w:pPr>
            <w:r>
              <w:rPr>
                <w:rFonts w:hint="eastAsia"/>
                <w:kern w:val="0"/>
              </w:rPr>
              <w:t>+0.1</w:t>
            </w:r>
          </w:p>
        </w:tc>
      </w:tr>
      <w:tr w14:paraId="44D50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5F03233F">
            <w:pPr>
              <w:pStyle w:val="43"/>
              <w:spacing w:beforeLines="0" w:afterLines="0" w:line="240" w:lineRule="auto"/>
              <w:rPr>
                <w:rFonts w:ascii="Times New Roman"/>
                <w:snapToGrid w:val="0"/>
                <w:kern w:val="21"/>
                <w:sz w:val="21"/>
                <w:szCs w:val="21"/>
              </w:rPr>
            </w:pPr>
          </w:p>
        </w:tc>
        <w:tc>
          <w:tcPr>
            <w:tcW w:w="1365" w:type="dxa"/>
            <w:vAlign w:val="center"/>
          </w:tcPr>
          <w:p w14:paraId="3713889E">
            <w:pPr>
              <w:pStyle w:val="47"/>
              <w:adjustRightInd w:val="0"/>
              <w:snapToGrid w:val="0"/>
              <w:rPr>
                <w:rFonts w:eastAsia="宋体"/>
                <w:kern w:val="0"/>
              </w:rPr>
            </w:pPr>
            <w:r>
              <w:rPr>
                <w:rFonts w:eastAsia="宋体"/>
                <w:kern w:val="0"/>
              </w:rPr>
              <w:t>废切削液</w:t>
            </w:r>
          </w:p>
        </w:tc>
        <w:tc>
          <w:tcPr>
            <w:tcW w:w="1575" w:type="dxa"/>
            <w:vAlign w:val="center"/>
          </w:tcPr>
          <w:p w14:paraId="1A626616">
            <w:pPr>
              <w:pStyle w:val="8"/>
              <w:adjustRightInd w:val="0"/>
              <w:snapToGrid w:val="0"/>
              <w:jc w:val="center"/>
              <w:rPr>
                <w:szCs w:val="21"/>
              </w:rPr>
            </w:pPr>
            <w:r>
              <w:rPr>
                <w:szCs w:val="21"/>
              </w:rPr>
              <w:t>0</w:t>
            </w:r>
          </w:p>
        </w:tc>
        <w:tc>
          <w:tcPr>
            <w:tcW w:w="1276" w:type="dxa"/>
            <w:vAlign w:val="center"/>
          </w:tcPr>
          <w:p w14:paraId="26BF602B">
            <w:pPr>
              <w:jc w:val="center"/>
              <w:rPr>
                <w:snapToGrid w:val="0"/>
                <w:kern w:val="21"/>
                <w:szCs w:val="21"/>
              </w:rPr>
            </w:pPr>
            <w:r>
              <w:rPr>
                <w:snapToGrid w:val="0"/>
                <w:kern w:val="21"/>
                <w:szCs w:val="21"/>
              </w:rPr>
              <w:t>0</w:t>
            </w:r>
          </w:p>
        </w:tc>
        <w:tc>
          <w:tcPr>
            <w:tcW w:w="1701" w:type="dxa"/>
            <w:vAlign w:val="center"/>
          </w:tcPr>
          <w:p w14:paraId="6DA5CD40">
            <w:pPr>
              <w:jc w:val="center"/>
              <w:rPr>
                <w:snapToGrid w:val="0"/>
                <w:kern w:val="21"/>
                <w:szCs w:val="21"/>
              </w:rPr>
            </w:pPr>
            <w:r>
              <w:rPr>
                <w:snapToGrid w:val="0"/>
                <w:kern w:val="21"/>
                <w:szCs w:val="21"/>
              </w:rPr>
              <w:t>0</w:t>
            </w:r>
          </w:p>
        </w:tc>
        <w:tc>
          <w:tcPr>
            <w:tcW w:w="1559" w:type="dxa"/>
            <w:vAlign w:val="center"/>
          </w:tcPr>
          <w:p w14:paraId="5A893BF1">
            <w:pPr>
              <w:pStyle w:val="47"/>
              <w:adjustRightInd w:val="0"/>
              <w:snapToGrid w:val="0"/>
              <w:rPr>
                <w:rFonts w:eastAsia="宋体"/>
                <w:kern w:val="0"/>
              </w:rPr>
            </w:pPr>
            <w:r>
              <w:rPr>
                <w:rFonts w:eastAsia="宋体"/>
                <w:kern w:val="0"/>
              </w:rPr>
              <w:t>1.4</w:t>
            </w:r>
          </w:p>
        </w:tc>
        <w:tc>
          <w:tcPr>
            <w:tcW w:w="1645" w:type="dxa"/>
            <w:vAlign w:val="center"/>
          </w:tcPr>
          <w:p w14:paraId="511C613A">
            <w:pPr>
              <w:jc w:val="center"/>
              <w:rPr>
                <w:snapToGrid w:val="0"/>
                <w:kern w:val="21"/>
                <w:szCs w:val="21"/>
              </w:rPr>
            </w:pPr>
            <w:r>
              <w:rPr>
                <w:szCs w:val="21"/>
              </w:rPr>
              <w:t>/</w:t>
            </w:r>
          </w:p>
        </w:tc>
        <w:tc>
          <w:tcPr>
            <w:tcW w:w="1715" w:type="dxa"/>
            <w:vAlign w:val="center"/>
          </w:tcPr>
          <w:p w14:paraId="24CD1DB5">
            <w:pPr>
              <w:jc w:val="center"/>
              <w:rPr>
                <w:sz w:val="24"/>
              </w:rPr>
            </w:pPr>
            <w:r>
              <w:t>1.4</w:t>
            </w:r>
          </w:p>
        </w:tc>
        <w:tc>
          <w:tcPr>
            <w:tcW w:w="1186" w:type="dxa"/>
            <w:vAlign w:val="center"/>
          </w:tcPr>
          <w:p w14:paraId="14A6FBDE">
            <w:pPr>
              <w:pStyle w:val="47"/>
              <w:adjustRightInd w:val="0"/>
              <w:snapToGrid w:val="0"/>
              <w:rPr>
                <w:rFonts w:eastAsia="宋体"/>
                <w:kern w:val="0"/>
              </w:rPr>
            </w:pPr>
            <w:r>
              <w:rPr>
                <w:rFonts w:eastAsia="宋体"/>
                <w:kern w:val="0"/>
              </w:rPr>
              <w:t>+1.4</w:t>
            </w:r>
          </w:p>
        </w:tc>
      </w:tr>
      <w:tr w14:paraId="26A9D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2994C25F">
            <w:pPr>
              <w:pStyle w:val="43"/>
              <w:spacing w:beforeLines="0" w:afterLines="0" w:line="240" w:lineRule="auto"/>
              <w:rPr>
                <w:rFonts w:ascii="Times New Roman"/>
                <w:snapToGrid w:val="0"/>
                <w:kern w:val="21"/>
                <w:sz w:val="21"/>
                <w:szCs w:val="21"/>
              </w:rPr>
            </w:pPr>
          </w:p>
        </w:tc>
        <w:tc>
          <w:tcPr>
            <w:tcW w:w="1365" w:type="dxa"/>
            <w:vAlign w:val="center"/>
          </w:tcPr>
          <w:p w14:paraId="2E1C65B0">
            <w:pPr>
              <w:pStyle w:val="47"/>
              <w:adjustRightInd w:val="0"/>
              <w:snapToGrid w:val="0"/>
              <w:rPr>
                <w:rFonts w:eastAsia="宋体"/>
                <w:kern w:val="0"/>
              </w:rPr>
            </w:pPr>
            <w:r>
              <w:rPr>
                <w:rFonts w:eastAsia="宋体"/>
                <w:kern w:val="0"/>
              </w:rPr>
              <w:t>废胶黏剂</w:t>
            </w:r>
          </w:p>
        </w:tc>
        <w:tc>
          <w:tcPr>
            <w:tcW w:w="1575" w:type="dxa"/>
            <w:vAlign w:val="center"/>
          </w:tcPr>
          <w:p w14:paraId="1E505CE3">
            <w:pPr>
              <w:pStyle w:val="8"/>
              <w:adjustRightInd w:val="0"/>
              <w:snapToGrid w:val="0"/>
              <w:jc w:val="center"/>
              <w:rPr>
                <w:szCs w:val="21"/>
              </w:rPr>
            </w:pPr>
            <w:r>
              <w:rPr>
                <w:rFonts w:hint="eastAsia"/>
                <w:szCs w:val="21"/>
              </w:rPr>
              <w:t>3.62</w:t>
            </w:r>
          </w:p>
        </w:tc>
        <w:tc>
          <w:tcPr>
            <w:tcW w:w="1276" w:type="dxa"/>
            <w:vAlign w:val="center"/>
          </w:tcPr>
          <w:p w14:paraId="74C8CB6F">
            <w:pPr>
              <w:jc w:val="center"/>
              <w:rPr>
                <w:snapToGrid w:val="0"/>
                <w:kern w:val="21"/>
                <w:szCs w:val="21"/>
              </w:rPr>
            </w:pPr>
            <w:r>
              <w:rPr>
                <w:rFonts w:hint="eastAsia"/>
                <w:szCs w:val="21"/>
              </w:rPr>
              <w:t>3.62</w:t>
            </w:r>
          </w:p>
        </w:tc>
        <w:tc>
          <w:tcPr>
            <w:tcW w:w="1701" w:type="dxa"/>
            <w:vAlign w:val="center"/>
          </w:tcPr>
          <w:p w14:paraId="2C160DE1">
            <w:pPr>
              <w:jc w:val="center"/>
              <w:rPr>
                <w:snapToGrid w:val="0"/>
                <w:kern w:val="21"/>
                <w:szCs w:val="21"/>
              </w:rPr>
            </w:pPr>
            <w:r>
              <w:rPr>
                <w:snapToGrid w:val="0"/>
                <w:kern w:val="21"/>
                <w:szCs w:val="21"/>
              </w:rPr>
              <w:t>0</w:t>
            </w:r>
          </w:p>
        </w:tc>
        <w:tc>
          <w:tcPr>
            <w:tcW w:w="1559" w:type="dxa"/>
            <w:vAlign w:val="center"/>
          </w:tcPr>
          <w:p w14:paraId="613E601E">
            <w:pPr>
              <w:pStyle w:val="47"/>
              <w:adjustRightInd w:val="0"/>
              <w:snapToGrid w:val="0"/>
              <w:rPr>
                <w:rFonts w:eastAsia="宋体"/>
                <w:kern w:val="0"/>
              </w:rPr>
            </w:pPr>
            <w:r>
              <w:rPr>
                <w:rFonts w:hint="eastAsia" w:eastAsia="宋体"/>
                <w:kern w:val="0"/>
              </w:rPr>
              <w:t>0.2</w:t>
            </w:r>
          </w:p>
        </w:tc>
        <w:tc>
          <w:tcPr>
            <w:tcW w:w="1645" w:type="dxa"/>
            <w:vAlign w:val="center"/>
          </w:tcPr>
          <w:p w14:paraId="509E16E2">
            <w:pPr>
              <w:jc w:val="center"/>
              <w:rPr>
                <w:snapToGrid w:val="0"/>
                <w:kern w:val="21"/>
                <w:szCs w:val="21"/>
              </w:rPr>
            </w:pPr>
            <w:r>
              <w:rPr>
                <w:szCs w:val="21"/>
              </w:rPr>
              <w:t>/</w:t>
            </w:r>
          </w:p>
        </w:tc>
        <w:tc>
          <w:tcPr>
            <w:tcW w:w="1715" w:type="dxa"/>
            <w:vAlign w:val="center"/>
          </w:tcPr>
          <w:p w14:paraId="71C8FE5E">
            <w:pPr>
              <w:jc w:val="center"/>
              <w:rPr>
                <w:sz w:val="24"/>
              </w:rPr>
            </w:pPr>
            <w:r>
              <w:t>3.82</w:t>
            </w:r>
          </w:p>
        </w:tc>
        <w:tc>
          <w:tcPr>
            <w:tcW w:w="1186" w:type="dxa"/>
            <w:vAlign w:val="center"/>
          </w:tcPr>
          <w:p w14:paraId="0D02C59D">
            <w:pPr>
              <w:pStyle w:val="47"/>
              <w:adjustRightInd w:val="0"/>
              <w:snapToGrid w:val="0"/>
              <w:rPr>
                <w:rFonts w:eastAsia="宋体"/>
                <w:kern w:val="0"/>
              </w:rPr>
            </w:pPr>
            <w:r>
              <w:rPr>
                <w:rFonts w:hint="eastAsia" w:eastAsia="宋体"/>
                <w:kern w:val="0"/>
              </w:rPr>
              <w:t>+0.2</w:t>
            </w:r>
          </w:p>
        </w:tc>
      </w:tr>
      <w:tr w14:paraId="05AF7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1DDAF4FC">
            <w:pPr>
              <w:pStyle w:val="43"/>
              <w:spacing w:beforeLines="0" w:afterLines="0" w:line="240" w:lineRule="auto"/>
              <w:rPr>
                <w:rFonts w:ascii="Times New Roman"/>
                <w:snapToGrid w:val="0"/>
                <w:kern w:val="21"/>
                <w:sz w:val="21"/>
                <w:szCs w:val="21"/>
              </w:rPr>
            </w:pPr>
          </w:p>
        </w:tc>
        <w:tc>
          <w:tcPr>
            <w:tcW w:w="1365" w:type="dxa"/>
            <w:vAlign w:val="center"/>
          </w:tcPr>
          <w:p w14:paraId="67FD6637">
            <w:pPr>
              <w:pStyle w:val="47"/>
              <w:adjustRightInd w:val="0"/>
              <w:snapToGrid w:val="0"/>
              <w:rPr>
                <w:rFonts w:eastAsia="宋体"/>
                <w:kern w:val="0"/>
              </w:rPr>
            </w:pPr>
            <w:r>
              <w:rPr>
                <w:rFonts w:eastAsia="宋体"/>
                <w:kern w:val="0"/>
              </w:rPr>
              <w:t>蒸发器残渣</w:t>
            </w:r>
          </w:p>
        </w:tc>
        <w:tc>
          <w:tcPr>
            <w:tcW w:w="1575" w:type="dxa"/>
            <w:shd w:val="clear" w:color="auto" w:fill="auto"/>
            <w:vAlign w:val="center"/>
          </w:tcPr>
          <w:p w14:paraId="15D5B30C">
            <w:pPr>
              <w:pStyle w:val="8"/>
              <w:adjustRightInd w:val="0"/>
              <w:snapToGrid w:val="0"/>
              <w:jc w:val="center"/>
              <w:rPr>
                <w:rFonts w:hint="eastAsia" w:eastAsia="宋体"/>
                <w:szCs w:val="21"/>
                <w:lang w:eastAsia="zh-CN"/>
              </w:rPr>
            </w:pPr>
            <w:r>
              <w:rPr>
                <w:rFonts w:hint="eastAsia"/>
                <w:szCs w:val="21"/>
              </w:rPr>
              <w:t>18.</w:t>
            </w:r>
            <w:r>
              <w:rPr>
                <w:rFonts w:hint="eastAsia"/>
                <w:szCs w:val="21"/>
                <w:lang w:val="en-US" w:eastAsia="zh-CN"/>
              </w:rPr>
              <w:t>4</w:t>
            </w:r>
          </w:p>
        </w:tc>
        <w:tc>
          <w:tcPr>
            <w:tcW w:w="1276" w:type="dxa"/>
            <w:shd w:val="clear" w:color="auto" w:fill="auto"/>
            <w:vAlign w:val="center"/>
          </w:tcPr>
          <w:p w14:paraId="567FC323">
            <w:pPr>
              <w:jc w:val="center"/>
              <w:rPr>
                <w:rFonts w:hint="eastAsia" w:eastAsia="宋体"/>
                <w:snapToGrid w:val="0"/>
                <w:kern w:val="21"/>
                <w:szCs w:val="21"/>
                <w:lang w:eastAsia="zh-CN"/>
              </w:rPr>
            </w:pPr>
            <w:r>
              <w:rPr>
                <w:rFonts w:hint="eastAsia"/>
                <w:szCs w:val="21"/>
              </w:rPr>
              <w:t>18.</w:t>
            </w:r>
            <w:r>
              <w:rPr>
                <w:rFonts w:hint="eastAsia"/>
                <w:szCs w:val="21"/>
                <w:lang w:val="en-US" w:eastAsia="zh-CN"/>
              </w:rPr>
              <w:t>4</w:t>
            </w:r>
          </w:p>
        </w:tc>
        <w:tc>
          <w:tcPr>
            <w:tcW w:w="1701" w:type="dxa"/>
            <w:shd w:val="clear" w:color="auto" w:fill="auto"/>
            <w:vAlign w:val="center"/>
          </w:tcPr>
          <w:p w14:paraId="78545990">
            <w:pPr>
              <w:jc w:val="center"/>
              <w:rPr>
                <w:snapToGrid w:val="0"/>
                <w:kern w:val="21"/>
                <w:szCs w:val="21"/>
              </w:rPr>
            </w:pPr>
            <w:r>
              <w:rPr>
                <w:snapToGrid w:val="0"/>
                <w:kern w:val="21"/>
                <w:szCs w:val="21"/>
              </w:rPr>
              <w:t>0</w:t>
            </w:r>
          </w:p>
        </w:tc>
        <w:tc>
          <w:tcPr>
            <w:tcW w:w="1559" w:type="dxa"/>
            <w:vAlign w:val="center"/>
          </w:tcPr>
          <w:p w14:paraId="046D90F4">
            <w:pPr>
              <w:pStyle w:val="47"/>
              <w:adjustRightInd w:val="0"/>
              <w:snapToGrid w:val="0"/>
              <w:rPr>
                <w:rFonts w:eastAsia="宋体"/>
                <w:kern w:val="0"/>
              </w:rPr>
            </w:pPr>
            <w:r>
              <w:rPr>
                <w:rFonts w:hint="eastAsia" w:eastAsia="宋体"/>
                <w:kern w:val="0"/>
              </w:rPr>
              <w:t>9.1</w:t>
            </w:r>
          </w:p>
        </w:tc>
        <w:tc>
          <w:tcPr>
            <w:tcW w:w="1645" w:type="dxa"/>
            <w:vAlign w:val="center"/>
          </w:tcPr>
          <w:p w14:paraId="5E348F61">
            <w:pPr>
              <w:jc w:val="center"/>
              <w:rPr>
                <w:szCs w:val="21"/>
              </w:rPr>
            </w:pPr>
            <w:r>
              <w:rPr>
                <w:szCs w:val="21"/>
              </w:rPr>
              <w:t>/</w:t>
            </w:r>
          </w:p>
        </w:tc>
        <w:tc>
          <w:tcPr>
            <w:tcW w:w="1715" w:type="dxa"/>
            <w:vAlign w:val="center"/>
          </w:tcPr>
          <w:p w14:paraId="3C1B323C">
            <w:pPr>
              <w:jc w:val="center"/>
              <w:rPr>
                <w:sz w:val="24"/>
              </w:rPr>
            </w:pPr>
            <w:r>
              <w:t>27.6</w:t>
            </w:r>
          </w:p>
        </w:tc>
        <w:tc>
          <w:tcPr>
            <w:tcW w:w="1186" w:type="dxa"/>
            <w:vAlign w:val="center"/>
          </w:tcPr>
          <w:p w14:paraId="2943E91B">
            <w:pPr>
              <w:pStyle w:val="47"/>
              <w:adjustRightInd w:val="0"/>
              <w:snapToGrid w:val="0"/>
              <w:rPr>
                <w:rFonts w:eastAsia="宋体"/>
                <w:kern w:val="0"/>
              </w:rPr>
            </w:pPr>
            <w:r>
              <w:rPr>
                <w:rFonts w:hint="eastAsia" w:eastAsia="宋体"/>
                <w:kern w:val="0"/>
              </w:rPr>
              <w:t>+9.1</w:t>
            </w:r>
          </w:p>
        </w:tc>
      </w:tr>
      <w:tr w14:paraId="1AB36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248C53B5">
            <w:pPr>
              <w:pStyle w:val="43"/>
              <w:spacing w:beforeLines="0" w:afterLines="0" w:line="240" w:lineRule="auto"/>
              <w:rPr>
                <w:rFonts w:ascii="Times New Roman"/>
                <w:snapToGrid w:val="0"/>
                <w:kern w:val="21"/>
                <w:sz w:val="21"/>
                <w:szCs w:val="21"/>
              </w:rPr>
            </w:pPr>
          </w:p>
        </w:tc>
        <w:tc>
          <w:tcPr>
            <w:tcW w:w="1365" w:type="dxa"/>
            <w:vAlign w:val="center"/>
          </w:tcPr>
          <w:p w14:paraId="35B6780B">
            <w:pPr>
              <w:pStyle w:val="47"/>
              <w:adjustRightInd w:val="0"/>
              <w:snapToGrid w:val="0"/>
              <w:rPr>
                <w:rFonts w:eastAsia="宋体"/>
                <w:kern w:val="0"/>
              </w:rPr>
            </w:pPr>
            <w:r>
              <w:rPr>
                <w:rFonts w:eastAsia="宋体"/>
                <w:kern w:val="0"/>
              </w:rPr>
              <w:t>废矿物油</w:t>
            </w:r>
          </w:p>
        </w:tc>
        <w:tc>
          <w:tcPr>
            <w:tcW w:w="1575" w:type="dxa"/>
            <w:shd w:val="clear" w:color="auto" w:fill="auto"/>
            <w:vAlign w:val="center"/>
          </w:tcPr>
          <w:p w14:paraId="32AB2234">
            <w:pPr>
              <w:pStyle w:val="8"/>
              <w:adjustRightInd w:val="0"/>
              <w:snapToGrid w:val="0"/>
              <w:jc w:val="center"/>
              <w:rPr>
                <w:szCs w:val="21"/>
              </w:rPr>
            </w:pPr>
            <w:r>
              <w:rPr>
                <w:rFonts w:hint="eastAsia"/>
                <w:szCs w:val="21"/>
              </w:rPr>
              <w:t>0.75</w:t>
            </w:r>
          </w:p>
        </w:tc>
        <w:tc>
          <w:tcPr>
            <w:tcW w:w="1276" w:type="dxa"/>
            <w:shd w:val="clear" w:color="auto" w:fill="auto"/>
            <w:vAlign w:val="center"/>
          </w:tcPr>
          <w:p w14:paraId="3FEF9DC4">
            <w:pPr>
              <w:jc w:val="center"/>
              <w:rPr>
                <w:snapToGrid w:val="0"/>
                <w:kern w:val="21"/>
                <w:szCs w:val="21"/>
              </w:rPr>
            </w:pPr>
            <w:r>
              <w:rPr>
                <w:rFonts w:hint="eastAsia"/>
                <w:szCs w:val="21"/>
              </w:rPr>
              <w:t>0.75</w:t>
            </w:r>
          </w:p>
        </w:tc>
        <w:tc>
          <w:tcPr>
            <w:tcW w:w="1701" w:type="dxa"/>
            <w:shd w:val="clear" w:color="auto" w:fill="auto"/>
            <w:vAlign w:val="center"/>
          </w:tcPr>
          <w:p w14:paraId="4D5D77DD">
            <w:pPr>
              <w:jc w:val="center"/>
              <w:rPr>
                <w:snapToGrid w:val="0"/>
                <w:kern w:val="21"/>
                <w:szCs w:val="21"/>
              </w:rPr>
            </w:pPr>
            <w:r>
              <w:rPr>
                <w:snapToGrid w:val="0"/>
                <w:kern w:val="21"/>
                <w:szCs w:val="21"/>
              </w:rPr>
              <w:t>0</w:t>
            </w:r>
          </w:p>
        </w:tc>
        <w:tc>
          <w:tcPr>
            <w:tcW w:w="1559" w:type="dxa"/>
            <w:vAlign w:val="center"/>
          </w:tcPr>
          <w:p w14:paraId="6BB14391">
            <w:pPr>
              <w:pStyle w:val="47"/>
              <w:adjustRightInd w:val="0"/>
              <w:snapToGrid w:val="0"/>
              <w:rPr>
                <w:rFonts w:eastAsia="宋体"/>
                <w:kern w:val="0"/>
              </w:rPr>
            </w:pPr>
            <w:r>
              <w:rPr>
                <w:rFonts w:hint="eastAsia" w:eastAsia="宋体"/>
                <w:kern w:val="0"/>
              </w:rPr>
              <w:t>0</w:t>
            </w:r>
          </w:p>
        </w:tc>
        <w:tc>
          <w:tcPr>
            <w:tcW w:w="1645" w:type="dxa"/>
            <w:vAlign w:val="center"/>
          </w:tcPr>
          <w:p w14:paraId="656EF199">
            <w:pPr>
              <w:jc w:val="center"/>
              <w:rPr>
                <w:szCs w:val="21"/>
              </w:rPr>
            </w:pPr>
            <w:r>
              <w:rPr>
                <w:szCs w:val="21"/>
              </w:rPr>
              <w:t>/</w:t>
            </w:r>
          </w:p>
        </w:tc>
        <w:tc>
          <w:tcPr>
            <w:tcW w:w="1715" w:type="dxa"/>
            <w:vAlign w:val="center"/>
          </w:tcPr>
          <w:p w14:paraId="35C49767">
            <w:pPr>
              <w:jc w:val="center"/>
              <w:rPr>
                <w:sz w:val="24"/>
              </w:rPr>
            </w:pPr>
            <w:r>
              <w:t>0.75</w:t>
            </w:r>
          </w:p>
        </w:tc>
        <w:tc>
          <w:tcPr>
            <w:tcW w:w="1186" w:type="dxa"/>
            <w:vAlign w:val="center"/>
          </w:tcPr>
          <w:p w14:paraId="7AA69F0E">
            <w:pPr>
              <w:pStyle w:val="47"/>
              <w:adjustRightInd w:val="0"/>
              <w:snapToGrid w:val="0"/>
              <w:rPr>
                <w:rFonts w:eastAsia="宋体"/>
                <w:kern w:val="0"/>
              </w:rPr>
            </w:pPr>
            <w:r>
              <w:rPr>
                <w:rFonts w:hint="eastAsia" w:eastAsia="宋体"/>
                <w:kern w:val="0"/>
              </w:rPr>
              <w:t>0</w:t>
            </w:r>
          </w:p>
        </w:tc>
      </w:tr>
      <w:tr w14:paraId="33D27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2B7A42C4">
            <w:pPr>
              <w:pStyle w:val="43"/>
              <w:spacing w:beforeLines="0" w:afterLines="0" w:line="240" w:lineRule="auto"/>
              <w:rPr>
                <w:rFonts w:ascii="Times New Roman"/>
                <w:snapToGrid w:val="0"/>
                <w:kern w:val="21"/>
                <w:sz w:val="21"/>
                <w:szCs w:val="21"/>
              </w:rPr>
            </w:pPr>
          </w:p>
        </w:tc>
        <w:tc>
          <w:tcPr>
            <w:tcW w:w="1365" w:type="dxa"/>
            <w:vAlign w:val="center"/>
          </w:tcPr>
          <w:p w14:paraId="0AA830BC">
            <w:pPr>
              <w:pStyle w:val="47"/>
              <w:adjustRightInd w:val="0"/>
              <w:snapToGrid w:val="0"/>
              <w:rPr>
                <w:rFonts w:eastAsia="宋体"/>
                <w:kern w:val="0"/>
              </w:rPr>
            </w:pPr>
            <w:r>
              <w:rPr>
                <w:rFonts w:eastAsia="宋体"/>
                <w:kern w:val="0"/>
              </w:rPr>
              <w:t>废手套、抹布</w:t>
            </w:r>
          </w:p>
        </w:tc>
        <w:tc>
          <w:tcPr>
            <w:tcW w:w="1575" w:type="dxa"/>
            <w:shd w:val="clear" w:color="auto" w:fill="auto"/>
            <w:vAlign w:val="center"/>
          </w:tcPr>
          <w:p w14:paraId="5752FC8B">
            <w:pPr>
              <w:pStyle w:val="8"/>
              <w:adjustRightInd w:val="0"/>
              <w:snapToGrid w:val="0"/>
              <w:jc w:val="center"/>
              <w:rPr>
                <w:szCs w:val="21"/>
              </w:rPr>
            </w:pPr>
            <w:r>
              <w:rPr>
                <w:rFonts w:hint="eastAsia"/>
                <w:szCs w:val="21"/>
              </w:rPr>
              <w:t>0.1</w:t>
            </w:r>
          </w:p>
        </w:tc>
        <w:tc>
          <w:tcPr>
            <w:tcW w:w="1276" w:type="dxa"/>
            <w:shd w:val="clear" w:color="auto" w:fill="auto"/>
            <w:vAlign w:val="center"/>
          </w:tcPr>
          <w:p w14:paraId="25CB146B">
            <w:pPr>
              <w:jc w:val="center"/>
              <w:rPr>
                <w:snapToGrid w:val="0"/>
                <w:kern w:val="21"/>
                <w:szCs w:val="21"/>
              </w:rPr>
            </w:pPr>
            <w:r>
              <w:rPr>
                <w:rFonts w:hint="eastAsia"/>
                <w:szCs w:val="21"/>
              </w:rPr>
              <w:t>0.1</w:t>
            </w:r>
          </w:p>
        </w:tc>
        <w:tc>
          <w:tcPr>
            <w:tcW w:w="1701" w:type="dxa"/>
            <w:shd w:val="clear" w:color="auto" w:fill="auto"/>
            <w:vAlign w:val="center"/>
          </w:tcPr>
          <w:p w14:paraId="0AB13C44">
            <w:pPr>
              <w:jc w:val="center"/>
              <w:rPr>
                <w:snapToGrid w:val="0"/>
                <w:kern w:val="21"/>
                <w:szCs w:val="21"/>
              </w:rPr>
            </w:pPr>
            <w:r>
              <w:rPr>
                <w:snapToGrid w:val="0"/>
                <w:kern w:val="21"/>
                <w:szCs w:val="21"/>
              </w:rPr>
              <w:t>0</w:t>
            </w:r>
          </w:p>
        </w:tc>
        <w:tc>
          <w:tcPr>
            <w:tcW w:w="1559" w:type="dxa"/>
            <w:vAlign w:val="center"/>
          </w:tcPr>
          <w:p w14:paraId="3571349D">
            <w:pPr>
              <w:pStyle w:val="47"/>
              <w:adjustRightInd w:val="0"/>
              <w:snapToGrid w:val="0"/>
              <w:rPr>
                <w:rFonts w:eastAsia="宋体"/>
                <w:kern w:val="0"/>
              </w:rPr>
            </w:pPr>
            <w:r>
              <w:rPr>
                <w:rFonts w:hint="eastAsia" w:eastAsia="宋体"/>
                <w:kern w:val="0"/>
              </w:rPr>
              <w:t>0</w:t>
            </w:r>
          </w:p>
        </w:tc>
        <w:tc>
          <w:tcPr>
            <w:tcW w:w="1645" w:type="dxa"/>
            <w:vAlign w:val="center"/>
          </w:tcPr>
          <w:p w14:paraId="541D5263">
            <w:pPr>
              <w:jc w:val="center"/>
              <w:rPr>
                <w:szCs w:val="21"/>
              </w:rPr>
            </w:pPr>
            <w:r>
              <w:rPr>
                <w:szCs w:val="21"/>
              </w:rPr>
              <w:t>/</w:t>
            </w:r>
          </w:p>
        </w:tc>
        <w:tc>
          <w:tcPr>
            <w:tcW w:w="1715" w:type="dxa"/>
            <w:vAlign w:val="center"/>
          </w:tcPr>
          <w:p w14:paraId="4064AC99">
            <w:pPr>
              <w:jc w:val="center"/>
              <w:rPr>
                <w:sz w:val="24"/>
              </w:rPr>
            </w:pPr>
            <w:r>
              <w:t>0.1</w:t>
            </w:r>
          </w:p>
        </w:tc>
        <w:tc>
          <w:tcPr>
            <w:tcW w:w="1186" w:type="dxa"/>
            <w:vAlign w:val="center"/>
          </w:tcPr>
          <w:p w14:paraId="2D6A9852">
            <w:pPr>
              <w:pStyle w:val="47"/>
              <w:adjustRightInd w:val="0"/>
              <w:snapToGrid w:val="0"/>
              <w:rPr>
                <w:rFonts w:eastAsia="宋体"/>
                <w:kern w:val="0"/>
              </w:rPr>
            </w:pPr>
            <w:r>
              <w:rPr>
                <w:rFonts w:hint="eastAsia" w:eastAsia="宋体"/>
                <w:kern w:val="0"/>
              </w:rPr>
              <w:t>0</w:t>
            </w:r>
          </w:p>
        </w:tc>
      </w:tr>
      <w:tr w14:paraId="2C397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6" w:type="dxa"/>
            <w:gridSpan w:val="2"/>
            <w:vMerge w:val="continue"/>
            <w:vAlign w:val="center"/>
          </w:tcPr>
          <w:p w14:paraId="5A13EB79">
            <w:pPr>
              <w:pStyle w:val="43"/>
              <w:spacing w:beforeLines="0" w:afterLines="0" w:line="240" w:lineRule="auto"/>
              <w:rPr>
                <w:rFonts w:ascii="Times New Roman"/>
                <w:snapToGrid w:val="0"/>
                <w:kern w:val="21"/>
                <w:sz w:val="21"/>
                <w:szCs w:val="21"/>
              </w:rPr>
            </w:pPr>
          </w:p>
        </w:tc>
        <w:tc>
          <w:tcPr>
            <w:tcW w:w="1365" w:type="dxa"/>
            <w:vAlign w:val="center"/>
          </w:tcPr>
          <w:p w14:paraId="593C405F">
            <w:pPr>
              <w:pStyle w:val="47"/>
              <w:adjustRightInd w:val="0"/>
              <w:snapToGrid w:val="0"/>
              <w:rPr>
                <w:rFonts w:eastAsia="宋体"/>
                <w:kern w:val="0"/>
              </w:rPr>
            </w:pPr>
            <w:r>
              <w:rPr>
                <w:rFonts w:eastAsia="宋体"/>
                <w:kern w:val="0"/>
              </w:rPr>
              <w:t>废超滤膜</w:t>
            </w:r>
          </w:p>
        </w:tc>
        <w:tc>
          <w:tcPr>
            <w:tcW w:w="1575" w:type="dxa"/>
            <w:shd w:val="clear" w:color="auto" w:fill="auto"/>
            <w:vAlign w:val="center"/>
          </w:tcPr>
          <w:p w14:paraId="3C1821A4">
            <w:pPr>
              <w:pStyle w:val="8"/>
              <w:adjustRightInd w:val="0"/>
              <w:snapToGrid w:val="0"/>
              <w:jc w:val="center"/>
              <w:rPr>
                <w:szCs w:val="21"/>
              </w:rPr>
            </w:pPr>
            <w:r>
              <w:rPr>
                <w:rFonts w:hint="eastAsia"/>
                <w:szCs w:val="21"/>
              </w:rPr>
              <w:t>0.1</w:t>
            </w:r>
          </w:p>
        </w:tc>
        <w:tc>
          <w:tcPr>
            <w:tcW w:w="1276" w:type="dxa"/>
            <w:shd w:val="clear" w:color="auto" w:fill="auto"/>
            <w:vAlign w:val="center"/>
          </w:tcPr>
          <w:p w14:paraId="6902D52C">
            <w:pPr>
              <w:jc w:val="center"/>
              <w:rPr>
                <w:snapToGrid w:val="0"/>
                <w:kern w:val="21"/>
                <w:szCs w:val="21"/>
              </w:rPr>
            </w:pPr>
            <w:r>
              <w:rPr>
                <w:rFonts w:hint="eastAsia"/>
                <w:szCs w:val="21"/>
              </w:rPr>
              <w:t>0.1</w:t>
            </w:r>
          </w:p>
        </w:tc>
        <w:tc>
          <w:tcPr>
            <w:tcW w:w="1701" w:type="dxa"/>
            <w:shd w:val="clear" w:color="auto" w:fill="auto"/>
            <w:vAlign w:val="center"/>
          </w:tcPr>
          <w:p w14:paraId="53FF3986">
            <w:pPr>
              <w:jc w:val="center"/>
              <w:rPr>
                <w:snapToGrid w:val="0"/>
                <w:kern w:val="21"/>
                <w:szCs w:val="21"/>
              </w:rPr>
            </w:pPr>
            <w:r>
              <w:rPr>
                <w:snapToGrid w:val="0"/>
                <w:kern w:val="21"/>
                <w:szCs w:val="21"/>
              </w:rPr>
              <w:t>0</w:t>
            </w:r>
          </w:p>
        </w:tc>
        <w:tc>
          <w:tcPr>
            <w:tcW w:w="1559" w:type="dxa"/>
            <w:vAlign w:val="center"/>
          </w:tcPr>
          <w:p w14:paraId="14C41E25">
            <w:pPr>
              <w:pStyle w:val="47"/>
              <w:adjustRightInd w:val="0"/>
              <w:snapToGrid w:val="0"/>
              <w:rPr>
                <w:rFonts w:eastAsia="宋体"/>
                <w:kern w:val="0"/>
              </w:rPr>
            </w:pPr>
            <w:r>
              <w:rPr>
                <w:rFonts w:hint="eastAsia" w:eastAsia="宋体"/>
                <w:kern w:val="0"/>
              </w:rPr>
              <w:t>0</w:t>
            </w:r>
          </w:p>
        </w:tc>
        <w:tc>
          <w:tcPr>
            <w:tcW w:w="1645" w:type="dxa"/>
            <w:vAlign w:val="center"/>
          </w:tcPr>
          <w:p w14:paraId="49BD6DD4">
            <w:pPr>
              <w:jc w:val="center"/>
              <w:rPr>
                <w:szCs w:val="21"/>
              </w:rPr>
            </w:pPr>
            <w:r>
              <w:rPr>
                <w:szCs w:val="21"/>
              </w:rPr>
              <w:t>/</w:t>
            </w:r>
          </w:p>
        </w:tc>
        <w:tc>
          <w:tcPr>
            <w:tcW w:w="1715" w:type="dxa"/>
            <w:vAlign w:val="center"/>
          </w:tcPr>
          <w:p w14:paraId="0B860FEC">
            <w:pPr>
              <w:jc w:val="center"/>
              <w:rPr>
                <w:sz w:val="24"/>
              </w:rPr>
            </w:pPr>
            <w:r>
              <w:t>0.1</w:t>
            </w:r>
          </w:p>
        </w:tc>
        <w:tc>
          <w:tcPr>
            <w:tcW w:w="1186" w:type="dxa"/>
            <w:vAlign w:val="center"/>
          </w:tcPr>
          <w:p w14:paraId="4CA3B79E">
            <w:pPr>
              <w:pStyle w:val="47"/>
              <w:adjustRightInd w:val="0"/>
              <w:snapToGrid w:val="0"/>
              <w:rPr>
                <w:rFonts w:eastAsia="宋体"/>
                <w:kern w:val="0"/>
              </w:rPr>
            </w:pPr>
            <w:r>
              <w:rPr>
                <w:rFonts w:hint="eastAsia" w:eastAsia="宋体"/>
                <w:kern w:val="0"/>
              </w:rPr>
              <w:t>0</w:t>
            </w:r>
          </w:p>
        </w:tc>
      </w:tr>
    </w:tbl>
    <w:p w14:paraId="692FD3F8">
      <w:pPr>
        <w:pStyle w:val="43"/>
        <w:spacing w:beforeLines="80" w:after="24"/>
        <w:jc w:val="left"/>
        <w:rPr>
          <w:rFonts w:ascii="Times New Roman"/>
          <w:snapToGrid w:val="0"/>
          <w:spacing w:val="-6"/>
          <w:kern w:val="21"/>
          <w:szCs w:val="21"/>
        </w:rPr>
        <w:sectPr>
          <w:footerReference r:id="rId7" w:type="default"/>
          <w:pgSz w:w="16838" w:h="11906" w:orient="landscape"/>
          <w:pgMar w:top="1531" w:right="1701" w:bottom="1531" w:left="1701" w:header="851" w:footer="851" w:gutter="0"/>
          <w:cols w:space="720" w:num="1"/>
          <w:docGrid w:linePitch="312" w:charSpace="0"/>
        </w:sect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p>
    <w:p w14:paraId="3535B969">
      <w:pPr>
        <w:adjustRightInd w:val="0"/>
        <w:snapToGrid w:val="0"/>
        <w:spacing w:line="360" w:lineRule="auto"/>
        <w:rPr>
          <w:szCs w:val="21"/>
        </w:rPr>
      </w:pPr>
      <w:r>
        <w:rPr>
          <w:szCs w:val="21"/>
        </w:rPr>
        <w:t>本报告表附图、附件：</w:t>
      </w:r>
    </w:p>
    <w:p w14:paraId="4873F686">
      <w:pPr>
        <w:adjustRightInd w:val="0"/>
        <w:snapToGrid w:val="0"/>
        <w:spacing w:line="360" w:lineRule="auto"/>
        <w:rPr>
          <w:b/>
          <w:bCs/>
          <w:szCs w:val="21"/>
        </w:rPr>
      </w:pPr>
      <w:r>
        <w:rPr>
          <w:b/>
          <w:bCs/>
          <w:szCs w:val="21"/>
        </w:rPr>
        <w:t>附图</w:t>
      </w:r>
    </w:p>
    <w:p w14:paraId="37FFAABE">
      <w:pPr>
        <w:adjustRightInd w:val="0"/>
        <w:snapToGrid w:val="0"/>
        <w:spacing w:line="360" w:lineRule="auto"/>
        <w:rPr>
          <w:szCs w:val="21"/>
        </w:rPr>
      </w:pPr>
      <w:r>
        <w:rPr>
          <w:szCs w:val="21"/>
        </w:rPr>
        <w:t>附图1  项目地理位置图</w:t>
      </w:r>
    </w:p>
    <w:p w14:paraId="171C3346">
      <w:pPr>
        <w:adjustRightInd w:val="0"/>
        <w:snapToGrid w:val="0"/>
        <w:spacing w:line="360" w:lineRule="auto"/>
        <w:rPr>
          <w:szCs w:val="21"/>
        </w:rPr>
      </w:pPr>
      <w:r>
        <w:rPr>
          <w:szCs w:val="21"/>
        </w:rPr>
        <w:t>附图2  项目周边环境概况图</w:t>
      </w:r>
    </w:p>
    <w:p w14:paraId="6991D627">
      <w:pPr>
        <w:adjustRightInd w:val="0"/>
        <w:snapToGrid w:val="0"/>
        <w:spacing w:line="360" w:lineRule="auto"/>
        <w:rPr>
          <w:szCs w:val="21"/>
        </w:rPr>
      </w:pPr>
      <w:r>
        <w:rPr>
          <w:szCs w:val="21"/>
        </w:rPr>
        <w:t>附图3  项目厂区平面布置图</w:t>
      </w:r>
    </w:p>
    <w:p w14:paraId="661B8A51">
      <w:pPr>
        <w:adjustRightInd w:val="0"/>
        <w:snapToGrid w:val="0"/>
        <w:spacing w:line="360" w:lineRule="auto"/>
        <w:rPr>
          <w:szCs w:val="21"/>
        </w:rPr>
      </w:pPr>
      <w:r>
        <w:rPr>
          <w:szCs w:val="21"/>
        </w:rPr>
        <w:t>附图4  项目车间平面布置图</w:t>
      </w:r>
    </w:p>
    <w:p w14:paraId="27DE8E5F">
      <w:pPr>
        <w:adjustRightInd w:val="0"/>
        <w:snapToGrid w:val="0"/>
        <w:spacing w:line="360" w:lineRule="auto"/>
        <w:rPr>
          <w:szCs w:val="21"/>
        </w:rPr>
      </w:pPr>
      <w:r>
        <w:rPr>
          <w:szCs w:val="21"/>
        </w:rPr>
        <w:t>附图5  土地利用规划图</w:t>
      </w:r>
    </w:p>
    <w:p w14:paraId="2023DB35">
      <w:pPr>
        <w:adjustRightInd w:val="0"/>
        <w:snapToGrid w:val="0"/>
        <w:spacing w:line="360" w:lineRule="auto"/>
        <w:rPr>
          <w:szCs w:val="21"/>
        </w:rPr>
      </w:pPr>
      <w:r>
        <w:rPr>
          <w:szCs w:val="21"/>
        </w:rPr>
        <w:t>附图6  生态环境分区管控对照图</w:t>
      </w:r>
    </w:p>
    <w:p w14:paraId="2AA1E832">
      <w:pPr>
        <w:adjustRightInd w:val="0"/>
        <w:snapToGrid w:val="0"/>
        <w:spacing w:line="360" w:lineRule="auto"/>
        <w:rPr>
          <w:szCs w:val="21"/>
        </w:rPr>
      </w:pPr>
      <w:r>
        <w:rPr>
          <w:szCs w:val="21"/>
        </w:rPr>
        <w:t>附图7  常州市环境管控单元图</w:t>
      </w:r>
    </w:p>
    <w:p w14:paraId="4224B282">
      <w:pPr>
        <w:adjustRightInd w:val="0"/>
        <w:snapToGrid w:val="0"/>
        <w:spacing w:line="360" w:lineRule="auto"/>
        <w:rPr>
          <w:szCs w:val="21"/>
        </w:rPr>
      </w:pPr>
      <w:r>
        <w:rPr>
          <w:szCs w:val="21"/>
        </w:rPr>
        <w:t>附图8  生态红线图</w:t>
      </w:r>
    </w:p>
    <w:p w14:paraId="280E7ED5">
      <w:pPr>
        <w:adjustRightInd w:val="0"/>
        <w:snapToGrid w:val="0"/>
        <w:spacing w:line="360" w:lineRule="auto"/>
        <w:rPr>
          <w:szCs w:val="21"/>
        </w:rPr>
      </w:pPr>
      <w:r>
        <w:rPr>
          <w:szCs w:val="21"/>
        </w:rPr>
        <w:t>附图9  项目区域水系图</w:t>
      </w:r>
    </w:p>
    <w:p w14:paraId="54461863">
      <w:pPr>
        <w:adjustRightInd w:val="0"/>
        <w:snapToGrid w:val="0"/>
        <w:spacing w:line="360" w:lineRule="auto"/>
        <w:rPr>
          <w:szCs w:val="21"/>
        </w:rPr>
      </w:pPr>
      <w:r>
        <w:rPr>
          <w:szCs w:val="21"/>
        </w:rPr>
        <w:t>附图10 金坛区国土空间规划近期实施方案对照图</w:t>
      </w:r>
    </w:p>
    <w:p w14:paraId="1A679322">
      <w:pPr>
        <w:adjustRightInd w:val="0"/>
        <w:snapToGrid w:val="0"/>
        <w:spacing w:line="360" w:lineRule="auto"/>
        <w:rPr>
          <w:b/>
          <w:bCs/>
          <w:szCs w:val="21"/>
        </w:rPr>
      </w:pPr>
      <w:r>
        <w:rPr>
          <w:b/>
          <w:bCs/>
          <w:szCs w:val="21"/>
        </w:rPr>
        <w:t>附件</w:t>
      </w:r>
    </w:p>
    <w:p w14:paraId="466E8BF1">
      <w:pPr>
        <w:adjustRightInd w:val="0"/>
        <w:snapToGrid w:val="0"/>
        <w:spacing w:line="360" w:lineRule="auto"/>
        <w:rPr>
          <w:szCs w:val="21"/>
        </w:rPr>
      </w:pPr>
      <w:r>
        <w:rPr>
          <w:szCs w:val="21"/>
        </w:rPr>
        <w:t>附件1  环评委托书</w:t>
      </w:r>
    </w:p>
    <w:p w14:paraId="298C05B1">
      <w:pPr>
        <w:adjustRightInd w:val="0"/>
        <w:snapToGrid w:val="0"/>
        <w:spacing w:line="360" w:lineRule="auto"/>
        <w:rPr>
          <w:szCs w:val="21"/>
        </w:rPr>
      </w:pPr>
      <w:r>
        <w:rPr>
          <w:szCs w:val="21"/>
        </w:rPr>
        <w:t>附件2  备案证</w:t>
      </w:r>
    </w:p>
    <w:p w14:paraId="1B9FB259">
      <w:pPr>
        <w:adjustRightInd w:val="0"/>
        <w:snapToGrid w:val="0"/>
        <w:spacing w:line="360" w:lineRule="auto"/>
        <w:rPr>
          <w:szCs w:val="21"/>
        </w:rPr>
      </w:pPr>
      <w:r>
        <w:rPr>
          <w:szCs w:val="21"/>
        </w:rPr>
        <w:t>附件3  营业执照</w:t>
      </w:r>
    </w:p>
    <w:p w14:paraId="1D77349A">
      <w:pPr>
        <w:adjustRightInd w:val="0"/>
        <w:snapToGrid w:val="0"/>
        <w:spacing w:line="360" w:lineRule="auto"/>
        <w:rPr>
          <w:szCs w:val="21"/>
        </w:rPr>
      </w:pPr>
      <w:r>
        <w:rPr>
          <w:szCs w:val="21"/>
        </w:rPr>
        <w:t>附件4  法人证件</w:t>
      </w:r>
    </w:p>
    <w:p w14:paraId="7647B017">
      <w:pPr>
        <w:adjustRightInd w:val="0"/>
        <w:snapToGrid w:val="0"/>
        <w:spacing w:line="360" w:lineRule="auto"/>
        <w:rPr>
          <w:szCs w:val="21"/>
        </w:rPr>
      </w:pPr>
      <w:r>
        <w:rPr>
          <w:szCs w:val="21"/>
        </w:rPr>
        <w:t>附件5  不动产权证</w:t>
      </w:r>
    </w:p>
    <w:p w14:paraId="428714DA">
      <w:pPr>
        <w:adjustRightInd w:val="0"/>
        <w:snapToGrid w:val="0"/>
        <w:spacing w:line="360" w:lineRule="auto"/>
        <w:rPr>
          <w:szCs w:val="21"/>
        </w:rPr>
      </w:pPr>
      <w:r>
        <w:rPr>
          <w:szCs w:val="21"/>
        </w:rPr>
        <w:t>附件6  排污许可证</w:t>
      </w:r>
    </w:p>
    <w:p w14:paraId="28EC30E8">
      <w:pPr>
        <w:adjustRightInd w:val="0"/>
        <w:snapToGrid w:val="0"/>
        <w:spacing w:line="360" w:lineRule="auto"/>
        <w:rPr>
          <w:szCs w:val="21"/>
        </w:rPr>
      </w:pPr>
      <w:r>
        <w:rPr>
          <w:szCs w:val="21"/>
        </w:rPr>
        <w:t>附件7  现有项目环保手续</w:t>
      </w:r>
    </w:p>
    <w:p w14:paraId="3FC6D94B">
      <w:pPr>
        <w:adjustRightInd w:val="0"/>
        <w:snapToGrid w:val="0"/>
        <w:spacing w:line="360" w:lineRule="auto"/>
        <w:rPr>
          <w:szCs w:val="21"/>
        </w:rPr>
      </w:pPr>
      <w:r>
        <w:rPr>
          <w:szCs w:val="21"/>
        </w:rPr>
        <w:t>附件8  现有项目例行监测报告</w:t>
      </w:r>
    </w:p>
    <w:p w14:paraId="73E323C2">
      <w:pPr>
        <w:adjustRightInd w:val="0"/>
        <w:snapToGrid w:val="0"/>
        <w:spacing w:line="360" w:lineRule="auto"/>
        <w:rPr>
          <w:szCs w:val="21"/>
        </w:rPr>
      </w:pPr>
      <w:r>
        <w:rPr>
          <w:szCs w:val="21"/>
        </w:rPr>
        <w:t>附件9  原辅料MSDS及检测报告</w:t>
      </w:r>
    </w:p>
    <w:p w14:paraId="746A6A1F">
      <w:pPr>
        <w:adjustRightInd w:val="0"/>
        <w:snapToGrid w:val="0"/>
        <w:spacing w:line="360" w:lineRule="auto"/>
        <w:rPr>
          <w:szCs w:val="21"/>
        </w:rPr>
      </w:pPr>
      <w:r>
        <w:rPr>
          <w:szCs w:val="21"/>
        </w:rPr>
        <w:t>附件10 污水接管合同</w:t>
      </w:r>
    </w:p>
    <w:p w14:paraId="0BE93D81">
      <w:pPr>
        <w:adjustRightInd w:val="0"/>
        <w:snapToGrid w:val="0"/>
        <w:spacing w:line="360" w:lineRule="auto"/>
        <w:rPr>
          <w:szCs w:val="21"/>
        </w:rPr>
      </w:pPr>
      <w:r>
        <w:rPr>
          <w:szCs w:val="21"/>
        </w:rPr>
        <w:t>附件11 危废处置协议</w:t>
      </w:r>
    </w:p>
    <w:p w14:paraId="37FC0109">
      <w:pPr>
        <w:adjustRightInd w:val="0"/>
        <w:snapToGrid w:val="0"/>
        <w:spacing w:line="360" w:lineRule="auto"/>
        <w:rPr>
          <w:szCs w:val="21"/>
        </w:rPr>
      </w:pPr>
      <w:r>
        <w:rPr>
          <w:szCs w:val="21"/>
        </w:rPr>
        <w:t xml:space="preserve">附件12 </w:t>
      </w:r>
      <w:r>
        <w:rPr>
          <w:kern w:val="0"/>
          <w:szCs w:val="21"/>
        </w:rPr>
        <w:t>江苏省金坛华罗庚高新技术产业开发区开发建设规划环境影响报告书审查意见</w:t>
      </w:r>
    </w:p>
    <w:p w14:paraId="7A10A8A5">
      <w:pPr>
        <w:pStyle w:val="5"/>
        <w:adjustRightInd w:val="0"/>
        <w:snapToGrid w:val="0"/>
        <w:spacing w:line="360" w:lineRule="auto"/>
        <w:ind w:firstLine="0" w:firstLineChars="0"/>
        <w:rPr>
          <w:szCs w:val="21"/>
        </w:rPr>
      </w:pPr>
      <w:r>
        <w:rPr>
          <w:szCs w:val="21"/>
        </w:rPr>
        <w:t xml:space="preserve">附件13 </w:t>
      </w:r>
      <w:r>
        <w:rPr>
          <w:rFonts w:hint="eastAsia"/>
          <w:szCs w:val="21"/>
          <w:highlight w:val="black"/>
          <w:lang w:val="en-US" w:eastAsia="zh-CN"/>
        </w:rPr>
        <w:t xml:space="preserve">        </w:t>
      </w:r>
      <w:r>
        <w:rPr>
          <w:szCs w:val="21"/>
        </w:rPr>
        <w:t>不可替代论证报告及专家咨询意见</w:t>
      </w:r>
    </w:p>
    <w:p w14:paraId="23862ED3">
      <w:pPr>
        <w:pStyle w:val="5"/>
        <w:adjustRightInd w:val="0"/>
        <w:snapToGrid w:val="0"/>
        <w:spacing w:line="360" w:lineRule="auto"/>
        <w:ind w:firstLine="0" w:firstLineChars="0"/>
        <w:rPr>
          <w:szCs w:val="21"/>
        </w:rPr>
      </w:pPr>
      <w:r>
        <w:rPr>
          <w:szCs w:val="21"/>
        </w:rPr>
        <w:t>附件14 企业事业单位突发环境事件应急预案备案表</w:t>
      </w:r>
    </w:p>
    <w:p w14:paraId="54A3D190">
      <w:pPr>
        <w:pStyle w:val="5"/>
        <w:adjustRightInd w:val="0"/>
        <w:snapToGrid w:val="0"/>
        <w:spacing w:line="360" w:lineRule="auto"/>
        <w:ind w:firstLine="0" w:firstLineChars="0"/>
        <w:rPr>
          <w:szCs w:val="21"/>
        </w:rPr>
      </w:pPr>
      <w:r>
        <w:rPr>
          <w:szCs w:val="21"/>
        </w:rPr>
        <w:t>附件15 监测报告</w:t>
      </w:r>
    </w:p>
    <w:p w14:paraId="3231DC1E">
      <w:pPr>
        <w:pStyle w:val="5"/>
        <w:adjustRightInd w:val="0"/>
        <w:snapToGrid w:val="0"/>
        <w:spacing w:line="360" w:lineRule="auto"/>
        <w:ind w:firstLine="0" w:firstLineChars="0"/>
        <w:rPr>
          <w:szCs w:val="21"/>
        </w:rPr>
      </w:pPr>
      <w:r>
        <w:rPr>
          <w:szCs w:val="21"/>
        </w:rPr>
        <w:t>附件16 建设单位承诺书</w:t>
      </w:r>
    </w:p>
    <w:sectPr>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BD3A">
    <w:pPr>
      <w:pStyle w:val="15"/>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71074">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2CBEB837">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CA64">
    <w:pPr>
      <w:pStyle w:val="15"/>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25BD1">
    <w:pPr>
      <w:pStyle w:val="15"/>
    </w:pPr>
    <w:r>
      <w:rPr>
        <w:sz w:val="28"/>
      </w:rPr>
      <w:pict>
        <v:shape id="文本框 2" o:spid="_x0000_s3073" o:spt="202" type="#_x0000_t202" style="position:absolute;left:0pt;margin-top:0.1pt;height:11.2pt;width:22.6pt;mso-position-horizontal:center;mso-position-horizontal-relative:margin;z-index:251659264;mso-width-relative:page;mso-height-relative:page;" filled="f" stroked="f" coordsize="21600,21600">
          <v:path/>
          <v:fill on="f" focussize="0,0"/>
          <v:stroke on="f" weight="0.5pt" joinstyle="miter"/>
          <v:imagedata o:title=""/>
          <o:lock v:ext="edit"/>
          <v:textbox inset="0mm,0mm,0mm,0mm">
            <w:txbxContent>
              <w:p w14:paraId="74BCC6F3">
                <w:pPr>
                  <w:pStyle w:val="15"/>
                  <w:jc w:val="center"/>
                </w:pPr>
                <w:r>
                  <w:fldChar w:fldCharType="begin"/>
                </w:r>
                <w:r>
                  <w:instrText xml:space="preserve"> PAGE  \* MERGEFORMAT </w:instrText>
                </w:r>
                <w:r>
                  <w:fldChar w:fldCharType="separate"/>
                </w:r>
                <w:r>
                  <w:t>85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01A0">
    <w:pPr>
      <w:pStyle w:val="15"/>
      <w:ind w:right="360"/>
      <w:jc w:val="both"/>
    </w:pPr>
    <w:r>
      <w:pict>
        <v:shape id="文本框 1028" o:spid="_x0000_s3074" o:spt="202" type="#_x0000_t202" style="position:absolute;left:0pt;margin-top:0.1pt;height:11pt;width:16.55pt;mso-position-horizontal:center;mso-position-horizontal-relative:margin;z-index:251660288;mso-width-relative:page;mso-height-relative:page;" filled="f" stroked="f" coordsize="21600,21600">
          <v:path/>
          <v:fill on="f" focussize="0,0"/>
          <v:stroke on="f" joinstyle="miter"/>
          <v:imagedata o:title=""/>
          <o:lock v:ext="edit"/>
          <v:textbox inset="0mm,0mm,0mm,0mm">
            <w:txbxContent>
              <w:p w14:paraId="569704AA">
                <w:pPr>
                  <w:pStyle w:val="15"/>
                </w:pPr>
                <w:r>
                  <w:fldChar w:fldCharType="begin"/>
                </w:r>
                <w:r>
                  <w:instrText xml:space="preserve"> PAGE  \* MERGEFORMAT </w:instrText>
                </w:r>
                <w:r>
                  <w:fldChar w:fldCharType="separate"/>
                </w:r>
                <w:r>
                  <w:t>147</w:t>
                </w:r>
                <w:r>
                  <w:fldChar w:fldCharType="end"/>
                </w:r>
              </w:p>
            </w:txbxContent>
          </v:textbox>
        </v:shape>
      </w:pict>
    </w:r>
    <w:r>
      <w:pict>
        <v:shape id="文本框 11" o:spid="_x0000_s3075"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path/>
          <v:fill on="f" focussize="0,0"/>
          <v:stroke on="f" weight="0.5pt" joinstyle="miter"/>
          <v:imagedata o:title=""/>
          <o:lock v:ext="edit"/>
          <v:textbox inset="0mm,0mm,0mm,0mm" style="mso-fit-shape-to-text:t;">
            <w:txbxContent>
              <w:p w14:paraId="2D9B454C"/>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99F81"/>
    <w:multiLevelType w:val="singleLevel"/>
    <w:tmpl w:val="C2299F8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2U3NWY1ZWRiYmRlZTMwZTgwZGM2YWM4N2ZhZTVhYzQifQ=="/>
  </w:docVars>
  <w:rsids>
    <w:rsidRoot w:val="00172A27"/>
    <w:rsid w:val="000005A3"/>
    <w:rsid w:val="000017A5"/>
    <w:rsid w:val="000050CC"/>
    <w:rsid w:val="00013B87"/>
    <w:rsid w:val="00033BDB"/>
    <w:rsid w:val="00044D04"/>
    <w:rsid w:val="000551C2"/>
    <w:rsid w:val="00055414"/>
    <w:rsid w:val="00057EFF"/>
    <w:rsid w:val="00062B8F"/>
    <w:rsid w:val="00066BB2"/>
    <w:rsid w:val="00072C34"/>
    <w:rsid w:val="00073035"/>
    <w:rsid w:val="00076A9C"/>
    <w:rsid w:val="00090754"/>
    <w:rsid w:val="00091A5B"/>
    <w:rsid w:val="00093AFC"/>
    <w:rsid w:val="000A53F4"/>
    <w:rsid w:val="000A777C"/>
    <w:rsid w:val="000B06CC"/>
    <w:rsid w:val="000C074A"/>
    <w:rsid w:val="000D0BE9"/>
    <w:rsid w:val="000E47F3"/>
    <w:rsid w:val="000F36BF"/>
    <w:rsid w:val="000F69B0"/>
    <w:rsid w:val="000F7F9A"/>
    <w:rsid w:val="0012099C"/>
    <w:rsid w:val="00140D64"/>
    <w:rsid w:val="00141A42"/>
    <w:rsid w:val="0014661B"/>
    <w:rsid w:val="001504E5"/>
    <w:rsid w:val="001528C4"/>
    <w:rsid w:val="00153D6A"/>
    <w:rsid w:val="001544F3"/>
    <w:rsid w:val="00155461"/>
    <w:rsid w:val="00172A27"/>
    <w:rsid w:val="00172B22"/>
    <w:rsid w:val="001731D9"/>
    <w:rsid w:val="00173B7F"/>
    <w:rsid w:val="001779EA"/>
    <w:rsid w:val="00177CC9"/>
    <w:rsid w:val="00182A34"/>
    <w:rsid w:val="0018349E"/>
    <w:rsid w:val="0018619A"/>
    <w:rsid w:val="00191BF9"/>
    <w:rsid w:val="00194A97"/>
    <w:rsid w:val="00196FE3"/>
    <w:rsid w:val="0019709B"/>
    <w:rsid w:val="001B075F"/>
    <w:rsid w:val="001B25EA"/>
    <w:rsid w:val="001B2ED8"/>
    <w:rsid w:val="001C0ACB"/>
    <w:rsid w:val="001C38DB"/>
    <w:rsid w:val="001C3CA8"/>
    <w:rsid w:val="001C3D45"/>
    <w:rsid w:val="001C5C70"/>
    <w:rsid w:val="001D3165"/>
    <w:rsid w:val="001D7AD4"/>
    <w:rsid w:val="001E0003"/>
    <w:rsid w:val="001E4A6D"/>
    <w:rsid w:val="001F567A"/>
    <w:rsid w:val="002122DC"/>
    <w:rsid w:val="00215F96"/>
    <w:rsid w:val="00220939"/>
    <w:rsid w:val="00223307"/>
    <w:rsid w:val="00227114"/>
    <w:rsid w:val="002279B9"/>
    <w:rsid w:val="00231359"/>
    <w:rsid w:val="00251AC9"/>
    <w:rsid w:val="00252B34"/>
    <w:rsid w:val="00252BA8"/>
    <w:rsid w:val="0025434A"/>
    <w:rsid w:val="002555A8"/>
    <w:rsid w:val="00255F31"/>
    <w:rsid w:val="00256AD3"/>
    <w:rsid w:val="002672BE"/>
    <w:rsid w:val="0026754E"/>
    <w:rsid w:val="002707F6"/>
    <w:rsid w:val="002736C9"/>
    <w:rsid w:val="00285938"/>
    <w:rsid w:val="00291F4C"/>
    <w:rsid w:val="002A1984"/>
    <w:rsid w:val="002A1E4D"/>
    <w:rsid w:val="002B247F"/>
    <w:rsid w:val="002C04DB"/>
    <w:rsid w:val="002C20A2"/>
    <w:rsid w:val="002D2D7A"/>
    <w:rsid w:val="002D2DA5"/>
    <w:rsid w:val="002D7901"/>
    <w:rsid w:val="002E0E0F"/>
    <w:rsid w:val="002E25AD"/>
    <w:rsid w:val="002E2859"/>
    <w:rsid w:val="002E54DF"/>
    <w:rsid w:val="002E6311"/>
    <w:rsid w:val="002E7D7B"/>
    <w:rsid w:val="002F0C59"/>
    <w:rsid w:val="002F1AC0"/>
    <w:rsid w:val="002F45E6"/>
    <w:rsid w:val="002F727B"/>
    <w:rsid w:val="00315630"/>
    <w:rsid w:val="00321CED"/>
    <w:rsid w:val="00330981"/>
    <w:rsid w:val="00333A2A"/>
    <w:rsid w:val="00336FEE"/>
    <w:rsid w:val="003467B0"/>
    <w:rsid w:val="00355AE5"/>
    <w:rsid w:val="00362BFA"/>
    <w:rsid w:val="00362FBD"/>
    <w:rsid w:val="003658C7"/>
    <w:rsid w:val="003676F2"/>
    <w:rsid w:val="00370B7D"/>
    <w:rsid w:val="0037271D"/>
    <w:rsid w:val="00377E91"/>
    <w:rsid w:val="00380FB5"/>
    <w:rsid w:val="00384F37"/>
    <w:rsid w:val="0038780D"/>
    <w:rsid w:val="00392B08"/>
    <w:rsid w:val="003A63EE"/>
    <w:rsid w:val="003C0EEC"/>
    <w:rsid w:val="003C2D40"/>
    <w:rsid w:val="003D3E4E"/>
    <w:rsid w:val="003D4A27"/>
    <w:rsid w:val="003E269B"/>
    <w:rsid w:val="003F47B1"/>
    <w:rsid w:val="003F5038"/>
    <w:rsid w:val="003F79A9"/>
    <w:rsid w:val="004002A6"/>
    <w:rsid w:val="00400D0E"/>
    <w:rsid w:val="004026D9"/>
    <w:rsid w:val="004041B9"/>
    <w:rsid w:val="00410820"/>
    <w:rsid w:val="00412662"/>
    <w:rsid w:val="00412EA0"/>
    <w:rsid w:val="00413522"/>
    <w:rsid w:val="00417B7A"/>
    <w:rsid w:val="0042050D"/>
    <w:rsid w:val="00420F94"/>
    <w:rsid w:val="00440178"/>
    <w:rsid w:val="0045077C"/>
    <w:rsid w:val="00452B20"/>
    <w:rsid w:val="0045318D"/>
    <w:rsid w:val="00453A3D"/>
    <w:rsid w:val="00455486"/>
    <w:rsid w:val="004579D3"/>
    <w:rsid w:val="00461660"/>
    <w:rsid w:val="00462A27"/>
    <w:rsid w:val="00464A17"/>
    <w:rsid w:val="00465B0E"/>
    <w:rsid w:val="004677E0"/>
    <w:rsid w:val="00467DE0"/>
    <w:rsid w:val="00471C19"/>
    <w:rsid w:val="00490E06"/>
    <w:rsid w:val="004B14AD"/>
    <w:rsid w:val="004B1B64"/>
    <w:rsid w:val="004C07E3"/>
    <w:rsid w:val="004C4EA3"/>
    <w:rsid w:val="004D7729"/>
    <w:rsid w:val="004E62DE"/>
    <w:rsid w:val="004F015F"/>
    <w:rsid w:val="004F0700"/>
    <w:rsid w:val="004F2F91"/>
    <w:rsid w:val="005003A5"/>
    <w:rsid w:val="00514D4B"/>
    <w:rsid w:val="00514D9C"/>
    <w:rsid w:val="00524825"/>
    <w:rsid w:val="00527153"/>
    <w:rsid w:val="005325F9"/>
    <w:rsid w:val="00532749"/>
    <w:rsid w:val="00533628"/>
    <w:rsid w:val="00534123"/>
    <w:rsid w:val="00551437"/>
    <w:rsid w:val="00551660"/>
    <w:rsid w:val="0055574E"/>
    <w:rsid w:val="005656F9"/>
    <w:rsid w:val="00565B6A"/>
    <w:rsid w:val="00567233"/>
    <w:rsid w:val="00567863"/>
    <w:rsid w:val="00573AD9"/>
    <w:rsid w:val="005771FD"/>
    <w:rsid w:val="00582635"/>
    <w:rsid w:val="005A0C9D"/>
    <w:rsid w:val="005B3738"/>
    <w:rsid w:val="005B7A11"/>
    <w:rsid w:val="005C0FAD"/>
    <w:rsid w:val="005C47F5"/>
    <w:rsid w:val="005C5F0A"/>
    <w:rsid w:val="005C73B7"/>
    <w:rsid w:val="005D664C"/>
    <w:rsid w:val="005D781C"/>
    <w:rsid w:val="005F0E29"/>
    <w:rsid w:val="005F481F"/>
    <w:rsid w:val="005F792C"/>
    <w:rsid w:val="0060070D"/>
    <w:rsid w:val="00603696"/>
    <w:rsid w:val="0060433E"/>
    <w:rsid w:val="00604F3F"/>
    <w:rsid w:val="006142BB"/>
    <w:rsid w:val="006219A3"/>
    <w:rsid w:val="00630022"/>
    <w:rsid w:val="00653C7A"/>
    <w:rsid w:val="00654E05"/>
    <w:rsid w:val="00656B9D"/>
    <w:rsid w:val="00662BB1"/>
    <w:rsid w:val="00672307"/>
    <w:rsid w:val="00675481"/>
    <w:rsid w:val="006847FF"/>
    <w:rsid w:val="00685D8D"/>
    <w:rsid w:val="006908C1"/>
    <w:rsid w:val="00690909"/>
    <w:rsid w:val="0069335D"/>
    <w:rsid w:val="006941F1"/>
    <w:rsid w:val="006962F2"/>
    <w:rsid w:val="00697A5F"/>
    <w:rsid w:val="006A1956"/>
    <w:rsid w:val="006A2656"/>
    <w:rsid w:val="006A395F"/>
    <w:rsid w:val="006B009A"/>
    <w:rsid w:val="006B0D49"/>
    <w:rsid w:val="006B5089"/>
    <w:rsid w:val="006C107B"/>
    <w:rsid w:val="006C29D7"/>
    <w:rsid w:val="006C33FF"/>
    <w:rsid w:val="006C7901"/>
    <w:rsid w:val="006D0EB4"/>
    <w:rsid w:val="006D106A"/>
    <w:rsid w:val="006D57A1"/>
    <w:rsid w:val="006E7F3F"/>
    <w:rsid w:val="006F70BE"/>
    <w:rsid w:val="007022E1"/>
    <w:rsid w:val="00706AF0"/>
    <w:rsid w:val="00710588"/>
    <w:rsid w:val="00715E04"/>
    <w:rsid w:val="00727199"/>
    <w:rsid w:val="007337ED"/>
    <w:rsid w:val="00733D43"/>
    <w:rsid w:val="0073680F"/>
    <w:rsid w:val="007375CF"/>
    <w:rsid w:val="00741594"/>
    <w:rsid w:val="00744316"/>
    <w:rsid w:val="007454E8"/>
    <w:rsid w:val="00746459"/>
    <w:rsid w:val="00750870"/>
    <w:rsid w:val="00753602"/>
    <w:rsid w:val="0077207A"/>
    <w:rsid w:val="00776C3A"/>
    <w:rsid w:val="00780927"/>
    <w:rsid w:val="00790977"/>
    <w:rsid w:val="00790E32"/>
    <w:rsid w:val="00792586"/>
    <w:rsid w:val="007A13DD"/>
    <w:rsid w:val="007B3FB6"/>
    <w:rsid w:val="007D27DC"/>
    <w:rsid w:val="007F0E1E"/>
    <w:rsid w:val="007F1CF4"/>
    <w:rsid w:val="007F638C"/>
    <w:rsid w:val="007F6FFB"/>
    <w:rsid w:val="00816E7F"/>
    <w:rsid w:val="00820A4F"/>
    <w:rsid w:val="00831A97"/>
    <w:rsid w:val="008347D3"/>
    <w:rsid w:val="00834B1A"/>
    <w:rsid w:val="008473AF"/>
    <w:rsid w:val="00855D46"/>
    <w:rsid w:val="00856361"/>
    <w:rsid w:val="008640E8"/>
    <w:rsid w:val="00864CEA"/>
    <w:rsid w:val="0087393A"/>
    <w:rsid w:val="0087550D"/>
    <w:rsid w:val="0087745C"/>
    <w:rsid w:val="00877FD3"/>
    <w:rsid w:val="00883900"/>
    <w:rsid w:val="00885AF6"/>
    <w:rsid w:val="00893649"/>
    <w:rsid w:val="00896BDE"/>
    <w:rsid w:val="008A4415"/>
    <w:rsid w:val="008B1170"/>
    <w:rsid w:val="008B5299"/>
    <w:rsid w:val="008B59BC"/>
    <w:rsid w:val="008C34C7"/>
    <w:rsid w:val="008C66E6"/>
    <w:rsid w:val="008C7659"/>
    <w:rsid w:val="008C78EF"/>
    <w:rsid w:val="008D444A"/>
    <w:rsid w:val="008D7BBA"/>
    <w:rsid w:val="008F48C3"/>
    <w:rsid w:val="008F5D8D"/>
    <w:rsid w:val="00900992"/>
    <w:rsid w:val="0091463D"/>
    <w:rsid w:val="009265F5"/>
    <w:rsid w:val="00926FCE"/>
    <w:rsid w:val="00943674"/>
    <w:rsid w:val="009451DC"/>
    <w:rsid w:val="00945C4E"/>
    <w:rsid w:val="009476DB"/>
    <w:rsid w:val="0095054E"/>
    <w:rsid w:val="00961211"/>
    <w:rsid w:val="009634F4"/>
    <w:rsid w:val="00964585"/>
    <w:rsid w:val="009678B4"/>
    <w:rsid w:val="00970895"/>
    <w:rsid w:val="00985FFF"/>
    <w:rsid w:val="00990B91"/>
    <w:rsid w:val="00994E60"/>
    <w:rsid w:val="009A37DE"/>
    <w:rsid w:val="009A4797"/>
    <w:rsid w:val="009B51BE"/>
    <w:rsid w:val="009B6A44"/>
    <w:rsid w:val="009C0494"/>
    <w:rsid w:val="009C1384"/>
    <w:rsid w:val="009C15BC"/>
    <w:rsid w:val="009C1A05"/>
    <w:rsid w:val="009C24D5"/>
    <w:rsid w:val="009C2F01"/>
    <w:rsid w:val="009D481B"/>
    <w:rsid w:val="009D5593"/>
    <w:rsid w:val="009D5674"/>
    <w:rsid w:val="009D5931"/>
    <w:rsid w:val="009E453C"/>
    <w:rsid w:val="009E602A"/>
    <w:rsid w:val="009F3417"/>
    <w:rsid w:val="009F452C"/>
    <w:rsid w:val="009F5E17"/>
    <w:rsid w:val="009F652F"/>
    <w:rsid w:val="00A00BF2"/>
    <w:rsid w:val="00A021F4"/>
    <w:rsid w:val="00A10E49"/>
    <w:rsid w:val="00A26BFE"/>
    <w:rsid w:val="00A30114"/>
    <w:rsid w:val="00A31460"/>
    <w:rsid w:val="00A31776"/>
    <w:rsid w:val="00A53448"/>
    <w:rsid w:val="00A566D5"/>
    <w:rsid w:val="00A61578"/>
    <w:rsid w:val="00A623E1"/>
    <w:rsid w:val="00A64676"/>
    <w:rsid w:val="00A668C1"/>
    <w:rsid w:val="00A67678"/>
    <w:rsid w:val="00A846CC"/>
    <w:rsid w:val="00A8644E"/>
    <w:rsid w:val="00A93D04"/>
    <w:rsid w:val="00A94FCF"/>
    <w:rsid w:val="00A953B3"/>
    <w:rsid w:val="00A97A2E"/>
    <w:rsid w:val="00AA15E3"/>
    <w:rsid w:val="00AA2068"/>
    <w:rsid w:val="00AA6566"/>
    <w:rsid w:val="00AB1E99"/>
    <w:rsid w:val="00AC0C54"/>
    <w:rsid w:val="00AC7397"/>
    <w:rsid w:val="00AD2FBD"/>
    <w:rsid w:val="00AD444D"/>
    <w:rsid w:val="00AD51E5"/>
    <w:rsid w:val="00AD5268"/>
    <w:rsid w:val="00AD5EBA"/>
    <w:rsid w:val="00AD7399"/>
    <w:rsid w:val="00AF4A9C"/>
    <w:rsid w:val="00AF63EF"/>
    <w:rsid w:val="00B04127"/>
    <w:rsid w:val="00B051B9"/>
    <w:rsid w:val="00B102D0"/>
    <w:rsid w:val="00B13B15"/>
    <w:rsid w:val="00B13D70"/>
    <w:rsid w:val="00B159BE"/>
    <w:rsid w:val="00B15DE8"/>
    <w:rsid w:val="00B160E8"/>
    <w:rsid w:val="00B24E10"/>
    <w:rsid w:val="00B31472"/>
    <w:rsid w:val="00B31C44"/>
    <w:rsid w:val="00B3410A"/>
    <w:rsid w:val="00B409BB"/>
    <w:rsid w:val="00B40BDA"/>
    <w:rsid w:val="00B47037"/>
    <w:rsid w:val="00B53427"/>
    <w:rsid w:val="00B65D60"/>
    <w:rsid w:val="00B71287"/>
    <w:rsid w:val="00B752EC"/>
    <w:rsid w:val="00B76B07"/>
    <w:rsid w:val="00B81766"/>
    <w:rsid w:val="00B8730C"/>
    <w:rsid w:val="00B949CA"/>
    <w:rsid w:val="00BA3C80"/>
    <w:rsid w:val="00BA6427"/>
    <w:rsid w:val="00BB4C6D"/>
    <w:rsid w:val="00BB5338"/>
    <w:rsid w:val="00BB6830"/>
    <w:rsid w:val="00BB7E6D"/>
    <w:rsid w:val="00BC0B4E"/>
    <w:rsid w:val="00BC1F0A"/>
    <w:rsid w:val="00BC64AE"/>
    <w:rsid w:val="00BD0C41"/>
    <w:rsid w:val="00BE0494"/>
    <w:rsid w:val="00BE2371"/>
    <w:rsid w:val="00C00D03"/>
    <w:rsid w:val="00C0758E"/>
    <w:rsid w:val="00C1181F"/>
    <w:rsid w:val="00C14CD8"/>
    <w:rsid w:val="00C202F0"/>
    <w:rsid w:val="00C213B5"/>
    <w:rsid w:val="00C23B39"/>
    <w:rsid w:val="00C35A07"/>
    <w:rsid w:val="00C35C03"/>
    <w:rsid w:val="00C4263D"/>
    <w:rsid w:val="00C45509"/>
    <w:rsid w:val="00C45836"/>
    <w:rsid w:val="00C6370B"/>
    <w:rsid w:val="00C645A5"/>
    <w:rsid w:val="00C74DE4"/>
    <w:rsid w:val="00C77E5C"/>
    <w:rsid w:val="00C77EB9"/>
    <w:rsid w:val="00C85801"/>
    <w:rsid w:val="00C9069A"/>
    <w:rsid w:val="00C913F2"/>
    <w:rsid w:val="00C9143E"/>
    <w:rsid w:val="00C95D6F"/>
    <w:rsid w:val="00CB4C34"/>
    <w:rsid w:val="00CB664F"/>
    <w:rsid w:val="00CC2981"/>
    <w:rsid w:val="00CD2DBA"/>
    <w:rsid w:val="00CD3224"/>
    <w:rsid w:val="00CD7810"/>
    <w:rsid w:val="00CD79DA"/>
    <w:rsid w:val="00CE02CF"/>
    <w:rsid w:val="00CE5E88"/>
    <w:rsid w:val="00CF0CF4"/>
    <w:rsid w:val="00CF2349"/>
    <w:rsid w:val="00CF4F55"/>
    <w:rsid w:val="00D02CD8"/>
    <w:rsid w:val="00D06FBA"/>
    <w:rsid w:val="00D12A62"/>
    <w:rsid w:val="00D137C0"/>
    <w:rsid w:val="00D15D0D"/>
    <w:rsid w:val="00D16CD6"/>
    <w:rsid w:val="00D17F19"/>
    <w:rsid w:val="00D31182"/>
    <w:rsid w:val="00D33359"/>
    <w:rsid w:val="00D3394F"/>
    <w:rsid w:val="00D42475"/>
    <w:rsid w:val="00D46E31"/>
    <w:rsid w:val="00D5173B"/>
    <w:rsid w:val="00D6044B"/>
    <w:rsid w:val="00D643DE"/>
    <w:rsid w:val="00D72AC5"/>
    <w:rsid w:val="00D82D0E"/>
    <w:rsid w:val="00D90106"/>
    <w:rsid w:val="00D94495"/>
    <w:rsid w:val="00D96CC3"/>
    <w:rsid w:val="00DA19E4"/>
    <w:rsid w:val="00DB02DA"/>
    <w:rsid w:val="00DB4B4F"/>
    <w:rsid w:val="00DB4C49"/>
    <w:rsid w:val="00DC73AD"/>
    <w:rsid w:val="00DD6642"/>
    <w:rsid w:val="00DE69AC"/>
    <w:rsid w:val="00DF27F9"/>
    <w:rsid w:val="00E046E9"/>
    <w:rsid w:val="00E0498D"/>
    <w:rsid w:val="00E059CD"/>
    <w:rsid w:val="00E06C5C"/>
    <w:rsid w:val="00E11473"/>
    <w:rsid w:val="00E16CBD"/>
    <w:rsid w:val="00E30009"/>
    <w:rsid w:val="00E322E5"/>
    <w:rsid w:val="00E323BF"/>
    <w:rsid w:val="00E33955"/>
    <w:rsid w:val="00E34CE4"/>
    <w:rsid w:val="00E4365E"/>
    <w:rsid w:val="00E454D8"/>
    <w:rsid w:val="00E56B57"/>
    <w:rsid w:val="00E85EFC"/>
    <w:rsid w:val="00E874B8"/>
    <w:rsid w:val="00E87839"/>
    <w:rsid w:val="00EA3004"/>
    <w:rsid w:val="00EB2E3F"/>
    <w:rsid w:val="00EB40AC"/>
    <w:rsid w:val="00EB7035"/>
    <w:rsid w:val="00EC32F3"/>
    <w:rsid w:val="00EC73D0"/>
    <w:rsid w:val="00ED20DD"/>
    <w:rsid w:val="00ED46FE"/>
    <w:rsid w:val="00ED7CDA"/>
    <w:rsid w:val="00EE2398"/>
    <w:rsid w:val="00EE6A56"/>
    <w:rsid w:val="00F04696"/>
    <w:rsid w:val="00F11032"/>
    <w:rsid w:val="00F112AD"/>
    <w:rsid w:val="00F17F65"/>
    <w:rsid w:val="00F20A8F"/>
    <w:rsid w:val="00F231AA"/>
    <w:rsid w:val="00F30C97"/>
    <w:rsid w:val="00F44E79"/>
    <w:rsid w:val="00F4500C"/>
    <w:rsid w:val="00F45B32"/>
    <w:rsid w:val="00F50ED8"/>
    <w:rsid w:val="00F51680"/>
    <w:rsid w:val="00F51C94"/>
    <w:rsid w:val="00F53233"/>
    <w:rsid w:val="00F64CBB"/>
    <w:rsid w:val="00F66F0A"/>
    <w:rsid w:val="00F71927"/>
    <w:rsid w:val="00F75802"/>
    <w:rsid w:val="00F771DE"/>
    <w:rsid w:val="00F80058"/>
    <w:rsid w:val="00F83A45"/>
    <w:rsid w:val="00F96879"/>
    <w:rsid w:val="00FA080D"/>
    <w:rsid w:val="00FA27D5"/>
    <w:rsid w:val="00FA2BD4"/>
    <w:rsid w:val="00FB5BCD"/>
    <w:rsid w:val="00FC1E8A"/>
    <w:rsid w:val="00FD236F"/>
    <w:rsid w:val="00FD6863"/>
    <w:rsid w:val="00FE2240"/>
    <w:rsid w:val="00FE592A"/>
    <w:rsid w:val="00FF02B0"/>
    <w:rsid w:val="00FF0FC7"/>
    <w:rsid w:val="00FF1E06"/>
    <w:rsid w:val="01022F1A"/>
    <w:rsid w:val="010A5DFC"/>
    <w:rsid w:val="010C5CB3"/>
    <w:rsid w:val="011227F0"/>
    <w:rsid w:val="011434A0"/>
    <w:rsid w:val="01207B0A"/>
    <w:rsid w:val="012117ED"/>
    <w:rsid w:val="0140441F"/>
    <w:rsid w:val="014452FA"/>
    <w:rsid w:val="014665EB"/>
    <w:rsid w:val="015200EF"/>
    <w:rsid w:val="01522213"/>
    <w:rsid w:val="015461E1"/>
    <w:rsid w:val="015C2AAD"/>
    <w:rsid w:val="016078FD"/>
    <w:rsid w:val="0174109E"/>
    <w:rsid w:val="01822154"/>
    <w:rsid w:val="018A41D4"/>
    <w:rsid w:val="019F46E3"/>
    <w:rsid w:val="01A56261"/>
    <w:rsid w:val="01A73D87"/>
    <w:rsid w:val="01B84869"/>
    <w:rsid w:val="01BF4D92"/>
    <w:rsid w:val="01CE4956"/>
    <w:rsid w:val="01D164A7"/>
    <w:rsid w:val="01E62509"/>
    <w:rsid w:val="01EA1DDE"/>
    <w:rsid w:val="01EC0670"/>
    <w:rsid w:val="01F1594A"/>
    <w:rsid w:val="01F62F61"/>
    <w:rsid w:val="02016E95"/>
    <w:rsid w:val="020531A4"/>
    <w:rsid w:val="022013A4"/>
    <w:rsid w:val="022016BA"/>
    <w:rsid w:val="02223D56"/>
    <w:rsid w:val="022528E9"/>
    <w:rsid w:val="022A5B77"/>
    <w:rsid w:val="022C6982"/>
    <w:rsid w:val="022D453D"/>
    <w:rsid w:val="022E26FA"/>
    <w:rsid w:val="023A109F"/>
    <w:rsid w:val="023D7B59"/>
    <w:rsid w:val="02475427"/>
    <w:rsid w:val="02485245"/>
    <w:rsid w:val="024D4A7D"/>
    <w:rsid w:val="025D6B3C"/>
    <w:rsid w:val="026223A4"/>
    <w:rsid w:val="02646E01"/>
    <w:rsid w:val="026E0D49"/>
    <w:rsid w:val="027A5940"/>
    <w:rsid w:val="02930177"/>
    <w:rsid w:val="029562D6"/>
    <w:rsid w:val="02A46301"/>
    <w:rsid w:val="02BF15A4"/>
    <w:rsid w:val="02C006A3"/>
    <w:rsid w:val="02D30A17"/>
    <w:rsid w:val="02D52AF4"/>
    <w:rsid w:val="02D934C2"/>
    <w:rsid w:val="02D957AA"/>
    <w:rsid w:val="02F11831"/>
    <w:rsid w:val="02F25726"/>
    <w:rsid w:val="031738FC"/>
    <w:rsid w:val="03174F3D"/>
    <w:rsid w:val="03176D9B"/>
    <w:rsid w:val="031D5502"/>
    <w:rsid w:val="03265180"/>
    <w:rsid w:val="0328539C"/>
    <w:rsid w:val="03317596"/>
    <w:rsid w:val="03367AB9"/>
    <w:rsid w:val="0341020B"/>
    <w:rsid w:val="035D5714"/>
    <w:rsid w:val="035F499F"/>
    <w:rsid w:val="03627B33"/>
    <w:rsid w:val="03633D66"/>
    <w:rsid w:val="03675AE6"/>
    <w:rsid w:val="037021BB"/>
    <w:rsid w:val="03806F86"/>
    <w:rsid w:val="038B76AF"/>
    <w:rsid w:val="039604AB"/>
    <w:rsid w:val="03962E1E"/>
    <w:rsid w:val="03A4539A"/>
    <w:rsid w:val="03AE6ED2"/>
    <w:rsid w:val="03B56464"/>
    <w:rsid w:val="03BE360A"/>
    <w:rsid w:val="03C57E02"/>
    <w:rsid w:val="03CE4B98"/>
    <w:rsid w:val="03D1158F"/>
    <w:rsid w:val="03D25E0F"/>
    <w:rsid w:val="03DD389B"/>
    <w:rsid w:val="03E07A24"/>
    <w:rsid w:val="03F23D0A"/>
    <w:rsid w:val="03F262CB"/>
    <w:rsid w:val="03F37758"/>
    <w:rsid w:val="04074FB1"/>
    <w:rsid w:val="04167324"/>
    <w:rsid w:val="04363AE8"/>
    <w:rsid w:val="04382C82"/>
    <w:rsid w:val="04397099"/>
    <w:rsid w:val="043972F7"/>
    <w:rsid w:val="04441D61"/>
    <w:rsid w:val="04455AD9"/>
    <w:rsid w:val="044B7594"/>
    <w:rsid w:val="045973AC"/>
    <w:rsid w:val="045C354F"/>
    <w:rsid w:val="046E630F"/>
    <w:rsid w:val="048730DF"/>
    <w:rsid w:val="04874344"/>
    <w:rsid w:val="048900BC"/>
    <w:rsid w:val="048A6A6A"/>
    <w:rsid w:val="04993E34"/>
    <w:rsid w:val="04A42800"/>
    <w:rsid w:val="04A722F0"/>
    <w:rsid w:val="04AF5CFE"/>
    <w:rsid w:val="04B50EB1"/>
    <w:rsid w:val="04CA3668"/>
    <w:rsid w:val="04D619A6"/>
    <w:rsid w:val="04D93EDD"/>
    <w:rsid w:val="04E62222"/>
    <w:rsid w:val="04EE67BF"/>
    <w:rsid w:val="04F05A45"/>
    <w:rsid w:val="04F62D89"/>
    <w:rsid w:val="04FE2385"/>
    <w:rsid w:val="051F34E9"/>
    <w:rsid w:val="052027CE"/>
    <w:rsid w:val="0521616E"/>
    <w:rsid w:val="05283431"/>
    <w:rsid w:val="052A5B71"/>
    <w:rsid w:val="052F1315"/>
    <w:rsid w:val="05300FA5"/>
    <w:rsid w:val="054A784B"/>
    <w:rsid w:val="054E7852"/>
    <w:rsid w:val="05621AE7"/>
    <w:rsid w:val="056B1570"/>
    <w:rsid w:val="056D4AD9"/>
    <w:rsid w:val="05706B86"/>
    <w:rsid w:val="05720B50"/>
    <w:rsid w:val="057743B8"/>
    <w:rsid w:val="059966E4"/>
    <w:rsid w:val="059E1945"/>
    <w:rsid w:val="059E1CFB"/>
    <w:rsid w:val="05A54A82"/>
    <w:rsid w:val="05A86320"/>
    <w:rsid w:val="05AB5E10"/>
    <w:rsid w:val="05B1513F"/>
    <w:rsid w:val="05D345EE"/>
    <w:rsid w:val="05D52F2E"/>
    <w:rsid w:val="05DA38E6"/>
    <w:rsid w:val="05DE4E38"/>
    <w:rsid w:val="05EC445F"/>
    <w:rsid w:val="05ED01D7"/>
    <w:rsid w:val="060379FA"/>
    <w:rsid w:val="06084C62"/>
    <w:rsid w:val="062735F3"/>
    <w:rsid w:val="06274484"/>
    <w:rsid w:val="062B0382"/>
    <w:rsid w:val="06345E06"/>
    <w:rsid w:val="06787C3B"/>
    <w:rsid w:val="068C5BB2"/>
    <w:rsid w:val="068D2478"/>
    <w:rsid w:val="069D3115"/>
    <w:rsid w:val="06A458A9"/>
    <w:rsid w:val="06A50AB1"/>
    <w:rsid w:val="06B75848"/>
    <w:rsid w:val="06BE2A39"/>
    <w:rsid w:val="06C32529"/>
    <w:rsid w:val="06C453DB"/>
    <w:rsid w:val="06C81E6C"/>
    <w:rsid w:val="06C9131C"/>
    <w:rsid w:val="06D7684F"/>
    <w:rsid w:val="06DC4C21"/>
    <w:rsid w:val="06F07F7E"/>
    <w:rsid w:val="06F3181D"/>
    <w:rsid w:val="06FF6413"/>
    <w:rsid w:val="070F2A67"/>
    <w:rsid w:val="07180CFC"/>
    <w:rsid w:val="07201CA4"/>
    <w:rsid w:val="07255270"/>
    <w:rsid w:val="07283BBC"/>
    <w:rsid w:val="072E0D78"/>
    <w:rsid w:val="073304FB"/>
    <w:rsid w:val="07481B68"/>
    <w:rsid w:val="07486069"/>
    <w:rsid w:val="074F4BF6"/>
    <w:rsid w:val="07510C64"/>
    <w:rsid w:val="075C75B8"/>
    <w:rsid w:val="07610E7C"/>
    <w:rsid w:val="076F5F36"/>
    <w:rsid w:val="077611A1"/>
    <w:rsid w:val="077D4289"/>
    <w:rsid w:val="07852DBD"/>
    <w:rsid w:val="07971EC4"/>
    <w:rsid w:val="079923C4"/>
    <w:rsid w:val="079B3191"/>
    <w:rsid w:val="07A12560"/>
    <w:rsid w:val="07A36AA6"/>
    <w:rsid w:val="07BA49ED"/>
    <w:rsid w:val="07C338E5"/>
    <w:rsid w:val="07CA2F79"/>
    <w:rsid w:val="07CE5A00"/>
    <w:rsid w:val="07E61381"/>
    <w:rsid w:val="07E80E65"/>
    <w:rsid w:val="07EA3DB1"/>
    <w:rsid w:val="07EF6488"/>
    <w:rsid w:val="07F95559"/>
    <w:rsid w:val="081D46AA"/>
    <w:rsid w:val="081E4FBF"/>
    <w:rsid w:val="08275C22"/>
    <w:rsid w:val="082D45E6"/>
    <w:rsid w:val="082E5202"/>
    <w:rsid w:val="082E750E"/>
    <w:rsid w:val="083926E1"/>
    <w:rsid w:val="08395955"/>
    <w:rsid w:val="0845753A"/>
    <w:rsid w:val="08597DA5"/>
    <w:rsid w:val="085E6D37"/>
    <w:rsid w:val="08677FF5"/>
    <w:rsid w:val="08687FE8"/>
    <w:rsid w:val="0871354B"/>
    <w:rsid w:val="089332B7"/>
    <w:rsid w:val="08BE0F21"/>
    <w:rsid w:val="08BF5E5A"/>
    <w:rsid w:val="08C07B4D"/>
    <w:rsid w:val="08C160AA"/>
    <w:rsid w:val="08DE5EE7"/>
    <w:rsid w:val="08E7715F"/>
    <w:rsid w:val="08E81855"/>
    <w:rsid w:val="090917CB"/>
    <w:rsid w:val="090C4E18"/>
    <w:rsid w:val="090F77B1"/>
    <w:rsid w:val="091343F8"/>
    <w:rsid w:val="09147F19"/>
    <w:rsid w:val="09185B72"/>
    <w:rsid w:val="091C4C21"/>
    <w:rsid w:val="0920065A"/>
    <w:rsid w:val="09383E5F"/>
    <w:rsid w:val="093E2BBB"/>
    <w:rsid w:val="093F3037"/>
    <w:rsid w:val="094342B6"/>
    <w:rsid w:val="09497E1A"/>
    <w:rsid w:val="09503FF6"/>
    <w:rsid w:val="09557AD2"/>
    <w:rsid w:val="095715B3"/>
    <w:rsid w:val="095729BC"/>
    <w:rsid w:val="09664528"/>
    <w:rsid w:val="096F54E1"/>
    <w:rsid w:val="096F5AD2"/>
    <w:rsid w:val="097924AD"/>
    <w:rsid w:val="097F7444"/>
    <w:rsid w:val="098D5F59"/>
    <w:rsid w:val="09976DD7"/>
    <w:rsid w:val="09AD65FB"/>
    <w:rsid w:val="09B21785"/>
    <w:rsid w:val="09BC683E"/>
    <w:rsid w:val="09CD0A4B"/>
    <w:rsid w:val="09D27E0F"/>
    <w:rsid w:val="09D41DD9"/>
    <w:rsid w:val="09EB4302"/>
    <w:rsid w:val="09EF7A63"/>
    <w:rsid w:val="09F85F2E"/>
    <w:rsid w:val="0A042B2D"/>
    <w:rsid w:val="0A200529"/>
    <w:rsid w:val="0A2D5046"/>
    <w:rsid w:val="0A2E1547"/>
    <w:rsid w:val="0A3221EC"/>
    <w:rsid w:val="0A4228A2"/>
    <w:rsid w:val="0A4B7955"/>
    <w:rsid w:val="0A4D1DB3"/>
    <w:rsid w:val="0A514413"/>
    <w:rsid w:val="0A525041"/>
    <w:rsid w:val="0A70298F"/>
    <w:rsid w:val="0A7315F2"/>
    <w:rsid w:val="0A734DF3"/>
    <w:rsid w:val="0A8A693C"/>
    <w:rsid w:val="0A94109B"/>
    <w:rsid w:val="0A981059"/>
    <w:rsid w:val="0AB85257"/>
    <w:rsid w:val="0AC37758"/>
    <w:rsid w:val="0ACB4F8A"/>
    <w:rsid w:val="0ACE4B98"/>
    <w:rsid w:val="0AD100C7"/>
    <w:rsid w:val="0AE179ED"/>
    <w:rsid w:val="0AE20526"/>
    <w:rsid w:val="0B09160F"/>
    <w:rsid w:val="0B0C485D"/>
    <w:rsid w:val="0B1A1A6E"/>
    <w:rsid w:val="0B293A5F"/>
    <w:rsid w:val="0B2D79F3"/>
    <w:rsid w:val="0B402C66"/>
    <w:rsid w:val="0B411499"/>
    <w:rsid w:val="0B425F02"/>
    <w:rsid w:val="0B466AEF"/>
    <w:rsid w:val="0B4B2446"/>
    <w:rsid w:val="0B4B5097"/>
    <w:rsid w:val="0B4E3153"/>
    <w:rsid w:val="0B600C6F"/>
    <w:rsid w:val="0B6147F1"/>
    <w:rsid w:val="0B623F32"/>
    <w:rsid w:val="0B763970"/>
    <w:rsid w:val="0B772A1C"/>
    <w:rsid w:val="0B7E7B3B"/>
    <w:rsid w:val="0B911279"/>
    <w:rsid w:val="0B911AD5"/>
    <w:rsid w:val="0B9E6186"/>
    <w:rsid w:val="0BA12B28"/>
    <w:rsid w:val="0BBC47CC"/>
    <w:rsid w:val="0BC1638D"/>
    <w:rsid w:val="0BDA11FD"/>
    <w:rsid w:val="0C191D25"/>
    <w:rsid w:val="0C1D0E68"/>
    <w:rsid w:val="0C2506CA"/>
    <w:rsid w:val="0C264442"/>
    <w:rsid w:val="0C31427E"/>
    <w:rsid w:val="0C32639D"/>
    <w:rsid w:val="0C3D1CCB"/>
    <w:rsid w:val="0C580AA0"/>
    <w:rsid w:val="0C743400"/>
    <w:rsid w:val="0C760F26"/>
    <w:rsid w:val="0C761C15"/>
    <w:rsid w:val="0C8A2C23"/>
    <w:rsid w:val="0C8E2713"/>
    <w:rsid w:val="0C913FB2"/>
    <w:rsid w:val="0C9A69EB"/>
    <w:rsid w:val="0C9D2956"/>
    <w:rsid w:val="0C9F3667"/>
    <w:rsid w:val="0C9F66CF"/>
    <w:rsid w:val="0CAA7838"/>
    <w:rsid w:val="0CC003F3"/>
    <w:rsid w:val="0CD8398F"/>
    <w:rsid w:val="0CDE32EF"/>
    <w:rsid w:val="0CEA36C2"/>
    <w:rsid w:val="0CEB1914"/>
    <w:rsid w:val="0CF33E53"/>
    <w:rsid w:val="0CF62067"/>
    <w:rsid w:val="0CF87B8D"/>
    <w:rsid w:val="0CFA3AC7"/>
    <w:rsid w:val="0CFB1AC6"/>
    <w:rsid w:val="0CFB767D"/>
    <w:rsid w:val="0D186481"/>
    <w:rsid w:val="0D1D1C55"/>
    <w:rsid w:val="0D222E5C"/>
    <w:rsid w:val="0D267BB0"/>
    <w:rsid w:val="0D2A1D10"/>
    <w:rsid w:val="0D2C5A88"/>
    <w:rsid w:val="0D5C45C0"/>
    <w:rsid w:val="0D5F5E5E"/>
    <w:rsid w:val="0D603C6A"/>
    <w:rsid w:val="0D616EF9"/>
    <w:rsid w:val="0D692839"/>
    <w:rsid w:val="0D6B4803"/>
    <w:rsid w:val="0D6B56DF"/>
    <w:rsid w:val="0D7511DD"/>
    <w:rsid w:val="0D771E3E"/>
    <w:rsid w:val="0D7C7B9F"/>
    <w:rsid w:val="0D7F3E0A"/>
    <w:rsid w:val="0D86163D"/>
    <w:rsid w:val="0DC83A03"/>
    <w:rsid w:val="0DCD726B"/>
    <w:rsid w:val="0DCE2F75"/>
    <w:rsid w:val="0DD3512D"/>
    <w:rsid w:val="0DDA2D3E"/>
    <w:rsid w:val="0DE87C01"/>
    <w:rsid w:val="0DEC55AB"/>
    <w:rsid w:val="0DEE3B69"/>
    <w:rsid w:val="0DF63CF6"/>
    <w:rsid w:val="0E092B30"/>
    <w:rsid w:val="0E171FE1"/>
    <w:rsid w:val="0E303356"/>
    <w:rsid w:val="0E3A41D5"/>
    <w:rsid w:val="0E3E143E"/>
    <w:rsid w:val="0E3F184B"/>
    <w:rsid w:val="0E531098"/>
    <w:rsid w:val="0E59024A"/>
    <w:rsid w:val="0E5B1142"/>
    <w:rsid w:val="0E611762"/>
    <w:rsid w:val="0E62206F"/>
    <w:rsid w:val="0E625C06"/>
    <w:rsid w:val="0E632F35"/>
    <w:rsid w:val="0E6D0107"/>
    <w:rsid w:val="0E6D6359"/>
    <w:rsid w:val="0E6F0323"/>
    <w:rsid w:val="0E772D33"/>
    <w:rsid w:val="0E7A0181"/>
    <w:rsid w:val="0E7F107C"/>
    <w:rsid w:val="0E7F123D"/>
    <w:rsid w:val="0E806A77"/>
    <w:rsid w:val="0E910299"/>
    <w:rsid w:val="0E924011"/>
    <w:rsid w:val="0EAF0B9A"/>
    <w:rsid w:val="0EC817E1"/>
    <w:rsid w:val="0EC96181"/>
    <w:rsid w:val="0ECD6DF7"/>
    <w:rsid w:val="0ED40186"/>
    <w:rsid w:val="0EE67FB3"/>
    <w:rsid w:val="0EEE56EB"/>
    <w:rsid w:val="0EF35BB8"/>
    <w:rsid w:val="0EF80318"/>
    <w:rsid w:val="0EFC3F01"/>
    <w:rsid w:val="0F046751"/>
    <w:rsid w:val="0F046CBD"/>
    <w:rsid w:val="0F072309"/>
    <w:rsid w:val="0F130858"/>
    <w:rsid w:val="0F1A028E"/>
    <w:rsid w:val="0F26497B"/>
    <w:rsid w:val="0F2B6FE6"/>
    <w:rsid w:val="0F2C2166"/>
    <w:rsid w:val="0F2C6214"/>
    <w:rsid w:val="0F2C7FC2"/>
    <w:rsid w:val="0F360E40"/>
    <w:rsid w:val="0F421593"/>
    <w:rsid w:val="0F4618C5"/>
    <w:rsid w:val="0F4F11A4"/>
    <w:rsid w:val="0F5A4B2F"/>
    <w:rsid w:val="0F5F654A"/>
    <w:rsid w:val="0F73799F"/>
    <w:rsid w:val="0F751969"/>
    <w:rsid w:val="0F772389"/>
    <w:rsid w:val="0F7F6343"/>
    <w:rsid w:val="0F9319BC"/>
    <w:rsid w:val="0FA5068F"/>
    <w:rsid w:val="0FB22A55"/>
    <w:rsid w:val="0FBA55CD"/>
    <w:rsid w:val="0FCB4DEA"/>
    <w:rsid w:val="0FCF4076"/>
    <w:rsid w:val="0FD02C7C"/>
    <w:rsid w:val="0FD20B69"/>
    <w:rsid w:val="0FDB3FE6"/>
    <w:rsid w:val="0FDD21EC"/>
    <w:rsid w:val="0FE81097"/>
    <w:rsid w:val="0FED14FF"/>
    <w:rsid w:val="0FF95F68"/>
    <w:rsid w:val="100A0B27"/>
    <w:rsid w:val="10120F66"/>
    <w:rsid w:val="101451B2"/>
    <w:rsid w:val="10217BFD"/>
    <w:rsid w:val="10297D59"/>
    <w:rsid w:val="102E48B5"/>
    <w:rsid w:val="10317576"/>
    <w:rsid w:val="103602A9"/>
    <w:rsid w:val="103A04BC"/>
    <w:rsid w:val="103B4960"/>
    <w:rsid w:val="104D3F77"/>
    <w:rsid w:val="104D6442"/>
    <w:rsid w:val="105B0B5E"/>
    <w:rsid w:val="106258BB"/>
    <w:rsid w:val="10686DD7"/>
    <w:rsid w:val="10695580"/>
    <w:rsid w:val="106C1980"/>
    <w:rsid w:val="10790FE5"/>
    <w:rsid w:val="10852632"/>
    <w:rsid w:val="109B71AD"/>
    <w:rsid w:val="10A1358B"/>
    <w:rsid w:val="10A51EBF"/>
    <w:rsid w:val="10A55610"/>
    <w:rsid w:val="10A95622"/>
    <w:rsid w:val="10AA395B"/>
    <w:rsid w:val="10AD7440"/>
    <w:rsid w:val="10BA75CD"/>
    <w:rsid w:val="10D26947"/>
    <w:rsid w:val="10D64689"/>
    <w:rsid w:val="10DC6C37"/>
    <w:rsid w:val="10E02E12"/>
    <w:rsid w:val="10E45069"/>
    <w:rsid w:val="10EC5674"/>
    <w:rsid w:val="10EC72FB"/>
    <w:rsid w:val="111D54CE"/>
    <w:rsid w:val="111F7DDE"/>
    <w:rsid w:val="11205904"/>
    <w:rsid w:val="112B1EA7"/>
    <w:rsid w:val="11535942"/>
    <w:rsid w:val="118425CC"/>
    <w:rsid w:val="118757DB"/>
    <w:rsid w:val="118A69CA"/>
    <w:rsid w:val="1193257A"/>
    <w:rsid w:val="11962E76"/>
    <w:rsid w:val="119F1E99"/>
    <w:rsid w:val="11A466E4"/>
    <w:rsid w:val="11B03A6A"/>
    <w:rsid w:val="11B1165C"/>
    <w:rsid w:val="11B47436"/>
    <w:rsid w:val="11BD75F7"/>
    <w:rsid w:val="11C40F9F"/>
    <w:rsid w:val="11D40097"/>
    <w:rsid w:val="11D71FF3"/>
    <w:rsid w:val="11E052A9"/>
    <w:rsid w:val="11E63BAA"/>
    <w:rsid w:val="11EB42AF"/>
    <w:rsid w:val="11F272A1"/>
    <w:rsid w:val="11F94C38"/>
    <w:rsid w:val="120E33C9"/>
    <w:rsid w:val="12103BCB"/>
    <w:rsid w:val="12107727"/>
    <w:rsid w:val="121216F1"/>
    <w:rsid w:val="121F3E0E"/>
    <w:rsid w:val="12216D8D"/>
    <w:rsid w:val="122239C2"/>
    <w:rsid w:val="12477B58"/>
    <w:rsid w:val="12533D65"/>
    <w:rsid w:val="125947A5"/>
    <w:rsid w:val="12643B67"/>
    <w:rsid w:val="12706417"/>
    <w:rsid w:val="1273243E"/>
    <w:rsid w:val="127756B6"/>
    <w:rsid w:val="128271E9"/>
    <w:rsid w:val="12A712A8"/>
    <w:rsid w:val="12A7736A"/>
    <w:rsid w:val="12A9311D"/>
    <w:rsid w:val="12AF6F40"/>
    <w:rsid w:val="12B34AC0"/>
    <w:rsid w:val="12B41771"/>
    <w:rsid w:val="12B72298"/>
    <w:rsid w:val="12C15AFF"/>
    <w:rsid w:val="12C34A8A"/>
    <w:rsid w:val="12C56763"/>
    <w:rsid w:val="12CF1390"/>
    <w:rsid w:val="12D013A4"/>
    <w:rsid w:val="12D8397F"/>
    <w:rsid w:val="12DB5969"/>
    <w:rsid w:val="12DD1CFF"/>
    <w:rsid w:val="12E017EF"/>
    <w:rsid w:val="12EA6C3E"/>
    <w:rsid w:val="12F227B8"/>
    <w:rsid w:val="12F9465F"/>
    <w:rsid w:val="12F97A78"/>
    <w:rsid w:val="13222D96"/>
    <w:rsid w:val="13287CB0"/>
    <w:rsid w:val="13533D6F"/>
    <w:rsid w:val="135B45A2"/>
    <w:rsid w:val="135D43F8"/>
    <w:rsid w:val="13620BC8"/>
    <w:rsid w:val="13623FB2"/>
    <w:rsid w:val="137F29A5"/>
    <w:rsid w:val="138020F6"/>
    <w:rsid w:val="13810E97"/>
    <w:rsid w:val="138228A6"/>
    <w:rsid w:val="13845E46"/>
    <w:rsid w:val="13961EAE"/>
    <w:rsid w:val="13A445CA"/>
    <w:rsid w:val="13AC59E2"/>
    <w:rsid w:val="13BA2040"/>
    <w:rsid w:val="13BB2232"/>
    <w:rsid w:val="13C519E6"/>
    <w:rsid w:val="13C70B93"/>
    <w:rsid w:val="13CD7229"/>
    <w:rsid w:val="13D6674E"/>
    <w:rsid w:val="13DC1FB6"/>
    <w:rsid w:val="13F6294C"/>
    <w:rsid w:val="13F76DF0"/>
    <w:rsid w:val="140911DD"/>
    <w:rsid w:val="140A68EA"/>
    <w:rsid w:val="14107EB2"/>
    <w:rsid w:val="141D000D"/>
    <w:rsid w:val="142E0338"/>
    <w:rsid w:val="142F46DE"/>
    <w:rsid w:val="143C4803"/>
    <w:rsid w:val="14460456"/>
    <w:rsid w:val="144B0B2B"/>
    <w:rsid w:val="1453431C"/>
    <w:rsid w:val="14563D81"/>
    <w:rsid w:val="145A673D"/>
    <w:rsid w:val="14627FE2"/>
    <w:rsid w:val="146568BA"/>
    <w:rsid w:val="146629D1"/>
    <w:rsid w:val="14860174"/>
    <w:rsid w:val="1488500C"/>
    <w:rsid w:val="14897E8F"/>
    <w:rsid w:val="14960A90"/>
    <w:rsid w:val="14A25F16"/>
    <w:rsid w:val="14A758CC"/>
    <w:rsid w:val="14B051F1"/>
    <w:rsid w:val="14B33AEB"/>
    <w:rsid w:val="14B41729"/>
    <w:rsid w:val="14B922F8"/>
    <w:rsid w:val="14CB3DD9"/>
    <w:rsid w:val="14CF7214"/>
    <w:rsid w:val="14D47131"/>
    <w:rsid w:val="14E44DD4"/>
    <w:rsid w:val="15022AE2"/>
    <w:rsid w:val="1505553D"/>
    <w:rsid w:val="150712B5"/>
    <w:rsid w:val="15071B6F"/>
    <w:rsid w:val="15126455"/>
    <w:rsid w:val="151268D1"/>
    <w:rsid w:val="15127C5A"/>
    <w:rsid w:val="15282904"/>
    <w:rsid w:val="15477903"/>
    <w:rsid w:val="15545D8D"/>
    <w:rsid w:val="155838BF"/>
    <w:rsid w:val="15657D89"/>
    <w:rsid w:val="1568787A"/>
    <w:rsid w:val="15721096"/>
    <w:rsid w:val="15744470"/>
    <w:rsid w:val="157F3C36"/>
    <w:rsid w:val="158E5532"/>
    <w:rsid w:val="15980C29"/>
    <w:rsid w:val="159A6BFF"/>
    <w:rsid w:val="15A207DC"/>
    <w:rsid w:val="15A22D8C"/>
    <w:rsid w:val="15A24B3A"/>
    <w:rsid w:val="15A603E4"/>
    <w:rsid w:val="15A9756C"/>
    <w:rsid w:val="15B30485"/>
    <w:rsid w:val="15BD70C5"/>
    <w:rsid w:val="15C33C0E"/>
    <w:rsid w:val="15C34AB0"/>
    <w:rsid w:val="15C63589"/>
    <w:rsid w:val="15C9656A"/>
    <w:rsid w:val="15D31197"/>
    <w:rsid w:val="15E2263B"/>
    <w:rsid w:val="15E30B21"/>
    <w:rsid w:val="15EB6842"/>
    <w:rsid w:val="15F07F9B"/>
    <w:rsid w:val="15F8467B"/>
    <w:rsid w:val="15FD2FBD"/>
    <w:rsid w:val="16077093"/>
    <w:rsid w:val="160E0421"/>
    <w:rsid w:val="16133C89"/>
    <w:rsid w:val="161A5018"/>
    <w:rsid w:val="161F262E"/>
    <w:rsid w:val="16270A04"/>
    <w:rsid w:val="16386068"/>
    <w:rsid w:val="163946DF"/>
    <w:rsid w:val="163B6C3B"/>
    <w:rsid w:val="164976AB"/>
    <w:rsid w:val="164B6D18"/>
    <w:rsid w:val="165027E8"/>
    <w:rsid w:val="165F32DB"/>
    <w:rsid w:val="16702E8A"/>
    <w:rsid w:val="168357F5"/>
    <w:rsid w:val="168635C4"/>
    <w:rsid w:val="168E775D"/>
    <w:rsid w:val="16981B37"/>
    <w:rsid w:val="16A37443"/>
    <w:rsid w:val="16AD1D14"/>
    <w:rsid w:val="16B54D41"/>
    <w:rsid w:val="16D60680"/>
    <w:rsid w:val="16E41182"/>
    <w:rsid w:val="16E565A5"/>
    <w:rsid w:val="16EB2510"/>
    <w:rsid w:val="16EF0253"/>
    <w:rsid w:val="16F45869"/>
    <w:rsid w:val="170F26A3"/>
    <w:rsid w:val="171B1048"/>
    <w:rsid w:val="171B7BDC"/>
    <w:rsid w:val="172D2B29"/>
    <w:rsid w:val="17332894"/>
    <w:rsid w:val="1739327C"/>
    <w:rsid w:val="17397720"/>
    <w:rsid w:val="173C2830"/>
    <w:rsid w:val="17400AAE"/>
    <w:rsid w:val="176127D3"/>
    <w:rsid w:val="17667DE9"/>
    <w:rsid w:val="176E561B"/>
    <w:rsid w:val="17707E2F"/>
    <w:rsid w:val="17712BD5"/>
    <w:rsid w:val="177B7D38"/>
    <w:rsid w:val="1787048B"/>
    <w:rsid w:val="17917AA7"/>
    <w:rsid w:val="17A51B58"/>
    <w:rsid w:val="17A56B63"/>
    <w:rsid w:val="17C214C3"/>
    <w:rsid w:val="17C23271"/>
    <w:rsid w:val="17D742A8"/>
    <w:rsid w:val="17DC2C86"/>
    <w:rsid w:val="17E47FCE"/>
    <w:rsid w:val="17E551B2"/>
    <w:rsid w:val="17E969D2"/>
    <w:rsid w:val="17EE22B8"/>
    <w:rsid w:val="17F2678C"/>
    <w:rsid w:val="17F4618D"/>
    <w:rsid w:val="17FF0249"/>
    <w:rsid w:val="17FF6CE2"/>
    <w:rsid w:val="180325C9"/>
    <w:rsid w:val="18053AAD"/>
    <w:rsid w:val="18064657"/>
    <w:rsid w:val="18137F71"/>
    <w:rsid w:val="181810E3"/>
    <w:rsid w:val="18297794"/>
    <w:rsid w:val="183A720F"/>
    <w:rsid w:val="183D3240"/>
    <w:rsid w:val="184067C7"/>
    <w:rsid w:val="18492B13"/>
    <w:rsid w:val="184C6FDF"/>
    <w:rsid w:val="18500C94"/>
    <w:rsid w:val="185B2B43"/>
    <w:rsid w:val="18624A54"/>
    <w:rsid w:val="18716A45"/>
    <w:rsid w:val="18734F9D"/>
    <w:rsid w:val="18755FEB"/>
    <w:rsid w:val="189270E7"/>
    <w:rsid w:val="18930D53"/>
    <w:rsid w:val="18972950"/>
    <w:rsid w:val="189A41EE"/>
    <w:rsid w:val="189C7F66"/>
    <w:rsid w:val="189F631D"/>
    <w:rsid w:val="18AB1F57"/>
    <w:rsid w:val="18B326DE"/>
    <w:rsid w:val="18BA4890"/>
    <w:rsid w:val="18BF3C55"/>
    <w:rsid w:val="18C85053"/>
    <w:rsid w:val="18CF6479"/>
    <w:rsid w:val="18D56FD4"/>
    <w:rsid w:val="18D94D16"/>
    <w:rsid w:val="18E17A47"/>
    <w:rsid w:val="18F24080"/>
    <w:rsid w:val="190540F4"/>
    <w:rsid w:val="19117078"/>
    <w:rsid w:val="19143FA0"/>
    <w:rsid w:val="19163ECA"/>
    <w:rsid w:val="19191BBD"/>
    <w:rsid w:val="19341F4D"/>
    <w:rsid w:val="193A32DB"/>
    <w:rsid w:val="194255A6"/>
    <w:rsid w:val="194303E2"/>
    <w:rsid w:val="19575C3B"/>
    <w:rsid w:val="19742C91"/>
    <w:rsid w:val="198F157A"/>
    <w:rsid w:val="199E1ABC"/>
    <w:rsid w:val="199E3083"/>
    <w:rsid w:val="19A50196"/>
    <w:rsid w:val="19C05ED6"/>
    <w:rsid w:val="19C14CC1"/>
    <w:rsid w:val="19CD61B0"/>
    <w:rsid w:val="19CE23A1"/>
    <w:rsid w:val="19D366DF"/>
    <w:rsid w:val="19E467DF"/>
    <w:rsid w:val="19EE73A5"/>
    <w:rsid w:val="1A045DC3"/>
    <w:rsid w:val="1A051B3B"/>
    <w:rsid w:val="1A11228E"/>
    <w:rsid w:val="1A366198"/>
    <w:rsid w:val="1A417F00"/>
    <w:rsid w:val="1A491A28"/>
    <w:rsid w:val="1A4B1924"/>
    <w:rsid w:val="1A4E34E2"/>
    <w:rsid w:val="1A587EBD"/>
    <w:rsid w:val="1A5D1977"/>
    <w:rsid w:val="1A701A29"/>
    <w:rsid w:val="1A931FC5"/>
    <w:rsid w:val="1A9D6217"/>
    <w:rsid w:val="1AA60537"/>
    <w:rsid w:val="1AB31597"/>
    <w:rsid w:val="1ABA46D4"/>
    <w:rsid w:val="1AC6751C"/>
    <w:rsid w:val="1AC74C63"/>
    <w:rsid w:val="1AD75285"/>
    <w:rsid w:val="1ADC289C"/>
    <w:rsid w:val="1ADF6855"/>
    <w:rsid w:val="1AE42B5B"/>
    <w:rsid w:val="1AF8515B"/>
    <w:rsid w:val="1B0342CC"/>
    <w:rsid w:val="1B057A55"/>
    <w:rsid w:val="1B0818E3"/>
    <w:rsid w:val="1B0D514B"/>
    <w:rsid w:val="1B0D67D5"/>
    <w:rsid w:val="1B133EFC"/>
    <w:rsid w:val="1B1738D4"/>
    <w:rsid w:val="1B375D24"/>
    <w:rsid w:val="1B4979C3"/>
    <w:rsid w:val="1B4A1EFB"/>
    <w:rsid w:val="1B520DB0"/>
    <w:rsid w:val="1B6610FC"/>
    <w:rsid w:val="1B705611"/>
    <w:rsid w:val="1B7533B8"/>
    <w:rsid w:val="1B79458F"/>
    <w:rsid w:val="1B7B7863"/>
    <w:rsid w:val="1B7C5115"/>
    <w:rsid w:val="1B811F23"/>
    <w:rsid w:val="1B836664"/>
    <w:rsid w:val="1B8401D9"/>
    <w:rsid w:val="1B84636B"/>
    <w:rsid w:val="1B8847D2"/>
    <w:rsid w:val="1B8B5D8F"/>
    <w:rsid w:val="1B8B6070"/>
    <w:rsid w:val="1B8D650D"/>
    <w:rsid w:val="1B9253AE"/>
    <w:rsid w:val="1B9F4188"/>
    <w:rsid w:val="1BA226E7"/>
    <w:rsid w:val="1BA43ED6"/>
    <w:rsid w:val="1BAA4748"/>
    <w:rsid w:val="1BAD248A"/>
    <w:rsid w:val="1BB03CF4"/>
    <w:rsid w:val="1BC43656"/>
    <w:rsid w:val="1BC43F35"/>
    <w:rsid w:val="1BC752FA"/>
    <w:rsid w:val="1BD275DA"/>
    <w:rsid w:val="1BDC6948"/>
    <w:rsid w:val="1BE13EE2"/>
    <w:rsid w:val="1BE21E31"/>
    <w:rsid w:val="1BE834C2"/>
    <w:rsid w:val="1BF418F8"/>
    <w:rsid w:val="1C056964"/>
    <w:rsid w:val="1C07202B"/>
    <w:rsid w:val="1C0803EB"/>
    <w:rsid w:val="1C093B64"/>
    <w:rsid w:val="1C1054B0"/>
    <w:rsid w:val="1C1A17BD"/>
    <w:rsid w:val="1C253B27"/>
    <w:rsid w:val="1C356275"/>
    <w:rsid w:val="1C3727A7"/>
    <w:rsid w:val="1C3C0773"/>
    <w:rsid w:val="1C3C6A03"/>
    <w:rsid w:val="1C44694B"/>
    <w:rsid w:val="1C4D3DE9"/>
    <w:rsid w:val="1C512E16"/>
    <w:rsid w:val="1C5B133C"/>
    <w:rsid w:val="1C5F19D6"/>
    <w:rsid w:val="1C646FED"/>
    <w:rsid w:val="1C6F14EE"/>
    <w:rsid w:val="1C742B5C"/>
    <w:rsid w:val="1C746B04"/>
    <w:rsid w:val="1C76696C"/>
    <w:rsid w:val="1C7B4336"/>
    <w:rsid w:val="1C7D6FEF"/>
    <w:rsid w:val="1C8054A9"/>
    <w:rsid w:val="1C8651B5"/>
    <w:rsid w:val="1C907DE2"/>
    <w:rsid w:val="1C984EE8"/>
    <w:rsid w:val="1C9E0DE0"/>
    <w:rsid w:val="1CA4563B"/>
    <w:rsid w:val="1CA464D1"/>
    <w:rsid w:val="1CB15FAA"/>
    <w:rsid w:val="1CC1417D"/>
    <w:rsid w:val="1CC64C56"/>
    <w:rsid w:val="1CC73BA9"/>
    <w:rsid w:val="1CC83E0A"/>
    <w:rsid w:val="1CCE090A"/>
    <w:rsid w:val="1CCE26B8"/>
    <w:rsid w:val="1CD33353"/>
    <w:rsid w:val="1CD47E27"/>
    <w:rsid w:val="1CEB14BC"/>
    <w:rsid w:val="1CF074F6"/>
    <w:rsid w:val="1CFA20FA"/>
    <w:rsid w:val="1D00577E"/>
    <w:rsid w:val="1D152871"/>
    <w:rsid w:val="1D1A76CF"/>
    <w:rsid w:val="1D3A202D"/>
    <w:rsid w:val="1D3A7D4E"/>
    <w:rsid w:val="1D3E5347"/>
    <w:rsid w:val="1D4B5AB7"/>
    <w:rsid w:val="1D5232E9"/>
    <w:rsid w:val="1D544216"/>
    <w:rsid w:val="1D5732F2"/>
    <w:rsid w:val="1D57445C"/>
    <w:rsid w:val="1D666D95"/>
    <w:rsid w:val="1D670CC3"/>
    <w:rsid w:val="1D6848BB"/>
    <w:rsid w:val="1D7A639C"/>
    <w:rsid w:val="1D8556E5"/>
    <w:rsid w:val="1D980AE6"/>
    <w:rsid w:val="1D9D3ED0"/>
    <w:rsid w:val="1DB16344"/>
    <w:rsid w:val="1DB625BB"/>
    <w:rsid w:val="1DB8665E"/>
    <w:rsid w:val="1DBC4C07"/>
    <w:rsid w:val="1DCB4E4A"/>
    <w:rsid w:val="1DD5378E"/>
    <w:rsid w:val="1DD71A40"/>
    <w:rsid w:val="1DED02D4"/>
    <w:rsid w:val="1DED616C"/>
    <w:rsid w:val="1DF04D26"/>
    <w:rsid w:val="1E0068A1"/>
    <w:rsid w:val="1E1200FE"/>
    <w:rsid w:val="1E177A3F"/>
    <w:rsid w:val="1E1B36DB"/>
    <w:rsid w:val="1E2D0EE2"/>
    <w:rsid w:val="1E463628"/>
    <w:rsid w:val="1E470974"/>
    <w:rsid w:val="1E483BA6"/>
    <w:rsid w:val="1E496085"/>
    <w:rsid w:val="1E4F5A7B"/>
    <w:rsid w:val="1E592455"/>
    <w:rsid w:val="1E5D3CF4"/>
    <w:rsid w:val="1E685343"/>
    <w:rsid w:val="1E6A01BF"/>
    <w:rsid w:val="1E7E0E78"/>
    <w:rsid w:val="1E854FF8"/>
    <w:rsid w:val="1E932D97"/>
    <w:rsid w:val="1E934E45"/>
    <w:rsid w:val="1E9B481C"/>
    <w:rsid w:val="1EA35A63"/>
    <w:rsid w:val="1EAB7865"/>
    <w:rsid w:val="1EAF1075"/>
    <w:rsid w:val="1EB06971"/>
    <w:rsid w:val="1EB27BD0"/>
    <w:rsid w:val="1EB4440C"/>
    <w:rsid w:val="1EBC1094"/>
    <w:rsid w:val="1EC03560"/>
    <w:rsid w:val="1EC21DA9"/>
    <w:rsid w:val="1EC72208"/>
    <w:rsid w:val="1ECF4B8A"/>
    <w:rsid w:val="1ED02D3E"/>
    <w:rsid w:val="1EF74148"/>
    <w:rsid w:val="1EFC2156"/>
    <w:rsid w:val="1F181435"/>
    <w:rsid w:val="1F1D73EC"/>
    <w:rsid w:val="1F204462"/>
    <w:rsid w:val="1F292AA5"/>
    <w:rsid w:val="1F460C2C"/>
    <w:rsid w:val="1F526AAC"/>
    <w:rsid w:val="1F576995"/>
    <w:rsid w:val="1F5B62EE"/>
    <w:rsid w:val="1F686DF4"/>
    <w:rsid w:val="1F6B0692"/>
    <w:rsid w:val="1F851442"/>
    <w:rsid w:val="1F9A50FE"/>
    <w:rsid w:val="1F9A6A18"/>
    <w:rsid w:val="1FA871F0"/>
    <w:rsid w:val="1FA94D17"/>
    <w:rsid w:val="1FAA11BB"/>
    <w:rsid w:val="1FAB65DC"/>
    <w:rsid w:val="1FB96BFB"/>
    <w:rsid w:val="1FC009DE"/>
    <w:rsid w:val="1FCD30FB"/>
    <w:rsid w:val="1FCE4F5A"/>
    <w:rsid w:val="1FD05531"/>
    <w:rsid w:val="1FD2426D"/>
    <w:rsid w:val="1FD5420B"/>
    <w:rsid w:val="1FE7674F"/>
    <w:rsid w:val="1FF40688"/>
    <w:rsid w:val="20033076"/>
    <w:rsid w:val="200946E1"/>
    <w:rsid w:val="20176124"/>
    <w:rsid w:val="203B1E13"/>
    <w:rsid w:val="203D202F"/>
    <w:rsid w:val="204F58BE"/>
    <w:rsid w:val="20515ADA"/>
    <w:rsid w:val="205C7FDB"/>
    <w:rsid w:val="20665ACC"/>
    <w:rsid w:val="20717F2A"/>
    <w:rsid w:val="2078278C"/>
    <w:rsid w:val="2078766A"/>
    <w:rsid w:val="20913835"/>
    <w:rsid w:val="20A420AE"/>
    <w:rsid w:val="20B135CD"/>
    <w:rsid w:val="20B35E4D"/>
    <w:rsid w:val="20B87907"/>
    <w:rsid w:val="20BF43CE"/>
    <w:rsid w:val="20CF4C51"/>
    <w:rsid w:val="20DF4E94"/>
    <w:rsid w:val="20E41BD5"/>
    <w:rsid w:val="20FE458D"/>
    <w:rsid w:val="210112AE"/>
    <w:rsid w:val="21053393"/>
    <w:rsid w:val="21054D94"/>
    <w:rsid w:val="21090880"/>
    <w:rsid w:val="210C7C53"/>
    <w:rsid w:val="21226C0A"/>
    <w:rsid w:val="212322F2"/>
    <w:rsid w:val="21244A44"/>
    <w:rsid w:val="21311468"/>
    <w:rsid w:val="21396D41"/>
    <w:rsid w:val="213C22E6"/>
    <w:rsid w:val="214A4B6C"/>
    <w:rsid w:val="21692241"/>
    <w:rsid w:val="21770C73"/>
    <w:rsid w:val="21780E44"/>
    <w:rsid w:val="217F717B"/>
    <w:rsid w:val="21857748"/>
    <w:rsid w:val="21905185"/>
    <w:rsid w:val="21921F06"/>
    <w:rsid w:val="21933ED0"/>
    <w:rsid w:val="21965F59"/>
    <w:rsid w:val="219868A4"/>
    <w:rsid w:val="21995B2D"/>
    <w:rsid w:val="219A0DBB"/>
    <w:rsid w:val="21A026D2"/>
    <w:rsid w:val="21A1509F"/>
    <w:rsid w:val="21A41C3A"/>
    <w:rsid w:val="21B85F50"/>
    <w:rsid w:val="21BC592B"/>
    <w:rsid w:val="21BE47A9"/>
    <w:rsid w:val="21C21601"/>
    <w:rsid w:val="21C709E5"/>
    <w:rsid w:val="21C93FEB"/>
    <w:rsid w:val="21CF4F08"/>
    <w:rsid w:val="21D249F9"/>
    <w:rsid w:val="21D6545E"/>
    <w:rsid w:val="21D95D87"/>
    <w:rsid w:val="21DB24CD"/>
    <w:rsid w:val="21E30AD6"/>
    <w:rsid w:val="21E54D5C"/>
    <w:rsid w:val="21ED538F"/>
    <w:rsid w:val="21FA5CFD"/>
    <w:rsid w:val="21FF3EB7"/>
    <w:rsid w:val="22342FBD"/>
    <w:rsid w:val="22477195"/>
    <w:rsid w:val="224C4E3A"/>
    <w:rsid w:val="22591E99"/>
    <w:rsid w:val="225B2C40"/>
    <w:rsid w:val="226755FF"/>
    <w:rsid w:val="226D4721"/>
    <w:rsid w:val="22853E7D"/>
    <w:rsid w:val="22857CBD"/>
    <w:rsid w:val="22873A36"/>
    <w:rsid w:val="228E5FC0"/>
    <w:rsid w:val="229E75EE"/>
    <w:rsid w:val="22A30143"/>
    <w:rsid w:val="22B378AF"/>
    <w:rsid w:val="22BC58C8"/>
    <w:rsid w:val="22D64075"/>
    <w:rsid w:val="22DC3200"/>
    <w:rsid w:val="22E21CF2"/>
    <w:rsid w:val="22E301F8"/>
    <w:rsid w:val="22EB3FC4"/>
    <w:rsid w:val="22F33E92"/>
    <w:rsid w:val="230C3B8F"/>
    <w:rsid w:val="23184960"/>
    <w:rsid w:val="231D1CA3"/>
    <w:rsid w:val="2329689A"/>
    <w:rsid w:val="2338762A"/>
    <w:rsid w:val="233E7FA2"/>
    <w:rsid w:val="23405992"/>
    <w:rsid w:val="23516232"/>
    <w:rsid w:val="2358717F"/>
    <w:rsid w:val="235C0A1E"/>
    <w:rsid w:val="235D6544"/>
    <w:rsid w:val="235F7BDE"/>
    <w:rsid w:val="236349B4"/>
    <w:rsid w:val="23735220"/>
    <w:rsid w:val="237D2095"/>
    <w:rsid w:val="23961D95"/>
    <w:rsid w:val="23977CA8"/>
    <w:rsid w:val="23A81EB5"/>
    <w:rsid w:val="23AC45B8"/>
    <w:rsid w:val="23BC14BC"/>
    <w:rsid w:val="23BE1EB3"/>
    <w:rsid w:val="23BF2431"/>
    <w:rsid w:val="23BF71FF"/>
    <w:rsid w:val="23D031BA"/>
    <w:rsid w:val="23F073B8"/>
    <w:rsid w:val="24010173"/>
    <w:rsid w:val="240B5FA0"/>
    <w:rsid w:val="24107A5A"/>
    <w:rsid w:val="24146CA8"/>
    <w:rsid w:val="241A2687"/>
    <w:rsid w:val="2420557B"/>
    <w:rsid w:val="242348DA"/>
    <w:rsid w:val="24254515"/>
    <w:rsid w:val="243533CD"/>
    <w:rsid w:val="243B4AD7"/>
    <w:rsid w:val="24410DB7"/>
    <w:rsid w:val="24530908"/>
    <w:rsid w:val="24613E12"/>
    <w:rsid w:val="24635DDC"/>
    <w:rsid w:val="24661428"/>
    <w:rsid w:val="24687316"/>
    <w:rsid w:val="246C7E90"/>
    <w:rsid w:val="24701BFE"/>
    <w:rsid w:val="24724271"/>
    <w:rsid w:val="24763D61"/>
    <w:rsid w:val="248720BC"/>
    <w:rsid w:val="24A438C3"/>
    <w:rsid w:val="24A85EE5"/>
    <w:rsid w:val="24B05815"/>
    <w:rsid w:val="24B32C13"/>
    <w:rsid w:val="24B93C4E"/>
    <w:rsid w:val="24CE594B"/>
    <w:rsid w:val="24F66F9E"/>
    <w:rsid w:val="24F82B04"/>
    <w:rsid w:val="24FB565A"/>
    <w:rsid w:val="25056E93"/>
    <w:rsid w:val="25082F75"/>
    <w:rsid w:val="250B47F3"/>
    <w:rsid w:val="25184E18"/>
    <w:rsid w:val="251B4DDA"/>
    <w:rsid w:val="25200551"/>
    <w:rsid w:val="25201F1F"/>
    <w:rsid w:val="25211475"/>
    <w:rsid w:val="25357778"/>
    <w:rsid w:val="253B0B07"/>
    <w:rsid w:val="253F1603"/>
    <w:rsid w:val="254D53BB"/>
    <w:rsid w:val="254E5A36"/>
    <w:rsid w:val="25553977"/>
    <w:rsid w:val="2560698D"/>
    <w:rsid w:val="2561056D"/>
    <w:rsid w:val="25626093"/>
    <w:rsid w:val="2562796B"/>
    <w:rsid w:val="2564005E"/>
    <w:rsid w:val="25641E0C"/>
    <w:rsid w:val="25643920"/>
    <w:rsid w:val="25665B84"/>
    <w:rsid w:val="25812EFE"/>
    <w:rsid w:val="25843B62"/>
    <w:rsid w:val="25A05051"/>
    <w:rsid w:val="25A55F80"/>
    <w:rsid w:val="25A67FC9"/>
    <w:rsid w:val="25B3069D"/>
    <w:rsid w:val="25B6018D"/>
    <w:rsid w:val="25B66CE5"/>
    <w:rsid w:val="25BB1BA2"/>
    <w:rsid w:val="25C366FD"/>
    <w:rsid w:val="25C91C6F"/>
    <w:rsid w:val="25D47AF3"/>
    <w:rsid w:val="25DA0320"/>
    <w:rsid w:val="25E05E94"/>
    <w:rsid w:val="25E259A5"/>
    <w:rsid w:val="25F15F83"/>
    <w:rsid w:val="25F17566"/>
    <w:rsid w:val="25FA2770"/>
    <w:rsid w:val="26073220"/>
    <w:rsid w:val="26086C3B"/>
    <w:rsid w:val="260F6434"/>
    <w:rsid w:val="261B1B10"/>
    <w:rsid w:val="263E440B"/>
    <w:rsid w:val="264230D0"/>
    <w:rsid w:val="26434E49"/>
    <w:rsid w:val="26445799"/>
    <w:rsid w:val="26484B18"/>
    <w:rsid w:val="264F486A"/>
    <w:rsid w:val="2650271A"/>
    <w:rsid w:val="26534C7C"/>
    <w:rsid w:val="26722978"/>
    <w:rsid w:val="267A1487"/>
    <w:rsid w:val="267C4C7F"/>
    <w:rsid w:val="268B2209"/>
    <w:rsid w:val="26914E82"/>
    <w:rsid w:val="26920BFA"/>
    <w:rsid w:val="26924756"/>
    <w:rsid w:val="2697424C"/>
    <w:rsid w:val="26A83F7A"/>
    <w:rsid w:val="26AB5818"/>
    <w:rsid w:val="26AD333E"/>
    <w:rsid w:val="26B2697A"/>
    <w:rsid w:val="26B33F6D"/>
    <w:rsid w:val="26BB7A51"/>
    <w:rsid w:val="26BC17D3"/>
    <w:rsid w:val="26C17181"/>
    <w:rsid w:val="26C223CD"/>
    <w:rsid w:val="26C52233"/>
    <w:rsid w:val="26D35BA6"/>
    <w:rsid w:val="26D46B1D"/>
    <w:rsid w:val="26D7485F"/>
    <w:rsid w:val="26DD2094"/>
    <w:rsid w:val="26E01966"/>
    <w:rsid w:val="26E76D98"/>
    <w:rsid w:val="26EB358C"/>
    <w:rsid w:val="27037402"/>
    <w:rsid w:val="270E38A9"/>
    <w:rsid w:val="27167136"/>
    <w:rsid w:val="271930ED"/>
    <w:rsid w:val="27223D2C"/>
    <w:rsid w:val="27250711"/>
    <w:rsid w:val="2726597F"/>
    <w:rsid w:val="272A0E33"/>
    <w:rsid w:val="27310EDB"/>
    <w:rsid w:val="27376525"/>
    <w:rsid w:val="273D6F2E"/>
    <w:rsid w:val="27402404"/>
    <w:rsid w:val="274559B2"/>
    <w:rsid w:val="274775B2"/>
    <w:rsid w:val="27523DDC"/>
    <w:rsid w:val="275C2B0E"/>
    <w:rsid w:val="275F14F1"/>
    <w:rsid w:val="27686864"/>
    <w:rsid w:val="276B7B29"/>
    <w:rsid w:val="27702DB1"/>
    <w:rsid w:val="27765E26"/>
    <w:rsid w:val="27856069"/>
    <w:rsid w:val="27870033"/>
    <w:rsid w:val="278C389C"/>
    <w:rsid w:val="278D39F6"/>
    <w:rsid w:val="278E5400"/>
    <w:rsid w:val="279048C7"/>
    <w:rsid w:val="27A110F5"/>
    <w:rsid w:val="27A9778C"/>
    <w:rsid w:val="27AA07FB"/>
    <w:rsid w:val="27B5121A"/>
    <w:rsid w:val="27BD3A55"/>
    <w:rsid w:val="27C04F0D"/>
    <w:rsid w:val="27C375BA"/>
    <w:rsid w:val="27C75627"/>
    <w:rsid w:val="27CB48D6"/>
    <w:rsid w:val="27CD3E68"/>
    <w:rsid w:val="27CE17BE"/>
    <w:rsid w:val="27D8088F"/>
    <w:rsid w:val="27DA7AFC"/>
    <w:rsid w:val="27E81EDE"/>
    <w:rsid w:val="27F60D15"/>
    <w:rsid w:val="27F83A5F"/>
    <w:rsid w:val="27FC27CF"/>
    <w:rsid w:val="27FC7CE0"/>
    <w:rsid w:val="28033380"/>
    <w:rsid w:val="28043432"/>
    <w:rsid w:val="28090A48"/>
    <w:rsid w:val="280D678A"/>
    <w:rsid w:val="281713B7"/>
    <w:rsid w:val="28195120"/>
    <w:rsid w:val="282633A8"/>
    <w:rsid w:val="282D66FA"/>
    <w:rsid w:val="28463A4A"/>
    <w:rsid w:val="285A403B"/>
    <w:rsid w:val="285E0E31"/>
    <w:rsid w:val="28735437"/>
    <w:rsid w:val="28812CD5"/>
    <w:rsid w:val="28907385"/>
    <w:rsid w:val="28A91E98"/>
    <w:rsid w:val="28A96582"/>
    <w:rsid w:val="28AD6C2F"/>
    <w:rsid w:val="28AE42EA"/>
    <w:rsid w:val="28B2209C"/>
    <w:rsid w:val="28C7358B"/>
    <w:rsid w:val="28CB3F50"/>
    <w:rsid w:val="28D12DD6"/>
    <w:rsid w:val="28D50FCB"/>
    <w:rsid w:val="28E05C4D"/>
    <w:rsid w:val="28E068ED"/>
    <w:rsid w:val="28E30494"/>
    <w:rsid w:val="28FB0725"/>
    <w:rsid w:val="28FD67FF"/>
    <w:rsid w:val="290343AE"/>
    <w:rsid w:val="29053906"/>
    <w:rsid w:val="2909589A"/>
    <w:rsid w:val="290A0F1C"/>
    <w:rsid w:val="290A4A18"/>
    <w:rsid w:val="291B130B"/>
    <w:rsid w:val="291F1B43"/>
    <w:rsid w:val="2924207D"/>
    <w:rsid w:val="292831B5"/>
    <w:rsid w:val="292E4A3A"/>
    <w:rsid w:val="293129A4"/>
    <w:rsid w:val="29341AF5"/>
    <w:rsid w:val="2947419D"/>
    <w:rsid w:val="294D293E"/>
    <w:rsid w:val="294E6964"/>
    <w:rsid w:val="294E705B"/>
    <w:rsid w:val="296535CF"/>
    <w:rsid w:val="296B63F6"/>
    <w:rsid w:val="296E209C"/>
    <w:rsid w:val="297B7DA1"/>
    <w:rsid w:val="29844C90"/>
    <w:rsid w:val="298F287E"/>
    <w:rsid w:val="29986528"/>
    <w:rsid w:val="29AC3D81"/>
    <w:rsid w:val="29B42AFC"/>
    <w:rsid w:val="29B570DA"/>
    <w:rsid w:val="29D70599"/>
    <w:rsid w:val="29E05655"/>
    <w:rsid w:val="29E33847"/>
    <w:rsid w:val="29E6402D"/>
    <w:rsid w:val="29F319B0"/>
    <w:rsid w:val="29F67E81"/>
    <w:rsid w:val="29F70535"/>
    <w:rsid w:val="2A013E78"/>
    <w:rsid w:val="2A1060BE"/>
    <w:rsid w:val="2A136E91"/>
    <w:rsid w:val="2A1F27A5"/>
    <w:rsid w:val="2A3C2779"/>
    <w:rsid w:val="2A3D0D08"/>
    <w:rsid w:val="2A3D52C3"/>
    <w:rsid w:val="2A416CB2"/>
    <w:rsid w:val="2A450E5A"/>
    <w:rsid w:val="2A4C2E6E"/>
    <w:rsid w:val="2A500D37"/>
    <w:rsid w:val="2A506E02"/>
    <w:rsid w:val="2A5306A1"/>
    <w:rsid w:val="2A5F7045"/>
    <w:rsid w:val="2A641AB9"/>
    <w:rsid w:val="2A705F20"/>
    <w:rsid w:val="2A732033"/>
    <w:rsid w:val="2A7725E1"/>
    <w:rsid w:val="2A7C3098"/>
    <w:rsid w:val="2A9071FF"/>
    <w:rsid w:val="2A954815"/>
    <w:rsid w:val="2A9767DF"/>
    <w:rsid w:val="2A977CCE"/>
    <w:rsid w:val="2A992557"/>
    <w:rsid w:val="2A9D0D2B"/>
    <w:rsid w:val="2AA630E3"/>
    <w:rsid w:val="2AB75234"/>
    <w:rsid w:val="2AB97A4A"/>
    <w:rsid w:val="2AC02F3B"/>
    <w:rsid w:val="2ACB3B4E"/>
    <w:rsid w:val="2ACE1AD5"/>
    <w:rsid w:val="2AD30549"/>
    <w:rsid w:val="2ADE031F"/>
    <w:rsid w:val="2AE153F0"/>
    <w:rsid w:val="2AE80DE9"/>
    <w:rsid w:val="2AE83B8F"/>
    <w:rsid w:val="2AF43C32"/>
    <w:rsid w:val="2AFA55E0"/>
    <w:rsid w:val="2AFB68C5"/>
    <w:rsid w:val="2B013C59"/>
    <w:rsid w:val="2B042C2C"/>
    <w:rsid w:val="2B0A3F4C"/>
    <w:rsid w:val="2B0C0F7B"/>
    <w:rsid w:val="2B14398C"/>
    <w:rsid w:val="2B16039C"/>
    <w:rsid w:val="2B17347C"/>
    <w:rsid w:val="2B1C6CE5"/>
    <w:rsid w:val="2B285689"/>
    <w:rsid w:val="2B39752B"/>
    <w:rsid w:val="2B484EC2"/>
    <w:rsid w:val="2B494B55"/>
    <w:rsid w:val="2B4E3FCD"/>
    <w:rsid w:val="2B53580E"/>
    <w:rsid w:val="2B5C1008"/>
    <w:rsid w:val="2B5C2ADE"/>
    <w:rsid w:val="2B6A3512"/>
    <w:rsid w:val="2B7912A2"/>
    <w:rsid w:val="2B7E174D"/>
    <w:rsid w:val="2B845E70"/>
    <w:rsid w:val="2B88361B"/>
    <w:rsid w:val="2B8F395A"/>
    <w:rsid w:val="2BA66096"/>
    <w:rsid w:val="2BAC21FA"/>
    <w:rsid w:val="2BB12FB9"/>
    <w:rsid w:val="2BB83808"/>
    <w:rsid w:val="2BC8469C"/>
    <w:rsid w:val="2BD002F9"/>
    <w:rsid w:val="2BD11460"/>
    <w:rsid w:val="2BD440AE"/>
    <w:rsid w:val="2BD914F5"/>
    <w:rsid w:val="2BDB5184"/>
    <w:rsid w:val="2BDC7E8D"/>
    <w:rsid w:val="2BE94E19"/>
    <w:rsid w:val="2BF23359"/>
    <w:rsid w:val="2BF33EE9"/>
    <w:rsid w:val="2C026132"/>
    <w:rsid w:val="2C0311AE"/>
    <w:rsid w:val="2C0809F5"/>
    <w:rsid w:val="2C0F0D11"/>
    <w:rsid w:val="2C1520B2"/>
    <w:rsid w:val="2C1D2D14"/>
    <w:rsid w:val="2C2264E6"/>
    <w:rsid w:val="2C28712F"/>
    <w:rsid w:val="2C2B5431"/>
    <w:rsid w:val="2C2B789E"/>
    <w:rsid w:val="2C4402A1"/>
    <w:rsid w:val="2C4D5FD2"/>
    <w:rsid w:val="2C5711C1"/>
    <w:rsid w:val="2C6C44D4"/>
    <w:rsid w:val="2C6E48B5"/>
    <w:rsid w:val="2C711B19"/>
    <w:rsid w:val="2C775C21"/>
    <w:rsid w:val="2C7D1776"/>
    <w:rsid w:val="2C821DBC"/>
    <w:rsid w:val="2C862667"/>
    <w:rsid w:val="2C8637B6"/>
    <w:rsid w:val="2C8F1210"/>
    <w:rsid w:val="2C930ED0"/>
    <w:rsid w:val="2C9B4CEF"/>
    <w:rsid w:val="2C9D5F7E"/>
    <w:rsid w:val="2CA25B02"/>
    <w:rsid w:val="2CBB4661"/>
    <w:rsid w:val="2CBD0053"/>
    <w:rsid w:val="2CC5281C"/>
    <w:rsid w:val="2CD04BAC"/>
    <w:rsid w:val="2CDA79DE"/>
    <w:rsid w:val="2CE35D0C"/>
    <w:rsid w:val="2CE93B7E"/>
    <w:rsid w:val="2CF047C1"/>
    <w:rsid w:val="2CFF066C"/>
    <w:rsid w:val="2CFF241A"/>
    <w:rsid w:val="2D0952B1"/>
    <w:rsid w:val="2D0B510F"/>
    <w:rsid w:val="2D0B7361"/>
    <w:rsid w:val="2D1B36F8"/>
    <w:rsid w:val="2D2105E2"/>
    <w:rsid w:val="2D214A86"/>
    <w:rsid w:val="2D221C27"/>
    <w:rsid w:val="2D3322E5"/>
    <w:rsid w:val="2D4B511A"/>
    <w:rsid w:val="2D4F6EFD"/>
    <w:rsid w:val="2D502C75"/>
    <w:rsid w:val="2D523E22"/>
    <w:rsid w:val="2D524D9A"/>
    <w:rsid w:val="2D595FCE"/>
    <w:rsid w:val="2D6D1BF5"/>
    <w:rsid w:val="2D6D48AA"/>
    <w:rsid w:val="2D715C78"/>
    <w:rsid w:val="2D8079FF"/>
    <w:rsid w:val="2D856881"/>
    <w:rsid w:val="2D8F7C42"/>
    <w:rsid w:val="2D9042F7"/>
    <w:rsid w:val="2D9365D8"/>
    <w:rsid w:val="2D962D7E"/>
    <w:rsid w:val="2DAE21C2"/>
    <w:rsid w:val="2DB1767C"/>
    <w:rsid w:val="2DB76677"/>
    <w:rsid w:val="2DC859A1"/>
    <w:rsid w:val="2DC93154"/>
    <w:rsid w:val="2DCC67A0"/>
    <w:rsid w:val="2DCE076A"/>
    <w:rsid w:val="2DCF44E2"/>
    <w:rsid w:val="2DD41AF8"/>
    <w:rsid w:val="2DD65B8E"/>
    <w:rsid w:val="2DDB2C3C"/>
    <w:rsid w:val="2DE01C7C"/>
    <w:rsid w:val="2DF22095"/>
    <w:rsid w:val="2DFB7085"/>
    <w:rsid w:val="2E031944"/>
    <w:rsid w:val="2E086BBB"/>
    <w:rsid w:val="2E262AA8"/>
    <w:rsid w:val="2E265F2B"/>
    <w:rsid w:val="2E382087"/>
    <w:rsid w:val="2E385BE3"/>
    <w:rsid w:val="2E400F3C"/>
    <w:rsid w:val="2E417491"/>
    <w:rsid w:val="2E422F06"/>
    <w:rsid w:val="2E4F4C02"/>
    <w:rsid w:val="2E512E9A"/>
    <w:rsid w:val="2E56541B"/>
    <w:rsid w:val="2E574914"/>
    <w:rsid w:val="2E5B7B24"/>
    <w:rsid w:val="2E8F60DF"/>
    <w:rsid w:val="2EB53C1B"/>
    <w:rsid w:val="2EBB5F98"/>
    <w:rsid w:val="2EC13E2B"/>
    <w:rsid w:val="2EC35DF5"/>
    <w:rsid w:val="2ED718A0"/>
    <w:rsid w:val="2EDC0C65"/>
    <w:rsid w:val="2EF43128"/>
    <w:rsid w:val="2EF81394"/>
    <w:rsid w:val="2F04434C"/>
    <w:rsid w:val="2F0D532E"/>
    <w:rsid w:val="2F1D3C51"/>
    <w:rsid w:val="2F245477"/>
    <w:rsid w:val="2F254467"/>
    <w:rsid w:val="2F272C49"/>
    <w:rsid w:val="2F2D2976"/>
    <w:rsid w:val="2F3517DE"/>
    <w:rsid w:val="2F430CE4"/>
    <w:rsid w:val="2F433474"/>
    <w:rsid w:val="2F4B037D"/>
    <w:rsid w:val="2F5270A7"/>
    <w:rsid w:val="2F536093"/>
    <w:rsid w:val="2F5527C5"/>
    <w:rsid w:val="2F5C1BE7"/>
    <w:rsid w:val="2F5E167A"/>
    <w:rsid w:val="2F5E78CC"/>
    <w:rsid w:val="2F6D3FB3"/>
    <w:rsid w:val="2F7470EF"/>
    <w:rsid w:val="2F7C4825"/>
    <w:rsid w:val="2F990904"/>
    <w:rsid w:val="2F9B1649"/>
    <w:rsid w:val="2FA9624D"/>
    <w:rsid w:val="2FB219C5"/>
    <w:rsid w:val="2FB96948"/>
    <w:rsid w:val="2FBB4D1E"/>
    <w:rsid w:val="2FC305C0"/>
    <w:rsid w:val="2FC55B9D"/>
    <w:rsid w:val="2FD3423B"/>
    <w:rsid w:val="2FE9188B"/>
    <w:rsid w:val="2FEA5603"/>
    <w:rsid w:val="2FEF2C1A"/>
    <w:rsid w:val="2FF479A2"/>
    <w:rsid w:val="2FF53F42"/>
    <w:rsid w:val="2FF655F9"/>
    <w:rsid w:val="30135319"/>
    <w:rsid w:val="30203586"/>
    <w:rsid w:val="302D657B"/>
    <w:rsid w:val="30332B06"/>
    <w:rsid w:val="30360848"/>
    <w:rsid w:val="303625F7"/>
    <w:rsid w:val="303A47C4"/>
    <w:rsid w:val="303D1349"/>
    <w:rsid w:val="30431DC7"/>
    <w:rsid w:val="30470695"/>
    <w:rsid w:val="30487A17"/>
    <w:rsid w:val="304A6E61"/>
    <w:rsid w:val="304E7940"/>
    <w:rsid w:val="30550CCF"/>
    <w:rsid w:val="305A5E42"/>
    <w:rsid w:val="30662EDC"/>
    <w:rsid w:val="306727B0"/>
    <w:rsid w:val="307C26FF"/>
    <w:rsid w:val="307F6A37"/>
    <w:rsid w:val="30851991"/>
    <w:rsid w:val="30881B33"/>
    <w:rsid w:val="30A25EDE"/>
    <w:rsid w:val="30B023A9"/>
    <w:rsid w:val="30C86401"/>
    <w:rsid w:val="30CB1722"/>
    <w:rsid w:val="30CE282F"/>
    <w:rsid w:val="30E3788F"/>
    <w:rsid w:val="30E7709D"/>
    <w:rsid w:val="30FC4AEC"/>
    <w:rsid w:val="30FC500D"/>
    <w:rsid w:val="310C495D"/>
    <w:rsid w:val="31150EAC"/>
    <w:rsid w:val="311F6861"/>
    <w:rsid w:val="312106D4"/>
    <w:rsid w:val="312608E2"/>
    <w:rsid w:val="31264419"/>
    <w:rsid w:val="312F0C69"/>
    <w:rsid w:val="312F24F4"/>
    <w:rsid w:val="313944C8"/>
    <w:rsid w:val="313C34CD"/>
    <w:rsid w:val="314620C3"/>
    <w:rsid w:val="316044A8"/>
    <w:rsid w:val="31615451"/>
    <w:rsid w:val="31626879"/>
    <w:rsid w:val="31796C3F"/>
    <w:rsid w:val="317B6181"/>
    <w:rsid w:val="31813D3E"/>
    <w:rsid w:val="31857392"/>
    <w:rsid w:val="31893D20"/>
    <w:rsid w:val="318D4877"/>
    <w:rsid w:val="318F56DA"/>
    <w:rsid w:val="31904DB1"/>
    <w:rsid w:val="31950990"/>
    <w:rsid w:val="31984D9F"/>
    <w:rsid w:val="319D15FC"/>
    <w:rsid w:val="319F5F79"/>
    <w:rsid w:val="31B732C3"/>
    <w:rsid w:val="31D125D7"/>
    <w:rsid w:val="31D40319"/>
    <w:rsid w:val="31D64091"/>
    <w:rsid w:val="31D73965"/>
    <w:rsid w:val="31E10B09"/>
    <w:rsid w:val="31E27280"/>
    <w:rsid w:val="31E3141A"/>
    <w:rsid w:val="31E321C8"/>
    <w:rsid w:val="31E57E30"/>
    <w:rsid w:val="31EF350C"/>
    <w:rsid w:val="31F27B5A"/>
    <w:rsid w:val="31F36CFA"/>
    <w:rsid w:val="31F87652"/>
    <w:rsid w:val="31FC517A"/>
    <w:rsid w:val="31FD53C5"/>
    <w:rsid w:val="31FD7870"/>
    <w:rsid w:val="32007D01"/>
    <w:rsid w:val="320209E2"/>
    <w:rsid w:val="320347E5"/>
    <w:rsid w:val="320C69CD"/>
    <w:rsid w:val="320D3792"/>
    <w:rsid w:val="320E683B"/>
    <w:rsid w:val="32110C25"/>
    <w:rsid w:val="321200AD"/>
    <w:rsid w:val="32143B25"/>
    <w:rsid w:val="321458B2"/>
    <w:rsid w:val="321C2E7B"/>
    <w:rsid w:val="322E39E1"/>
    <w:rsid w:val="32335040"/>
    <w:rsid w:val="323A4E3F"/>
    <w:rsid w:val="323B0398"/>
    <w:rsid w:val="32452FC5"/>
    <w:rsid w:val="32476B26"/>
    <w:rsid w:val="324C037B"/>
    <w:rsid w:val="32506B45"/>
    <w:rsid w:val="32562ADC"/>
    <w:rsid w:val="325B0C56"/>
    <w:rsid w:val="327411B4"/>
    <w:rsid w:val="3283114D"/>
    <w:rsid w:val="3283369C"/>
    <w:rsid w:val="32847649"/>
    <w:rsid w:val="328624A5"/>
    <w:rsid w:val="328C29A2"/>
    <w:rsid w:val="329F26D5"/>
    <w:rsid w:val="32AC0031"/>
    <w:rsid w:val="32AF043E"/>
    <w:rsid w:val="32B117DA"/>
    <w:rsid w:val="32B4424F"/>
    <w:rsid w:val="32C1089D"/>
    <w:rsid w:val="32CD1308"/>
    <w:rsid w:val="32D432D2"/>
    <w:rsid w:val="32E14A9C"/>
    <w:rsid w:val="33016EEC"/>
    <w:rsid w:val="330D3AE3"/>
    <w:rsid w:val="33184235"/>
    <w:rsid w:val="332E5807"/>
    <w:rsid w:val="3330332D"/>
    <w:rsid w:val="33373C40"/>
    <w:rsid w:val="334504D4"/>
    <w:rsid w:val="334705B2"/>
    <w:rsid w:val="334B629F"/>
    <w:rsid w:val="3353526D"/>
    <w:rsid w:val="335F00B6"/>
    <w:rsid w:val="33713745"/>
    <w:rsid w:val="33784CD4"/>
    <w:rsid w:val="33835B53"/>
    <w:rsid w:val="339963F3"/>
    <w:rsid w:val="33A02D17"/>
    <w:rsid w:val="33B73C2A"/>
    <w:rsid w:val="33B93292"/>
    <w:rsid w:val="33BA5704"/>
    <w:rsid w:val="33BD55B2"/>
    <w:rsid w:val="33C42068"/>
    <w:rsid w:val="33C53AAF"/>
    <w:rsid w:val="33D53ED4"/>
    <w:rsid w:val="33D5661B"/>
    <w:rsid w:val="33D73C18"/>
    <w:rsid w:val="33EA3E24"/>
    <w:rsid w:val="33EA61D4"/>
    <w:rsid w:val="33F13465"/>
    <w:rsid w:val="33F20EB5"/>
    <w:rsid w:val="33F627C9"/>
    <w:rsid w:val="33F75960"/>
    <w:rsid w:val="33FF2EA1"/>
    <w:rsid w:val="340053F5"/>
    <w:rsid w:val="340622E0"/>
    <w:rsid w:val="340B0BB2"/>
    <w:rsid w:val="341113B0"/>
    <w:rsid w:val="341B3FDD"/>
    <w:rsid w:val="341D7D55"/>
    <w:rsid w:val="342D5594"/>
    <w:rsid w:val="342E2448"/>
    <w:rsid w:val="342F4105"/>
    <w:rsid w:val="3434509F"/>
    <w:rsid w:val="343455CA"/>
    <w:rsid w:val="34346E4D"/>
    <w:rsid w:val="34474DD2"/>
    <w:rsid w:val="345006AD"/>
    <w:rsid w:val="3450684B"/>
    <w:rsid w:val="34761214"/>
    <w:rsid w:val="347E34C8"/>
    <w:rsid w:val="348A661E"/>
    <w:rsid w:val="348F2B43"/>
    <w:rsid w:val="349F4C0E"/>
    <w:rsid w:val="34A02734"/>
    <w:rsid w:val="34A50844"/>
    <w:rsid w:val="34A72BA0"/>
    <w:rsid w:val="34AF4725"/>
    <w:rsid w:val="34B47F8E"/>
    <w:rsid w:val="34C9147F"/>
    <w:rsid w:val="34CE79DE"/>
    <w:rsid w:val="34D83C7C"/>
    <w:rsid w:val="34DB19BE"/>
    <w:rsid w:val="34E22EE4"/>
    <w:rsid w:val="34F93F94"/>
    <w:rsid w:val="34FB68E2"/>
    <w:rsid w:val="34FF38FF"/>
    <w:rsid w:val="350902DA"/>
    <w:rsid w:val="350E204D"/>
    <w:rsid w:val="35213875"/>
    <w:rsid w:val="352275ED"/>
    <w:rsid w:val="352A081E"/>
    <w:rsid w:val="35307D98"/>
    <w:rsid w:val="354B155D"/>
    <w:rsid w:val="354D2700"/>
    <w:rsid w:val="35770E92"/>
    <w:rsid w:val="357C6B75"/>
    <w:rsid w:val="3583385F"/>
    <w:rsid w:val="35874B74"/>
    <w:rsid w:val="359B1849"/>
    <w:rsid w:val="359F479A"/>
    <w:rsid w:val="35A3633F"/>
    <w:rsid w:val="35A41DB0"/>
    <w:rsid w:val="35A938D1"/>
    <w:rsid w:val="35AE7CBF"/>
    <w:rsid w:val="35BB56F8"/>
    <w:rsid w:val="35DE1084"/>
    <w:rsid w:val="35E044EE"/>
    <w:rsid w:val="35E121E1"/>
    <w:rsid w:val="35E23668"/>
    <w:rsid w:val="35EF5721"/>
    <w:rsid w:val="35F36873"/>
    <w:rsid w:val="35F6475B"/>
    <w:rsid w:val="36127662"/>
    <w:rsid w:val="3627310D"/>
    <w:rsid w:val="362B6D79"/>
    <w:rsid w:val="363B0545"/>
    <w:rsid w:val="36446F69"/>
    <w:rsid w:val="364C6BB0"/>
    <w:rsid w:val="365A6A30"/>
    <w:rsid w:val="3667175C"/>
    <w:rsid w:val="367D1887"/>
    <w:rsid w:val="36835E6A"/>
    <w:rsid w:val="368C2F70"/>
    <w:rsid w:val="368E4F87"/>
    <w:rsid w:val="36963DEF"/>
    <w:rsid w:val="3699568D"/>
    <w:rsid w:val="36A245F0"/>
    <w:rsid w:val="36A25541"/>
    <w:rsid w:val="36A32211"/>
    <w:rsid w:val="36AC6D41"/>
    <w:rsid w:val="36B765C5"/>
    <w:rsid w:val="36BD5820"/>
    <w:rsid w:val="36C0469C"/>
    <w:rsid w:val="36C546D4"/>
    <w:rsid w:val="36C86ABB"/>
    <w:rsid w:val="36DA2B5D"/>
    <w:rsid w:val="36DB5CA6"/>
    <w:rsid w:val="36DB7D8D"/>
    <w:rsid w:val="36DF7544"/>
    <w:rsid w:val="36E56B24"/>
    <w:rsid w:val="36ED076E"/>
    <w:rsid w:val="370E7E29"/>
    <w:rsid w:val="37141388"/>
    <w:rsid w:val="372A6F81"/>
    <w:rsid w:val="373A0C1E"/>
    <w:rsid w:val="37476E97"/>
    <w:rsid w:val="375174AD"/>
    <w:rsid w:val="37564768"/>
    <w:rsid w:val="37595E59"/>
    <w:rsid w:val="376B317C"/>
    <w:rsid w:val="37793A76"/>
    <w:rsid w:val="377A726D"/>
    <w:rsid w:val="3780410B"/>
    <w:rsid w:val="378766F8"/>
    <w:rsid w:val="37903002"/>
    <w:rsid w:val="37907BDA"/>
    <w:rsid w:val="379B69C5"/>
    <w:rsid w:val="37AD7642"/>
    <w:rsid w:val="37AE5168"/>
    <w:rsid w:val="37B41A3E"/>
    <w:rsid w:val="37B5342D"/>
    <w:rsid w:val="37BD53AB"/>
    <w:rsid w:val="37C249C6"/>
    <w:rsid w:val="37C36E66"/>
    <w:rsid w:val="37C63D34"/>
    <w:rsid w:val="37D73BD3"/>
    <w:rsid w:val="37DC13CF"/>
    <w:rsid w:val="37DC13ED"/>
    <w:rsid w:val="37E22DB7"/>
    <w:rsid w:val="37E55F4B"/>
    <w:rsid w:val="37E6605E"/>
    <w:rsid w:val="37ED4F88"/>
    <w:rsid w:val="37F0194D"/>
    <w:rsid w:val="37F25055"/>
    <w:rsid w:val="37FF76C8"/>
    <w:rsid w:val="38126F39"/>
    <w:rsid w:val="38141E4B"/>
    <w:rsid w:val="38166C00"/>
    <w:rsid w:val="381C47C8"/>
    <w:rsid w:val="381E409C"/>
    <w:rsid w:val="381F40C6"/>
    <w:rsid w:val="382C3278"/>
    <w:rsid w:val="38303DCF"/>
    <w:rsid w:val="38305B7D"/>
    <w:rsid w:val="38327B47"/>
    <w:rsid w:val="38394AE2"/>
    <w:rsid w:val="383D5850"/>
    <w:rsid w:val="38454CBB"/>
    <w:rsid w:val="38574ADB"/>
    <w:rsid w:val="38574AF2"/>
    <w:rsid w:val="38592E86"/>
    <w:rsid w:val="386649EA"/>
    <w:rsid w:val="387937E1"/>
    <w:rsid w:val="387E28F5"/>
    <w:rsid w:val="388008B3"/>
    <w:rsid w:val="38825B36"/>
    <w:rsid w:val="388A34DF"/>
    <w:rsid w:val="388A7983"/>
    <w:rsid w:val="388E7474"/>
    <w:rsid w:val="389820A0"/>
    <w:rsid w:val="38B4055C"/>
    <w:rsid w:val="38B821D9"/>
    <w:rsid w:val="38B93DC5"/>
    <w:rsid w:val="38BC7BBD"/>
    <w:rsid w:val="38BD6B23"/>
    <w:rsid w:val="38C05153"/>
    <w:rsid w:val="38CB663D"/>
    <w:rsid w:val="38DB1F8D"/>
    <w:rsid w:val="38EF616F"/>
    <w:rsid w:val="38F512A1"/>
    <w:rsid w:val="38F92413"/>
    <w:rsid w:val="38FC37D6"/>
    <w:rsid w:val="38FC5B1B"/>
    <w:rsid w:val="38FE732B"/>
    <w:rsid w:val="39033292"/>
    <w:rsid w:val="39074D43"/>
    <w:rsid w:val="391251C1"/>
    <w:rsid w:val="391E2CA4"/>
    <w:rsid w:val="392244EE"/>
    <w:rsid w:val="393A559A"/>
    <w:rsid w:val="393D0552"/>
    <w:rsid w:val="39495C19"/>
    <w:rsid w:val="394C4C39"/>
    <w:rsid w:val="396F14C1"/>
    <w:rsid w:val="39772560"/>
    <w:rsid w:val="398A0138"/>
    <w:rsid w:val="39AC56D7"/>
    <w:rsid w:val="39B61E6A"/>
    <w:rsid w:val="39BD1052"/>
    <w:rsid w:val="39C46EC5"/>
    <w:rsid w:val="39C937C5"/>
    <w:rsid w:val="39C96225"/>
    <w:rsid w:val="39CD7B28"/>
    <w:rsid w:val="39DA2245"/>
    <w:rsid w:val="39E41315"/>
    <w:rsid w:val="39E56B12"/>
    <w:rsid w:val="39E76202"/>
    <w:rsid w:val="39ED5703"/>
    <w:rsid w:val="39F606BA"/>
    <w:rsid w:val="3A0948D8"/>
    <w:rsid w:val="3A0B4AF4"/>
    <w:rsid w:val="3A105C66"/>
    <w:rsid w:val="3A1D4E99"/>
    <w:rsid w:val="3A4166FE"/>
    <w:rsid w:val="3A422980"/>
    <w:rsid w:val="3A460E63"/>
    <w:rsid w:val="3A4B4EF0"/>
    <w:rsid w:val="3A502507"/>
    <w:rsid w:val="3A512766"/>
    <w:rsid w:val="3A633160"/>
    <w:rsid w:val="3A830B2E"/>
    <w:rsid w:val="3A946897"/>
    <w:rsid w:val="3A9C399E"/>
    <w:rsid w:val="3A9C74FA"/>
    <w:rsid w:val="3AAD7959"/>
    <w:rsid w:val="3AB214A4"/>
    <w:rsid w:val="3ACA22B9"/>
    <w:rsid w:val="3AD309B9"/>
    <w:rsid w:val="3ADF0233"/>
    <w:rsid w:val="3AE0439C"/>
    <w:rsid w:val="3AE745C5"/>
    <w:rsid w:val="3AF64BFC"/>
    <w:rsid w:val="3AFD387B"/>
    <w:rsid w:val="3B0F4170"/>
    <w:rsid w:val="3B1802B3"/>
    <w:rsid w:val="3B2A71FC"/>
    <w:rsid w:val="3B300625"/>
    <w:rsid w:val="3B36546F"/>
    <w:rsid w:val="3B4224A1"/>
    <w:rsid w:val="3B4A0B1A"/>
    <w:rsid w:val="3B4C6E52"/>
    <w:rsid w:val="3B5A4046"/>
    <w:rsid w:val="3B5D137F"/>
    <w:rsid w:val="3B647AFF"/>
    <w:rsid w:val="3B714E2B"/>
    <w:rsid w:val="3B8169F6"/>
    <w:rsid w:val="3B854432"/>
    <w:rsid w:val="3B8701AA"/>
    <w:rsid w:val="3B88574C"/>
    <w:rsid w:val="3B98204E"/>
    <w:rsid w:val="3B9D5C20"/>
    <w:rsid w:val="3BA42B0A"/>
    <w:rsid w:val="3BA448B8"/>
    <w:rsid w:val="3BA67482"/>
    <w:rsid w:val="3BAB5C0B"/>
    <w:rsid w:val="3BAC14C4"/>
    <w:rsid w:val="3BAE324E"/>
    <w:rsid w:val="3BB16FD5"/>
    <w:rsid w:val="3BB865B6"/>
    <w:rsid w:val="3BC46D08"/>
    <w:rsid w:val="3BC9431F"/>
    <w:rsid w:val="3BCB2D24"/>
    <w:rsid w:val="3BCB4CCC"/>
    <w:rsid w:val="3BCF5DCB"/>
    <w:rsid w:val="3BD01B51"/>
    <w:rsid w:val="3BD056AD"/>
    <w:rsid w:val="3BD17677"/>
    <w:rsid w:val="3BD50F16"/>
    <w:rsid w:val="3BDE5086"/>
    <w:rsid w:val="3BDF3B42"/>
    <w:rsid w:val="3BF375EE"/>
    <w:rsid w:val="3BFD046C"/>
    <w:rsid w:val="3C021F7A"/>
    <w:rsid w:val="3C0B2B89"/>
    <w:rsid w:val="3C146845"/>
    <w:rsid w:val="3C1C789C"/>
    <w:rsid w:val="3C237ED3"/>
    <w:rsid w:val="3C24798B"/>
    <w:rsid w:val="3C34264F"/>
    <w:rsid w:val="3C355E58"/>
    <w:rsid w:val="3C3814A4"/>
    <w:rsid w:val="3C3D6ABB"/>
    <w:rsid w:val="3C5938F5"/>
    <w:rsid w:val="3C7569E4"/>
    <w:rsid w:val="3C791E94"/>
    <w:rsid w:val="3C7E335B"/>
    <w:rsid w:val="3C814BF9"/>
    <w:rsid w:val="3C9012E0"/>
    <w:rsid w:val="3C9025B0"/>
    <w:rsid w:val="3C913167"/>
    <w:rsid w:val="3C925059"/>
    <w:rsid w:val="3C926E07"/>
    <w:rsid w:val="3C9506A5"/>
    <w:rsid w:val="3CA240DF"/>
    <w:rsid w:val="3CA25B99"/>
    <w:rsid w:val="3CB13731"/>
    <w:rsid w:val="3CB70157"/>
    <w:rsid w:val="3CBA286B"/>
    <w:rsid w:val="3CBE7BFC"/>
    <w:rsid w:val="3CCF32D1"/>
    <w:rsid w:val="3CD218F9"/>
    <w:rsid w:val="3CD25455"/>
    <w:rsid w:val="3CD67100"/>
    <w:rsid w:val="3CDC62D4"/>
    <w:rsid w:val="3CE04016"/>
    <w:rsid w:val="3CE138EA"/>
    <w:rsid w:val="3CE5162C"/>
    <w:rsid w:val="3CED602E"/>
    <w:rsid w:val="3CF25AF7"/>
    <w:rsid w:val="3CFD6976"/>
    <w:rsid w:val="3D031065"/>
    <w:rsid w:val="3D0E3E15"/>
    <w:rsid w:val="3D1729DA"/>
    <w:rsid w:val="3D233F03"/>
    <w:rsid w:val="3D2A34E3"/>
    <w:rsid w:val="3D346110"/>
    <w:rsid w:val="3D3C45F6"/>
    <w:rsid w:val="3D400C31"/>
    <w:rsid w:val="3D402D22"/>
    <w:rsid w:val="3D497C0B"/>
    <w:rsid w:val="3D642ABF"/>
    <w:rsid w:val="3D6C58AA"/>
    <w:rsid w:val="3D7045B5"/>
    <w:rsid w:val="3D74284E"/>
    <w:rsid w:val="3D7B137E"/>
    <w:rsid w:val="3D7D3B8B"/>
    <w:rsid w:val="3D85696B"/>
    <w:rsid w:val="3D94460E"/>
    <w:rsid w:val="3DA2751D"/>
    <w:rsid w:val="3DB7006B"/>
    <w:rsid w:val="3DBE142F"/>
    <w:rsid w:val="3DBF1E7D"/>
    <w:rsid w:val="3DC54FBA"/>
    <w:rsid w:val="3DD03DC9"/>
    <w:rsid w:val="3DD10FB1"/>
    <w:rsid w:val="3DD27DFD"/>
    <w:rsid w:val="3DDE2F12"/>
    <w:rsid w:val="3DE6740A"/>
    <w:rsid w:val="3DFB3556"/>
    <w:rsid w:val="3DFD0744"/>
    <w:rsid w:val="3E047890"/>
    <w:rsid w:val="3E1201FF"/>
    <w:rsid w:val="3E135D25"/>
    <w:rsid w:val="3E154640"/>
    <w:rsid w:val="3E18158D"/>
    <w:rsid w:val="3E1F0EEB"/>
    <w:rsid w:val="3E1F291C"/>
    <w:rsid w:val="3E235B35"/>
    <w:rsid w:val="3E303617"/>
    <w:rsid w:val="3E34109A"/>
    <w:rsid w:val="3E391C30"/>
    <w:rsid w:val="3E3B6EDE"/>
    <w:rsid w:val="3E467EA9"/>
    <w:rsid w:val="3E491747"/>
    <w:rsid w:val="3E4A7A51"/>
    <w:rsid w:val="3E5145FD"/>
    <w:rsid w:val="3E5230A6"/>
    <w:rsid w:val="3E55633E"/>
    <w:rsid w:val="3E5D3371"/>
    <w:rsid w:val="3E5E3444"/>
    <w:rsid w:val="3E6447D3"/>
    <w:rsid w:val="3E66679D"/>
    <w:rsid w:val="3E666B7E"/>
    <w:rsid w:val="3E6A08AC"/>
    <w:rsid w:val="3E726201"/>
    <w:rsid w:val="3E7423E9"/>
    <w:rsid w:val="3E7A14BD"/>
    <w:rsid w:val="3E8409D1"/>
    <w:rsid w:val="3E86299B"/>
    <w:rsid w:val="3E8B2434"/>
    <w:rsid w:val="3E94330A"/>
    <w:rsid w:val="3E962B5F"/>
    <w:rsid w:val="3E9B4698"/>
    <w:rsid w:val="3EA177D5"/>
    <w:rsid w:val="3EAF2499"/>
    <w:rsid w:val="3EB05504"/>
    <w:rsid w:val="3EB15A3A"/>
    <w:rsid w:val="3EC334A7"/>
    <w:rsid w:val="3ED05615"/>
    <w:rsid w:val="3ED951C1"/>
    <w:rsid w:val="3EE85404"/>
    <w:rsid w:val="3EE871B2"/>
    <w:rsid w:val="3EEE6411"/>
    <w:rsid w:val="3EF33A3C"/>
    <w:rsid w:val="3EF43DA9"/>
    <w:rsid w:val="3EF62DF6"/>
    <w:rsid w:val="3F073B8B"/>
    <w:rsid w:val="3F092ACC"/>
    <w:rsid w:val="3F1F33E6"/>
    <w:rsid w:val="3F23526A"/>
    <w:rsid w:val="3F3D6764"/>
    <w:rsid w:val="3F4C7741"/>
    <w:rsid w:val="3F511EC4"/>
    <w:rsid w:val="3F5D5AEE"/>
    <w:rsid w:val="3F695775"/>
    <w:rsid w:val="3F696545"/>
    <w:rsid w:val="3F767E7A"/>
    <w:rsid w:val="3F7B0026"/>
    <w:rsid w:val="3F8F762D"/>
    <w:rsid w:val="3F9115F7"/>
    <w:rsid w:val="3FA97BA0"/>
    <w:rsid w:val="3FAB24A6"/>
    <w:rsid w:val="3FAE1341"/>
    <w:rsid w:val="3FAE21A9"/>
    <w:rsid w:val="3FB05F21"/>
    <w:rsid w:val="3FB672B0"/>
    <w:rsid w:val="3FCA4B09"/>
    <w:rsid w:val="3FCD043B"/>
    <w:rsid w:val="3FDA4F93"/>
    <w:rsid w:val="3FEC132C"/>
    <w:rsid w:val="3FF12B6E"/>
    <w:rsid w:val="3FFA0F4B"/>
    <w:rsid w:val="3FFB4CC3"/>
    <w:rsid w:val="400369F6"/>
    <w:rsid w:val="400C44E8"/>
    <w:rsid w:val="4013025E"/>
    <w:rsid w:val="40176267"/>
    <w:rsid w:val="40183148"/>
    <w:rsid w:val="4021297B"/>
    <w:rsid w:val="402661E4"/>
    <w:rsid w:val="4035314E"/>
    <w:rsid w:val="40362758"/>
    <w:rsid w:val="40422A8C"/>
    <w:rsid w:val="40491ED2"/>
    <w:rsid w:val="404B17D5"/>
    <w:rsid w:val="404E573A"/>
    <w:rsid w:val="404F27B3"/>
    <w:rsid w:val="40503261"/>
    <w:rsid w:val="40606FDB"/>
    <w:rsid w:val="406244C8"/>
    <w:rsid w:val="40640ABA"/>
    <w:rsid w:val="40714F85"/>
    <w:rsid w:val="40786313"/>
    <w:rsid w:val="407A73B5"/>
    <w:rsid w:val="407C4056"/>
    <w:rsid w:val="407F58F4"/>
    <w:rsid w:val="40806297"/>
    <w:rsid w:val="40870292"/>
    <w:rsid w:val="408B4299"/>
    <w:rsid w:val="40955117"/>
    <w:rsid w:val="409B530F"/>
    <w:rsid w:val="409D1490"/>
    <w:rsid w:val="409D6846"/>
    <w:rsid w:val="40A046D6"/>
    <w:rsid w:val="40A1586A"/>
    <w:rsid w:val="40A45954"/>
    <w:rsid w:val="40AA7E7D"/>
    <w:rsid w:val="40AB4C9D"/>
    <w:rsid w:val="40B44C27"/>
    <w:rsid w:val="40C60F0D"/>
    <w:rsid w:val="40CE0EEE"/>
    <w:rsid w:val="40E45EC4"/>
    <w:rsid w:val="40EA7211"/>
    <w:rsid w:val="40F2256A"/>
    <w:rsid w:val="41013A16"/>
    <w:rsid w:val="410C362B"/>
    <w:rsid w:val="411406D5"/>
    <w:rsid w:val="41160006"/>
    <w:rsid w:val="41166258"/>
    <w:rsid w:val="41197AF6"/>
    <w:rsid w:val="411C54E6"/>
    <w:rsid w:val="41250249"/>
    <w:rsid w:val="41436921"/>
    <w:rsid w:val="414D18E4"/>
    <w:rsid w:val="41540EBF"/>
    <w:rsid w:val="41635DAD"/>
    <w:rsid w:val="41720FB5"/>
    <w:rsid w:val="41774922"/>
    <w:rsid w:val="41776A60"/>
    <w:rsid w:val="4182744A"/>
    <w:rsid w:val="418C6B68"/>
    <w:rsid w:val="418F600A"/>
    <w:rsid w:val="41911D83"/>
    <w:rsid w:val="419275A4"/>
    <w:rsid w:val="41AF3FB7"/>
    <w:rsid w:val="41B617E9"/>
    <w:rsid w:val="41C37A62"/>
    <w:rsid w:val="41C723FD"/>
    <w:rsid w:val="41EE7A8C"/>
    <w:rsid w:val="41F30347"/>
    <w:rsid w:val="41FA7FE9"/>
    <w:rsid w:val="41FE22D6"/>
    <w:rsid w:val="42044303"/>
    <w:rsid w:val="42062438"/>
    <w:rsid w:val="420662D1"/>
    <w:rsid w:val="421A1D78"/>
    <w:rsid w:val="421D5F42"/>
    <w:rsid w:val="42293D69"/>
    <w:rsid w:val="422A5CD6"/>
    <w:rsid w:val="423B7955"/>
    <w:rsid w:val="423C051D"/>
    <w:rsid w:val="424B3CDF"/>
    <w:rsid w:val="42664FBD"/>
    <w:rsid w:val="4269060A"/>
    <w:rsid w:val="426B25D4"/>
    <w:rsid w:val="427E2307"/>
    <w:rsid w:val="42817701"/>
    <w:rsid w:val="428216CB"/>
    <w:rsid w:val="42870F2E"/>
    <w:rsid w:val="42876CE2"/>
    <w:rsid w:val="4288057F"/>
    <w:rsid w:val="428A355D"/>
    <w:rsid w:val="428B4190"/>
    <w:rsid w:val="428D4F27"/>
    <w:rsid w:val="428E0070"/>
    <w:rsid w:val="42905597"/>
    <w:rsid w:val="42A72EE0"/>
    <w:rsid w:val="42B86E9B"/>
    <w:rsid w:val="42CA75EF"/>
    <w:rsid w:val="42D46758"/>
    <w:rsid w:val="42DC5A59"/>
    <w:rsid w:val="42E563B1"/>
    <w:rsid w:val="42EB54C2"/>
    <w:rsid w:val="42F9198D"/>
    <w:rsid w:val="43014CE6"/>
    <w:rsid w:val="43022EE1"/>
    <w:rsid w:val="431D3928"/>
    <w:rsid w:val="43210EE4"/>
    <w:rsid w:val="432361CC"/>
    <w:rsid w:val="43252782"/>
    <w:rsid w:val="432B0617"/>
    <w:rsid w:val="432F1BF9"/>
    <w:rsid w:val="43455BBE"/>
    <w:rsid w:val="435412BA"/>
    <w:rsid w:val="435C016E"/>
    <w:rsid w:val="435F0DAE"/>
    <w:rsid w:val="436200D0"/>
    <w:rsid w:val="436239D7"/>
    <w:rsid w:val="43635059"/>
    <w:rsid w:val="437454B8"/>
    <w:rsid w:val="43754D8C"/>
    <w:rsid w:val="43770394"/>
    <w:rsid w:val="43827E44"/>
    <w:rsid w:val="438356FB"/>
    <w:rsid w:val="43841508"/>
    <w:rsid w:val="43884ABF"/>
    <w:rsid w:val="438E1236"/>
    <w:rsid w:val="439603AB"/>
    <w:rsid w:val="43A21F95"/>
    <w:rsid w:val="43A501E6"/>
    <w:rsid w:val="43AB2484"/>
    <w:rsid w:val="43C26223"/>
    <w:rsid w:val="43CE2E1A"/>
    <w:rsid w:val="43D3270A"/>
    <w:rsid w:val="43DB0FA2"/>
    <w:rsid w:val="43DF15D1"/>
    <w:rsid w:val="43DF4878"/>
    <w:rsid w:val="43E43644"/>
    <w:rsid w:val="43E53CC0"/>
    <w:rsid w:val="44182EBA"/>
    <w:rsid w:val="44186440"/>
    <w:rsid w:val="441C2F35"/>
    <w:rsid w:val="441F7EFA"/>
    <w:rsid w:val="442672E1"/>
    <w:rsid w:val="44290050"/>
    <w:rsid w:val="44293ED5"/>
    <w:rsid w:val="442944F4"/>
    <w:rsid w:val="44421112"/>
    <w:rsid w:val="44450024"/>
    <w:rsid w:val="4449126C"/>
    <w:rsid w:val="444B4939"/>
    <w:rsid w:val="445552E9"/>
    <w:rsid w:val="44627A06"/>
    <w:rsid w:val="44780105"/>
    <w:rsid w:val="447A08AC"/>
    <w:rsid w:val="447C6091"/>
    <w:rsid w:val="44803D71"/>
    <w:rsid w:val="4484172B"/>
    <w:rsid w:val="4484797D"/>
    <w:rsid w:val="44850E98"/>
    <w:rsid w:val="448E0CDD"/>
    <w:rsid w:val="449000D0"/>
    <w:rsid w:val="449316FC"/>
    <w:rsid w:val="44BC0EC5"/>
    <w:rsid w:val="44C35981"/>
    <w:rsid w:val="44C951C8"/>
    <w:rsid w:val="44E73A68"/>
    <w:rsid w:val="44E93C84"/>
    <w:rsid w:val="44E95A32"/>
    <w:rsid w:val="44EC1782"/>
    <w:rsid w:val="44F43D7A"/>
    <w:rsid w:val="44FA7C3F"/>
    <w:rsid w:val="450170F9"/>
    <w:rsid w:val="45060392"/>
    <w:rsid w:val="450A60D4"/>
    <w:rsid w:val="450B0E2C"/>
    <w:rsid w:val="450E7246"/>
    <w:rsid w:val="451C1963"/>
    <w:rsid w:val="452045F9"/>
    <w:rsid w:val="4521618C"/>
    <w:rsid w:val="45230F44"/>
    <w:rsid w:val="452C76C8"/>
    <w:rsid w:val="453A628D"/>
    <w:rsid w:val="45404FBA"/>
    <w:rsid w:val="455755F4"/>
    <w:rsid w:val="455E092A"/>
    <w:rsid w:val="456D6663"/>
    <w:rsid w:val="45715FB8"/>
    <w:rsid w:val="45845F4C"/>
    <w:rsid w:val="458F65D9"/>
    <w:rsid w:val="4594599D"/>
    <w:rsid w:val="4597548E"/>
    <w:rsid w:val="45A63CAC"/>
    <w:rsid w:val="45A67534"/>
    <w:rsid w:val="45A858ED"/>
    <w:rsid w:val="45AA6FE6"/>
    <w:rsid w:val="45C30031"/>
    <w:rsid w:val="45CA7611"/>
    <w:rsid w:val="45CF2011"/>
    <w:rsid w:val="45E5444B"/>
    <w:rsid w:val="45E80918"/>
    <w:rsid w:val="45FE71F0"/>
    <w:rsid w:val="46012AB2"/>
    <w:rsid w:val="460C5E7C"/>
    <w:rsid w:val="461176B8"/>
    <w:rsid w:val="46162856"/>
    <w:rsid w:val="461E5A32"/>
    <w:rsid w:val="462211FB"/>
    <w:rsid w:val="462431C5"/>
    <w:rsid w:val="462A4554"/>
    <w:rsid w:val="4634247E"/>
    <w:rsid w:val="46362EF9"/>
    <w:rsid w:val="46364CA7"/>
    <w:rsid w:val="4651388E"/>
    <w:rsid w:val="465313B5"/>
    <w:rsid w:val="465362AE"/>
    <w:rsid w:val="465932A3"/>
    <w:rsid w:val="465B470D"/>
    <w:rsid w:val="465D66D7"/>
    <w:rsid w:val="4670113A"/>
    <w:rsid w:val="46713F31"/>
    <w:rsid w:val="46786DB5"/>
    <w:rsid w:val="467A1037"/>
    <w:rsid w:val="467C2137"/>
    <w:rsid w:val="467D4684"/>
    <w:rsid w:val="467E0B62"/>
    <w:rsid w:val="46825BF6"/>
    <w:rsid w:val="46931D6B"/>
    <w:rsid w:val="469B136D"/>
    <w:rsid w:val="469C1418"/>
    <w:rsid w:val="46A50BD4"/>
    <w:rsid w:val="46B273DE"/>
    <w:rsid w:val="46B53960"/>
    <w:rsid w:val="46BA357F"/>
    <w:rsid w:val="46D12B93"/>
    <w:rsid w:val="46D60411"/>
    <w:rsid w:val="46DD5122"/>
    <w:rsid w:val="46E14C12"/>
    <w:rsid w:val="46EE3553"/>
    <w:rsid w:val="47084895"/>
    <w:rsid w:val="47170634"/>
    <w:rsid w:val="471A1ED2"/>
    <w:rsid w:val="471D14BA"/>
    <w:rsid w:val="47244671"/>
    <w:rsid w:val="473236C0"/>
    <w:rsid w:val="47356E70"/>
    <w:rsid w:val="473D47BE"/>
    <w:rsid w:val="473F530E"/>
    <w:rsid w:val="474D674C"/>
    <w:rsid w:val="47564DFB"/>
    <w:rsid w:val="47570AED"/>
    <w:rsid w:val="4766659B"/>
    <w:rsid w:val="47740C6E"/>
    <w:rsid w:val="47793F37"/>
    <w:rsid w:val="478F466E"/>
    <w:rsid w:val="47A67C0A"/>
    <w:rsid w:val="47A9108B"/>
    <w:rsid w:val="47AA253B"/>
    <w:rsid w:val="47B839DD"/>
    <w:rsid w:val="47C3256A"/>
    <w:rsid w:val="47D11C96"/>
    <w:rsid w:val="47D14C87"/>
    <w:rsid w:val="47D93B3C"/>
    <w:rsid w:val="47DB7AD9"/>
    <w:rsid w:val="47E32732"/>
    <w:rsid w:val="47E524E0"/>
    <w:rsid w:val="47ED75E7"/>
    <w:rsid w:val="48033FCC"/>
    <w:rsid w:val="48247180"/>
    <w:rsid w:val="48341B26"/>
    <w:rsid w:val="48343AF2"/>
    <w:rsid w:val="48436B85"/>
    <w:rsid w:val="48531B40"/>
    <w:rsid w:val="485D476D"/>
    <w:rsid w:val="485F6737"/>
    <w:rsid w:val="48657AC5"/>
    <w:rsid w:val="486777F5"/>
    <w:rsid w:val="486E21E3"/>
    <w:rsid w:val="487B457C"/>
    <w:rsid w:val="48A361E3"/>
    <w:rsid w:val="48A73EFF"/>
    <w:rsid w:val="48AF411D"/>
    <w:rsid w:val="48B06F92"/>
    <w:rsid w:val="48BD16AF"/>
    <w:rsid w:val="48C25618"/>
    <w:rsid w:val="48D233F8"/>
    <w:rsid w:val="48D34CB3"/>
    <w:rsid w:val="48E15A28"/>
    <w:rsid w:val="48E15B89"/>
    <w:rsid w:val="48E409EA"/>
    <w:rsid w:val="48F60FD9"/>
    <w:rsid w:val="48FA645F"/>
    <w:rsid w:val="49017EAD"/>
    <w:rsid w:val="49053B3C"/>
    <w:rsid w:val="491006E6"/>
    <w:rsid w:val="4919359E"/>
    <w:rsid w:val="491E6A77"/>
    <w:rsid w:val="492C3A37"/>
    <w:rsid w:val="49311755"/>
    <w:rsid w:val="493352EF"/>
    <w:rsid w:val="49353AF4"/>
    <w:rsid w:val="493A2D00"/>
    <w:rsid w:val="49431BB4"/>
    <w:rsid w:val="494A5A08"/>
    <w:rsid w:val="4957740E"/>
    <w:rsid w:val="4961203A"/>
    <w:rsid w:val="496833C9"/>
    <w:rsid w:val="49706579"/>
    <w:rsid w:val="497F5A10"/>
    <w:rsid w:val="498227B7"/>
    <w:rsid w:val="49966F18"/>
    <w:rsid w:val="49B02FC2"/>
    <w:rsid w:val="49B52386"/>
    <w:rsid w:val="49C36851"/>
    <w:rsid w:val="49CC71C9"/>
    <w:rsid w:val="49D60FD2"/>
    <w:rsid w:val="49F64E79"/>
    <w:rsid w:val="49F92273"/>
    <w:rsid w:val="4A02381D"/>
    <w:rsid w:val="4A0F5F3A"/>
    <w:rsid w:val="4A377225"/>
    <w:rsid w:val="4A407E68"/>
    <w:rsid w:val="4A4554B8"/>
    <w:rsid w:val="4A5A080E"/>
    <w:rsid w:val="4A633B90"/>
    <w:rsid w:val="4A657B03"/>
    <w:rsid w:val="4A735DEF"/>
    <w:rsid w:val="4A761B16"/>
    <w:rsid w:val="4A835FE1"/>
    <w:rsid w:val="4A893617"/>
    <w:rsid w:val="4A8E3649"/>
    <w:rsid w:val="4A9277D3"/>
    <w:rsid w:val="4A951057"/>
    <w:rsid w:val="4A9E2015"/>
    <w:rsid w:val="4A9F61B7"/>
    <w:rsid w:val="4AAB5B1D"/>
    <w:rsid w:val="4AB37F71"/>
    <w:rsid w:val="4AB663B6"/>
    <w:rsid w:val="4AC07235"/>
    <w:rsid w:val="4AC31FBE"/>
    <w:rsid w:val="4AC5484B"/>
    <w:rsid w:val="4AC705C3"/>
    <w:rsid w:val="4ACA3C0F"/>
    <w:rsid w:val="4ACD5617"/>
    <w:rsid w:val="4ACF7478"/>
    <w:rsid w:val="4AE038E0"/>
    <w:rsid w:val="4AE10E01"/>
    <w:rsid w:val="4AE76825"/>
    <w:rsid w:val="4B026900"/>
    <w:rsid w:val="4B047121"/>
    <w:rsid w:val="4B052E99"/>
    <w:rsid w:val="4B054C48"/>
    <w:rsid w:val="4B06733D"/>
    <w:rsid w:val="4B07137F"/>
    <w:rsid w:val="4B0E1D4E"/>
    <w:rsid w:val="4B17768A"/>
    <w:rsid w:val="4B2835D4"/>
    <w:rsid w:val="4B29302C"/>
    <w:rsid w:val="4B304358"/>
    <w:rsid w:val="4B366DC2"/>
    <w:rsid w:val="4B4C2876"/>
    <w:rsid w:val="4B567E60"/>
    <w:rsid w:val="4B591EF1"/>
    <w:rsid w:val="4B5C51AF"/>
    <w:rsid w:val="4B5E3329"/>
    <w:rsid w:val="4B68207B"/>
    <w:rsid w:val="4B702C9B"/>
    <w:rsid w:val="4B775B45"/>
    <w:rsid w:val="4B8069D8"/>
    <w:rsid w:val="4B865D88"/>
    <w:rsid w:val="4B8E74FC"/>
    <w:rsid w:val="4B985ABC"/>
    <w:rsid w:val="4BA32DDE"/>
    <w:rsid w:val="4BA40904"/>
    <w:rsid w:val="4BA916AB"/>
    <w:rsid w:val="4BAB30BD"/>
    <w:rsid w:val="4BAF270E"/>
    <w:rsid w:val="4BCD08BF"/>
    <w:rsid w:val="4BCE3194"/>
    <w:rsid w:val="4BCE4075"/>
    <w:rsid w:val="4BCF3BD3"/>
    <w:rsid w:val="4BD74836"/>
    <w:rsid w:val="4BEE0510"/>
    <w:rsid w:val="4BEF1B80"/>
    <w:rsid w:val="4BF42883"/>
    <w:rsid w:val="4BF43114"/>
    <w:rsid w:val="4BF9152F"/>
    <w:rsid w:val="4BFD4A5B"/>
    <w:rsid w:val="4C03387D"/>
    <w:rsid w:val="4C044F84"/>
    <w:rsid w:val="4C062D22"/>
    <w:rsid w:val="4C083B78"/>
    <w:rsid w:val="4C0D64AA"/>
    <w:rsid w:val="4C1A4723"/>
    <w:rsid w:val="4C2544D5"/>
    <w:rsid w:val="4C3E6663"/>
    <w:rsid w:val="4C577725"/>
    <w:rsid w:val="4C6267F5"/>
    <w:rsid w:val="4C6B169A"/>
    <w:rsid w:val="4C6F0F12"/>
    <w:rsid w:val="4C7958ED"/>
    <w:rsid w:val="4C7D362F"/>
    <w:rsid w:val="4C7E6688"/>
    <w:rsid w:val="4C8524E4"/>
    <w:rsid w:val="4C854292"/>
    <w:rsid w:val="4C8F2950"/>
    <w:rsid w:val="4C92075D"/>
    <w:rsid w:val="4C9A57EE"/>
    <w:rsid w:val="4CA010CC"/>
    <w:rsid w:val="4CA02E7A"/>
    <w:rsid w:val="4CAB129C"/>
    <w:rsid w:val="4CAD5011"/>
    <w:rsid w:val="4CBA5F1D"/>
    <w:rsid w:val="4CBD2A4C"/>
    <w:rsid w:val="4CDE109D"/>
    <w:rsid w:val="4CE23492"/>
    <w:rsid w:val="4CEB1205"/>
    <w:rsid w:val="4CEC0A5C"/>
    <w:rsid w:val="4CF54C88"/>
    <w:rsid w:val="4CF927E1"/>
    <w:rsid w:val="4CFA5B12"/>
    <w:rsid w:val="4D111B7D"/>
    <w:rsid w:val="4D115B26"/>
    <w:rsid w:val="4D152ED0"/>
    <w:rsid w:val="4D2F41FE"/>
    <w:rsid w:val="4D3006A2"/>
    <w:rsid w:val="4D305D9A"/>
    <w:rsid w:val="4D3637DE"/>
    <w:rsid w:val="4D3E17F5"/>
    <w:rsid w:val="4D3F7A5D"/>
    <w:rsid w:val="4D423F31"/>
    <w:rsid w:val="4D58082E"/>
    <w:rsid w:val="4D6471EF"/>
    <w:rsid w:val="4D6E11CA"/>
    <w:rsid w:val="4D733CA1"/>
    <w:rsid w:val="4D851993"/>
    <w:rsid w:val="4D8932D3"/>
    <w:rsid w:val="4D8B1D7C"/>
    <w:rsid w:val="4D8E7F56"/>
    <w:rsid w:val="4D9A5C6E"/>
    <w:rsid w:val="4DA8648A"/>
    <w:rsid w:val="4DBC1F35"/>
    <w:rsid w:val="4DC302A5"/>
    <w:rsid w:val="4DCE520C"/>
    <w:rsid w:val="4DE25CB0"/>
    <w:rsid w:val="4DE33966"/>
    <w:rsid w:val="4E0F770D"/>
    <w:rsid w:val="4E235B10"/>
    <w:rsid w:val="4E274F81"/>
    <w:rsid w:val="4E2B4904"/>
    <w:rsid w:val="4E3C4EAE"/>
    <w:rsid w:val="4E3F594B"/>
    <w:rsid w:val="4E4A5793"/>
    <w:rsid w:val="4E4A73CC"/>
    <w:rsid w:val="4E4B4C66"/>
    <w:rsid w:val="4E4D7031"/>
    <w:rsid w:val="4E6D2B88"/>
    <w:rsid w:val="4E920EE8"/>
    <w:rsid w:val="4E9C3B15"/>
    <w:rsid w:val="4E9D5A90"/>
    <w:rsid w:val="4EA91DE8"/>
    <w:rsid w:val="4EB5672D"/>
    <w:rsid w:val="4EB9166D"/>
    <w:rsid w:val="4EC54E56"/>
    <w:rsid w:val="4ED25E5C"/>
    <w:rsid w:val="4EDA1D6F"/>
    <w:rsid w:val="4EE23C1E"/>
    <w:rsid w:val="4EF44C47"/>
    <w:rsid w:val="4EF456FF"/>
    <w:rsid w:val="4EFB6A8D"/>
    <w:rsid w:val="4F0222FC"/>
    <w:rsid w:val="4F0B7C1B"/>
    <w:rsid w:val="4F0C56E3"/>
    <w:rsid w:val="4F135B85"/>
    <w:rsid w:val="4F1D28A1"/>
    <w:rsid w:val="4F2E39C1"/>
    <w:rsid w:val="4F3212DE"/>
    <w:rsid w:val="4F37237A"/>
    <w:rsid w:val="4F376970"/>
    <w:rsid w:val="4F385E0A"/>
    <w:rsid w:val="4F3C33F9"/>
    <w:rsid w:val="4F3F4BCC"/>
    <w:rsid w:val="4F455F5A"/>
    <w:rsid w:val="4F4F2935"/>
    <w:rsid w:val="4F511A19"/>
    <w:rsid w:val="4F522B51"/>
    <w:rsid w:val="4F61082C"/>
    <w:rsid w:val="4F6B59C1"/>
    <w:rsid w:val="4F764693"/>
    <w:rsid w:val="4F7B5D28"/>
    <w:rsid w:val="4F806319"/>
    <w:rsid w:val="4F82699E"/>
    <w:rsid w:val="4F8C5937"/>
    <w:rsid w:val="4FA200C4"/>
    <w:rsid w:val="4FAD1A78"/>
    <w:rsid w:val="4FAE1D52"/>
    <w:rsid w:val="4FC275AB"/>
    <w:rsid w:val="4FC9093A"/>
    <w:rsid w:val="4FCD667C"/>
    <w:rsid w:val="4FD01CC8"/>
    <w:rsid w:val="4FD84819"/>
    <w:rsid w:val="4FE439C5"/>
    <w:rsid w:val="4FE92D8A"/>
    <w:rsid w:val="4FEA28EC"/>
    <w:rsid w:val="4FEA6623"/>
    <w:rsid w:val="4FF36D2B"/>
    <w:rsid w:val="4FF82FCD"/>
    <w:rsid w:val="4FFD6A98"/>
    <w:rsid w:val="4FFD7DF5"/>
    <w:rsid w:val="50033E4B"/>
    <w:rsid w:val="5004101F"/>
    <w:rsid w:val="500D37C9"/>
    <w:rsid w:val="50130C0F"/>
    <w:rsid w:val="5013499E"/>
    <w:rsid w:val="501375CD"/>
    <w:rsid w:val="50267B3A"/>
    <w:rsid w:val="502D34E2"/>
    <w:rsid w:val="503D08AB"/>
    <w:rsid w:val="503F29AA"/>
    <w:rsid w:val="50421207"/>
    <w:rsid w:val="50423B16"/>
    <w:rsid w:val="5043054D"/>
    <w:rsid w:val="506863A4"/>
    <w:rsid w:val="506C308E"/>
    <w:rsid w:val="507602C9"/>
    <w:rsid w:val="507620AE"/>
    <w:rsid w:val="507A5667"/>
    <w:rsid w:val="50834F8C"/>
    <w:rsid w:val="50885C42"/>
    <w:rsid w:val="508D1967"/>
    <w:rsid w:val="509125CE"/>
    <w:rsid w:val="509B4D1B"/>
    <w:rsid w:val="509B50F3"/>
    <w:rsid w:val="509D6CA1"/>
    <w:rsid w:val="509E5922"/>
    <w:rsid w:val="50A078EC"/>
    <w:rsid w:val="50B148AB"/>
    <w:rsid w:val="50B207D7"/>
    <w:rsid w:val="50BB4726"/>
    <w:rsid w:val="50C11B22"/>
    <w:rsid w:val="50C82976"/>
    <w:rsid w:val="50DB4287"/>
    <w:rsid w:val="50EF2B62"/>
    <w:rsid w:val="50EF617E"/>
    <w:rsid w:val="50F6575E"/>
    <w:rsid w:val="512277FD"/>
    <w:rsid w:val="51262440"/>
    <w:rsid w:val="512C0596"/>
    <w:rsid w:val="512C2F2E"/>
    <w:rsid w:val="51340035"/>
    <w:rsid w:val="513B5867"/>
    <w:rsid w:val="5154139A"/>
    <w:rsid w:val="5161205C"/>
    <w:rsid w:val="51644DBE"/>
    <w:rsid w:val="516528E4"/>
    <w:rsid w:val="51666678"/>
    <w:rsid w:val="516A5136"/>
    <w:rsid w:val="517555E9"/>
    <w:rsid w:val="517B25FD"/>
    <w:rsid w:val="5181771E"/>
    <w:rsid w:val="5184720E"/>
    <w:rsid w:val="518D53C0"/>
    <w:rsid w:val="51984A67"/>
    <w:rsid w:val="51991247"/>
    <w:rsid w:val="519E3DA7"/>
    <w:rsid w:val="51A83198"/>
    <w:rsid w:val="51AB3D3B"/>
    <w:rsid w:val="51AE6039"/>
    <w:rsid w:val="51B00003"/>
    <w:rsid w:val="51B549B9"/>
    <w:rsid w:val="51BD653C"/>
    <w:rsid w:val="51C770FB"/>
    <w:rsid w:val="51C969CF"/>
    <w:rsid w:val="51CC678C"/>
    <w:rsid w:val="51D13AD5"/>
    <w:rsid w:val="51D24255"/>
    <w:rsid w:val="51D95B47"/>
    <w:rsid w:val="51EE4687"/>
    <w:rsid w:val="51F85506"/>
    <w:rsid w:val="52016DEF"/>
    <w:rsid w:val="52125CFE"/>
    <w:rsid w:val="521C2FA3"/>
    <w:rsid w:val="521F2938"/>
    <w:rsid w:val="5224454D"/>
    <w:rsid w:val="52293911"/>
    <w:rsid w:val="522A0567"/>
    <w:rsid w:val="523342F2"/>
    <w:rsid w:val="523A665C"/>
    <w:rsid w:val="52467195"/>
    <w:rsid w:val="52506FD3"/>
    <w:rsid w:val="525C548E"/>
    <w:rsid w:val="525F31E7"/>
    <w:rsid w:val="5262171D"/>
    <w:rsid w:val="526C33DA"/>
    <w:rsid w:val="52723605"/>
    <w:rsid w:val="52733715"/>
    <w:rsid w:val="52795C60"/>
    <w:rsid w:val="527A416D"/>
    <w:rsid w:val="527E3C5D"/>
    <w:rsid w:val="52820263"/>
    <w:rsid w:val="528B39FD"/>
    <w:rsid w:val="529C2335"/>
    <w:rsid w:val="52A24BB5"/>
    <w:rsid w:val="52A5013D"/>
    <w:rsid w:val="52A631B4"/>
    <w:rsid w:val="52A90379"/>
    <w:rsid w:val="52AE4A26"/>
    <w:rsid w:val="52B30A6D"/>
    <w:rsid w:val="52B77617"/>
    <w:rsid w:val="52D00117"/>
    <w:rsid w:val="52D74FF0"/>
    <w:rsid w:val="52E617B5"/>
    <w:rsid w:val="52EC6E19"/>
    <w:rsid w:val="52EE7DCB"/>
    <w:rsid w:val="52F45CCD"/>
    <w:rsid w:val="52F932E4"/>
    <w:rsid w:val="52FD1026"/>
    <w:rsid w:val="530F2B07"/>
    <w:rsid w:val="53185E60"/>
    <w:rsid w:val="531B5950"/>
    <w:rsid w:val="531C3126"/>
    <w:rsid w:val="53285977"/>
    <w:rsid w:val="532A7941"/>
    <w:rsid w:val="533E33EC"/>
    <w:rsid w:val="53415FFD"/>
    <w:rsid w:val="534E1C07"/>
    <w:rsid w:val="535F34CE"/>
    <w:rsid w:val="53625651"/>
    <w:rsid w:val="536F17F8"/>
    <w:rsid w:val="53761B3F"/>
    <w:rsid w:val="53794425"/>
    <w:rsid w:val="53862B7D"/>
    <w:rsid w:val="538E6780"/>
    <w:rsid w:val="53967037"/>
    <w:rsid w:val="539712FA"/>
    <w:rsid w:val="539774E2"/>
    <w:rsid w:val="53A51A58"/>
    <w:rsid w:val="53A96AB8"/>
    <w:rsid w:val="53AF7E46"/>
    <w:rsid w:val="53CA3539"/>
    <w:rsid w:val="53D53D51"/>
    <w:rsid w:val="53D66FC6"/>
    <w:rsid w:val="53D92B17"/>
    <w:rsid w:val="53D97DEB"/>
    <w:rsid w:val="53DF0B1E"/>
    <w:rsid w:val="53E02148"/>
    <w:rsid w:val="53E47AF0"/>
    <w:rsid w:val="53E765EC"/>
    <w:rsid w:val="53EE7C09"/>
    <w:rsid w:val="53F02939"/>
    <w:rsid w:val="53F52559"/>
    <w:rsid w:val="53FD32A8"/>
    <w:rsid w:val="5400129B"/>
    <w:rsid w:val="54044A62"/>
    <w:rsid w:val="54071D3B"/>
    <w:rsid w:val="540957F7"/>
    <w:rsid w:val="541D3002"/>
    <w:rsid w:val="54231FF0"/>
    <w:rsid w:val="54316AAD"/>
    <w:rsid w:val="543D5452"/>
    <w:rsid w:val="5440524C"/>
    <w:rsid w:val="54414F42"/>
    <w:rsid w:val="54422353"/>
    <w:rsid w:val="54424352"/>
    <w:rsid w:val="545509EE"/>
    <w:rsid w:val="545C1D7C"/>
    <w:rsid w:val="54667B16"/>
    <w:rsid w:val="546926EB"/>
    <w:rsid w:val="546E1AAF"/>
    <w:rsid w:val="547215A0"/>
    <w:rsid w:val="547370C6"/>
    <w:rsid w:val="54832B56"/>
    <w:rsid w:val="5495703C"/>
    <w:rsid w:val="549B4C2C"/>
    <w:rsid w:val="54A3007E"/>
    <w:rsid w:val="54AA3F57"/>
    <w:rsid w:val="54BE2A37"/>
    <w:rsid w:val="54C92693"/>
    <w:rsid w:val="54D2203E"/>
    <w:rsid w:val="54E502CE"/>
    <w:rsid w:val="54EA382C"/>
    <w:rsid w:val="54F75F49"/>
    <w:rsid w:val="54FF095A"/>
    <w:rsid w:val="55081530"/>
    <w:rsid w:val="550A17D8"/>
    <w:rsid w:val="550F5041"/>
    <w:rsid w:val="55102FB4"/>
    <w:rsid w:val="55104E28"/>
    <w:rsid w:val="552954B3"/>
    <w:rsid w:val="55300505"/>
    <w:rsid w:val="553158A2"/>
    <w:rsid w:val="554A7E27"/>
    <w:rsid w:val="555D3AAF"/>
    <w:rsid w:val="556709D9"/>
    <w:rsid w:val="55735655"/>
    <w:rsid w:val="55822708"/>
    <w:rsid w:val="558A0D0B"/>
    <w:rsid w:val="55937A20"/>
    <w:rsid w:val="55A31C14"/>
    <w:rsid w:val="55A90B20"/>
    <w:rsid w:val="55AE2AAB"/>
    <w:rsid w:val="55B8563E"/>
    <w:rsid w:val="55C51BA3"/>
    <w:rsid w:val="55CC2B92"/>
    <w:rsid w:val="55F04E72"/>
    <w:rsid w:val="56073F6A"/>
    <w:rsid w:val="561A1EEF"/>
    <w:rsid w:val="562543F0"/>
    <w:rsid w:val="562B5EAA"/>
    <w:rsid w:val="563238BF"/>
    <w:rsid w:val="56341948"/>
    <w:rsid w:val="56373A1F"/>
    <w:rsid w:val="564372DA"/>
    <w:rsid w:val="564B654C"/>
    <w:rsid w:val="56530F5D"/>
    <w:rsid w:val="56544518"/>
    <w:rsid w:val="56607A77"/>
    <w:rsid w:val="566557D1"/>
    <w:rsid w:val="56655E0A"/>
    <w:rsid w:val="56674D60"/>
    <w:rsid w:val="566D0271"/>
    <w:rsid w:val="567339EE"/>
    <w:rsid w:val="56845A89"/>
    <w:rsid w:val="56981066"/>
    <w:rsid w:val="569811FF"/>
    <w:rsid w:val="569E1568"/>
    <w:rsid w:val="56B20379"/>
    <w:rsid w:val="56B539C6"/>
    <w:rsid w:val="56B73D78"/>
    <w:rsid w:val="56B86A62"/>
    <w:rsid w:val="56BA0FDC"/>
    <w:rsid w:val="56BC4D54"/>
    <w:rsid w:val="56D06A51"/>
    <w:rsid w:val="56D4209E"/>
    <w:rsid w:val="56D54A0C"/>
    <w:rsid w:val="56DD7187"/>
    <w:rsid w:val="56E44F7A"/>
    <w:rsid w:val="56E61DD1"/>
    <w:rsid w:val="56E900F6"/>
    <w:rsid w:val="56F444EE"/>
    <w:rsid w:val="56FB195F"/>
    <w:rsid w:val="57157607"/>
    <w:rsid w:val="5728063B"/>
    <w:rsid w:val="572D7A00"/>
    <w:rsid w:val="572F19CA"/>
    <w:rsid w:val="57376AD1"/>
    <w:rsid w:val="573A22EA"/>
    <w:rsid w:val="574134AB"/>
    <w:rsid w:val="57421815"/>
    <w:rsid w:val="57482A8C"/>
    <w:rsid w:val="57530E43"/>
    <w:rsid w:val="57596209"/>
    <w:rsid w:val="575B456D"/>
    <w:rsid w:val="57796D71"/>
    <w:rsid w:val="577E3411"/>
    <w:rsid w:val="577E64AD"/>
    <w:rsid w:val="578458F4"/>
    <w:rsid w:val="57875362"/>
    <w:rsid w:val="578C435A"/>
    <w:rsid w:val="57915436"/>
    <w:rsid w:val="579D4B86"/>
    <w:rsid w:val="57A04676"/>
    <w:rsid w:val="57A31A70"/>
    <w:rsid w:val="57A852D8"/>
    <w:rsid w:val="57AC6B77"/>
    <w:rsid w:val="57AD1188"/>
    <w:rsid w:val="57AE1095"/>
    <w:rsid w:val="57B175D9"/>
    <w:rsid w:val="57B341DC"/>
    <w:rsid w:val="57BA425B"/>
    <w:rsid w:val="57BB20C6"/>
    <w:rsid w:val="57C15632"/>
    <w:rsid w:val="57CB1AC4"/>
    <w:rsid w:val="57DE3BE8"/>
    <w:rsid w:val="57EE53E1"/>
    <w:rsid w:val="57F66683"/>
    <w:rsid w:val="57FB365A"/>
    <w:rsid w:val="57FD3FEF"/>
    <w:rsid w:val="58111F12"/>
    <w:rsid w:val="581806B0"/>
    <w:rsid w:val="581B5AAA"/>
    <w:rsid w:val="58325E36"/>
    <w:rsid w:val="583F45A7"/>
    <w:rsid w:val="585D60C3"/>
    <w:rsid w:val="585F4C65"/>
    <w:rsid w:val="58692CBA"/>
    <w:rsid w:val="586A7801"/>
    <w:rsid w:val="58767185"/>
    <w:rsid w:val="587A0A23"/>
    <w:rsid w:val="588751FD"/>
    <w:rsid w:val="58896754"/>
    <w:rsid w:val="58972518"/>
    <w:rsid w:val="58B64F62"/>
    <w:rsid w:val="58C06842"/>
    <w:rsid w:val="58D03133"/>
    <w:rsid w:val="58D81BED"/>
    <w:rsid w:val="58DA5965"/>
    <w:rsid w:val="58E135C5"/>
    <w:rsid w:val="58E56C6E"/>
    <w:rsid w:val="58F05189"/>
    <w:rsid w:val="58F85C72"/>
    <w:rsid w:val="59017396"/>
    <w:rsid w:val="590A23BD"/>
    <w:rsid w:val="59251729"/>
    <w:rsid w:val="5927664D"/>
    <w:rsid w:val="592F6AFF"/>
    <w:rsid w:val="593432C8"/>
    <w:rsid w:val="594C638B"/>
    <w:rsid w:val="595B4517"/>
    <w:rsid w:val="596966FE"/>
    <w:rsid w:val="596A2DBF"/>
    <w:rsid w:val="596A4F3B"/>
    <w:rsid w:val="59736FFC"/>
    <w:rsid w:val="597D4C6F"/>
    <w:rsid w:val="597E323E"/>
    <w:rsid w:val="59803D33"/>
    <w:rsid w:val="5980650D"/>
    <w:rsid w:val="59837DAB"/>
    <w:rsid w:val="598853C1"/>
    <w:rsid w:val="598A5ADD"/>
    <w:rsid w:val="59955B66"/>
    <w:rsid w:val="59A36002"/>
    <w:rsid w:val="59A71CEC"/>
    <w:rsid w:val="59A87812"/>
    <w:rsid w:val="59AC5554"/>
    <w:rsid w:val="59AC7302"/>
    <w:rsid w:val="59B20FE0"/>
    <w:rsid w:val="59BC506B"/>
    <w:rsid w:val="59BE031F"/>
    <w:rsid w:val="59CD18ED"/>
    <w:rsid w:val="59DF55BD"/>
    <w:rsid w:val="59E6389A"/>
    <w:rsid w:val="59E832FB"/>
    <w:rsid w:val="59F55286"/>
    <w:rsid w:val="59F91E1B"/>
    <w:rsid w:val="59FB5B93"/>
    <w:rsid w:val="5A01701A"/>
    <w:rsid w:val="5A03063A"/>
    <w:rsid w:val="5A040EEC"/>
    <w:rsid w:val="5A050644"/>
    <w:rsid w:val="5A054C64"/>
    <w:rsid w:val="5A112329"/>
    <w:rsid w:val="5A1A5635"/>
    <w:rsid w:val="5A1F7AD4"/>
    <w:rsid w:val="5A276988"/>
    <w:rsid w:val="5A3329C1"/>
    <w:rsid w:val="5A36196E"/>
    <w:rsid w:val="5A367FEE"/>
    <w:rsid w:val="5A3C5143"/>
    <w:rsid w:val="5A601E9A"/>
    <w:rsid w:val="5A61633E"/>
    <w:rsid w:val="5A6D3B4F"/>
    <w:rsid w:val="5A756A14"/>
    <w:rsid w:val="5A7D323C"/>
    <w:rsid w:val="5A8262B5"/>
    <w:rsid w:val="5A82765C"/>
    <w:rsid w:val="5A8A4156"/>
    <w:rsid w:val="5A8B6F17"/>
    <w:rsid w:val="5A8F7243"/>
    <w:rsid w:val="5A907647"/>
    <w:rsid w:val="5A9304C2"/>
    <w:rsid w:val="5A991B1D"/>
    <w:rsid w:val="5A9A35FE"/>
    <w:rsid w:val="5AA63D51"/>
    <w:rsid w:val="5AB04A47"/>
    <w:rsid w:val="5ABA1A3B"/>
    <w:rsid w:val="5ABF62C1"/>
    <w:rsid w:val="5AC44FC1"/>
    <w:rsid w:val="5ACD7F13"/>
    <w:rsid w:val="5AD45391"/>
    <w:rsid w:val="5AD84127"/>
    <w:rsid w:val="5ADA1228"/>
    <w:rsid w:val="5ADB03E8"/>
    <w:rsid w:val="5ADF7263"/>
    <w:rsid w:val="5AE42ACB"/>
    <w:rsid w:val="5AE501FE"/>
    <w:rsid w:val="5AEB5C08"/>
    <w:rsid w:val="5AF145A2"/>
    <w:rsid w:val="5AF745AD"/>
    <w:rsid w:val="5AF80C77"/>
    <w:rsid w:val="5AFC3FD3"/>
    <w:rsid w:val="5B046CCA"/>
    <w:rsid w:val="5B0575DC"/>
    <w:rsid w:val="5B0973C9"/>
    <w:rsid w:val="5B0C3C5C"/>
    <w:rsid w:val="5B137DA1"/>
    <w:rsid w:val="5B175AE5"/>
    <w:rsid w:val="5B224AB4"/>
    <w:rsid w:val="5B2435F7"/>
    <w:rsid w:val="5B2962B0"/>
    <w:rsid w:val="5B3413EB"/>
    <w:rsid w:val="5B490B80"/>
    <w:rsid w:val="5B581C46"/>
    <w:rsid w:val="5B755E4D"/>
    <w:rsid w:val="5B7B51DE"/>
    <w:rsid w:val="5B8067B1"/>
    <w:rsid w:val="5B884EE5"/>
    <w:rsid w:val="5B9B5678"/>
    <w:rsid w:val="5B9C730A"/>
    <w:rsid w:val="5B9D08B5"/>
    <w:rsid w:val="5BA109BC"/>
    <w:rsid w:val="5BA2698F"/>
    <w:rsid w:val="5BAE56C7"/>
    <w:rsid w:val="5BB93F58"/>
    <w:rsid w:val="5BBB1A7E"/>
    <w:rsid w:val="5BC07095"/>
    <w:rsid w:val="5BCD17B1"/>
    <w:rsid w:val="5BD3501A"/>
    <w:rsid w:val="5BDC5D31"/>
    <w:rsid w:val="5BDC768A"/>
    <w:rsid w:val="5BDE751B"/>
    <w:rsid w:val="5BE07737"/>
    <w:rsid w:val="5BE663CF"/>
    <w:rsid w:val="5BF31218"/>
    <w:rsid w:val="5C043425"/>
    <w:rsid w:val="5C125416"/>
    <w:rsid w:val="5C1967A5"/>
    <w:rsid w:val="5C2A15C6"/>
    <w:rsid w:val="5C480E38"/>
    <w:rsid w:val="5C5B30A7"/>
    <w:rsid w:val="5C6E3909"/>
    <w:rsid w:val="5C76437A"/>
    <w:rsid w:val="5C797243"/>
    <w:rsid w:val="5C825C93"/>
    <w:rsid w:val="5C844566"/>
    <w:rsid w:val="5C847219"/>
    <w:rsid w:val="5C8956D8"/>
    <w:rsid w:val="5C8E0F41"/>
    <w:rsid w:val="5C8F6D29"/>
    <w:rsid w:val="5C9B0909"/>
    <w:rsid w:val="5C9B540C"/>
    <w:rsid w:val="5CA003BA"/>
    <w:rsid w:val="5CA11104"/>
    <w:rsid w:val="5CA14222"/>
    <w:rsid w:val="5CC056BC"/>
    <w:rsid w:val="5CC331C4"/>
    <w:rsid w:val="5CC63534"/>
    <w:rsid w:val="5CD5091E"/>
    <w:rsid w:val="5CDE1C38"/>
    <w:rsid w:val="5CE15BDF"/>
    <w:rsid w:val="5CF96B2A"/>
    <w:rsid w:val="5D2378DB"/>
    <w:rsid w:val="5D24642F"/>
    <w:rsid w:val="5D2A3CA3"/>
    <w:rsid w:val="5D2C3FDA"/>
    <w:rsid w:val="5D417D61"/>
    <w:rsid w:val="5D44746A"/>
    <w:rsid w:val="5D46469E"/>
    <w:rsid w:val="5D4E06D0"/>
    <w:rsid w:val="5D513588"/>
    <w:rsid w:val="5D551242"/>
    <w:rsid w:val="5D5B3FA4"/>
    <w:rsid w:val="5D625D3A"/>
    <w:rsid w:val="5D663C6C"/>
    <w:rsid w:val="5D6D6982"/>
    <w:rsid w:val="5D7A5141"/>
    <w:rsid w:val="5D7C6FEB"/>
    <w:rsid w:val="5D916D7B"/>
    <w:rsid w:val="5D9407D9"/>
    <w:rsid w:val="5D946553"/>
    <w:rsid w:val="5D9520D3"/>
    <w:rsid w:val="5D952B69"/>
    <w:rsid w:val="5D9B1B67"/>
    <w:rsid w:val="5D9F0F2C"/>
    <w:rsid w:val="5DA12EF6"/>
    <w:rsid w:val="5DA54794"/>
    <w:rsid w:val="5DB41596"/>
    <w:rsid w:val="5DBC1ADE"/>
    <w:rsid w:val="5DC15346"/>
    <w:rsid w:val="5DD155AC"/>
    <w:rsid w:val="5DD20F4D"/>
    <w:rsid w:val="5DD72473"/>
    <w:rsid w:val="5DE52DE2"/>
    <w:rsid w:val="5DEA03F9"/>
    <w:rsid w:val="5DEB5BAE"/>
    <w:rsid w:val="5DFD637E"/>
    <w:rsid w:val="5E0C65C1"/>
    <w:rsid w:val="5E173CDE"/>
    <w:rsid w:val="5E1A5732"/>
    <w:rsid w:val="5E3007B2"/>
    <w:rsid w:val="5E4512CB"/>
    <w:rsid w:val="5E560AEE"/>
    <w:rsid w:val="5E563CE0"/>
    <w:rsid w:val="5E566AB6"/>
    <w:rsid w:val="5E650982"/>
    <w:rsid w:val="5E693A13"/>
    <w:rsid w:val="5E75274D"/>
    <w:rsid w:val="5E7D3180"/>
    <w:rsid w:val="5E7D74BF"/>
    <w:rsid w:val="5E831E6A"/>
    <w:rsid w:val="5E864FA0"/>
    <w:rsid w:val="5E8C4FC0"/>
    <w:rsid w:val="5E8E6FD6"/>
    <w:rsid w:val="5E8F2D4E"/>
    <w:rsid w:val="5E9B7945"/>
    <w:rsid w:val="5EAB2588"/>
    <w:rsid w:val="5EAC5CBD"/>
    <w:rsid w:val="5EB629D1"/>
    <w:rsid w:val="5EC155FD"/>
    <w:rsid w:val="5EC24ED2"/>
    <w:rsid w:val="5EC35AE4"/>
    <w:rsid w:val="5ECD3D29"/>
    <w:rsid w:val="5ED75CB5"/>
    <w:rsid w:val="5EE035AA"/>
    <w:rsid w:val="5EE45E30"/>
    <w:rsid w:val="5EE65064"/>
    <w:rsid w:val="5EE7446E"/>
    <w:rsid w:val="5EEA3557"/>
    <w:rsid w:val="5EEE5CC7"/>
    <w:rsid w:val="5F0E6969"/>
    <w:rsid w:val="5F100A56"/>
    <w:rsid w:val="5F117C07"/>
    <w:rsid w:val="5F13397F"/>
    <w:rsid w:val="5F1C75E3"/>
    <w:rsid w:val="5F1D65AC"/>
    <w:rsid w:val="5F333C4D"/>
    <w:rsid w:val="5F3A53B0"/>
    <w:rsid w:val="5F4355E2"/>
    <w:rsid w:val="5F54566F"/>
    <w:rsid w:val="5F555D46"/>
    <w:rsid w:val="5F5D2E4C"/>
    <w:rsid w:val="5F5F0667"/>
    <w:rsid w:val="5F601622"/>
    <w:rsid w:val="5F6237B3"/>
    <w:rsid w:val="5F6B10E4"/>
    <w:rsid w:val="5F70205B"/>
    <w:rsid w:val="5F73513A"/>
    <w:rsid w:val="5F8A6A15"/>
    <w:rsid w:val="5F8F74F5"/>
    <w:rsid w:val="5F9B78EF"/>
    <w:rsid w:val="5FA016B7"/>
    <w:rsid w:val="5FA82319"/>
    <w:rsid w:val="5FAE5456"/>
    <w:rsid w:val="5FBF0BA6"/>
    <w:rsid w:val="5FBF2927"/>
    <w:rsid w:val="5FBF2E48"/>
    <w:rsid w:val="5FCB523A"/>
    <w:rsid w:val="5FCD5990"/>
    <w:rsid w:val="5FD94C13"/>
    <w:rsid w:val="5FD96977"/>
    <w:rsid w:val="5FDF3958"/>
    <w:rsid w:val="5FF03A3A"/>
    <w:rsid w:val="5FF612D7"/>
    <w:rsid w:val="5FFA069B"/>
    <w:rsid w:val="60057A63"/>
    <w:rsid w:val="6008100A"/>
    <w:rsid w:val="60123C37"/>
    <w:rsid w:val="60163727"/>
    <w:rsid w:val="601D5BCF"/>
    <w:rsid w:val="602776E2"/>
    <w:rsid w:val="602C4A56"/>
    <w:rsid w:val="60367B2B"/>
    <w:rsid w:val="60424E62"/>
    <w:rsid w:val="60477D84"/>
    <w:rsid w:val="605040C4"/>
    <w:rsid w:val="60556045"/>
    <w:rsid w:val="605B3830"/>
    <w:rsid w:val="605F320A"/>
    <w:rsid w:val="606D70BF"/>
    <w:rsid w:val="60787F3E"/>
    <w:rsid w:val="607A107A"/>
    <w:rsid w:val="608605A7"/>
    <w:rsid w:val="60871904"/>
    <w:rsid w:val="60981B7A"/>
    <w:rsid w:val="609C38F3"/>
    <w:rsid w:val="60A34A27"/>
    <w:rsid w:val="60A70823"/>
    <w:rsid w:val="60AF592A"/>
    <w:rsid w:val="60C05441"/>
    <w:rsid w:val="60C211B9"/>
    <w:rsid w:val="60D5714D"/>
    <w:rsid w:val="60DE64A3"/>
    <w:rsid w:val="60DF3123"/>
    <w:rsid w:val="60E318BB"/>
    <w:rsid w:val="60F43B54"/>
    <w:rsid w:val="60F670B5"/>
    <w:rsid w:val="60F8107F"/>
    <w:rsid w:val="610A63E1"/>
    <w:rsid w:val="610C0686"/>
    <w:rsid w:val="610E6F66"/>
    <w:rsid w:val="61194154"/>
    <w:rsid w:val="611D35D4"/>
    <w:rsid w:val="612C1B2A"/>
    <w:rsid w:val="61355E2F"/>
    <w:rsid w:val="61405FA4"/>
    <w:rsid w:val="61447E20"/>
    <w:rsid w:val="614E7B14"/>
    <w:rsid w:val="615269E1"/>
    <w:rsid w:val="61532759"/>
    <w:rsid w:val="618E553F"/>
    <w:rsid w:val="61993B80"/>
    <w:rsid w:val="619A3EE4"/>
    <w:rsid w:val="61A745B5"/>
    <w:rsid w:val="61AE46AF"/>
    <w:rsid w:val="61AE5BE1"/>
    <w:rsid w:val="61C0713D"/>
    <w:rsid w:val="61C11E77"/>
    <w:rsid w:val="61C81FCE"/>
    <w:rsid w:val="61C86CA3"/>
    <w:rsid w:val="61CE1910"/>
    <w:rsid w:val="61D03B00"/>
    <w:rsid w:val="61E86356"/>
    <w:rsid w:val="61F77588"/>
    <w:rsid w:val="61F93300"/>
    <w:rsid w:val="61FE0917"/>
    <w:rsid w:val="62027B86"/>
    <w:rsid w:val="6211064A"/>
    <w:rsid w:val="6212744C"/>
    <w:rsid w:val="6213584C"/>
    <w:rsid w:val="62141EE8"/>
    <w:rsid w:val="6223037D"/>
    <w:rsid w:val="62312A9A"/>
    <w:rsid w:val="623220EE"/>
    <w:rsid w:val="6251442B"/>
    <w:rsid w:val="62516C98"/>
    <w:rsid w:val="62650996"/>
    <w:rsid w:val="62681E40"/>
    <w:rsid w:val="626A5FAC"/>
    <w:rsid w:val="626B73B4"/>
    <w:rsid w:val="626D784A"/>
    <w:rsid w:val="62744735"/>
    <w:rsid w:val="62764951"/>
    <w:rsid w:val="627F7995"/>
    <w:rsid w:val="628232F6"/>
    <w:rsid w:val="628C7CD0"/>
    <w:rsid w:val="62903E5E"/>
    <w:rsid w:val="62943029"/>
    <w:rsid w:val="629B0A21"/>
    <w:rsid w:val="62A55A8D"/>
    <w:rsid w:val="62C8130D"/>
    <w:rsid w:val="62CF2768"/>
    <w:rsid w:val="62D86D5A"/>
    <w:rsid w:val="62DA2113"/>
    <w:rsid w:val="62F326FA"/>
    <w:rsid w:val="62F43B3F"/>
    <w:rsid w:val="62F835B8"/>
    <w:rsid w:val="62F92E8C"/>
    <w:rsid w:val="6302497D"/>
    <w:rsid w:val="630737FB"/>
    <w:rsid w:val="63084E60"/>
    <w:rsid w:val="630F445E"/>
    <w:rsid w:val="63114550"/>
    <w:rsid w:val="63360B92"/>
    <w:rsid w:val="633839B4"/>
    <w:rsid w:val="633E321C"/>
    <w:rsid w:val="63511F1B"/>
    <w:rsid w:val="635C3B47"/>
    <w:rsid w:val="635D78BF"/>
    <w:rsid w:val="636218CF"/>
    <w:rsid w:val="636522D0"/>
    <w:rsid w:val="6365799D"/>
    <w:rsid w:val="637F4381"/>
    <w:rsid w:val="63970E7A"/>
    <w:rsid w:val="639B4BA2"/>
    <w:rsid w:val="63A114E2"/>
    <w:rsid w:val="63AB4186"/>
    <w:rsid w:val="63BB7A12"/>
    <w:rsid w:val="63BE65AF"/>
    <w:rsid w:val="63CB6648"/>
    <w:rsid w:val="63CD41A6"/>
    <w:rsid w:val="63D77C6A"/>
    <w:rsid w:val="63DA2191"/>
    <w:rsid w:val="63E12291"/>
    <w:rsid w:val="63E26286"/>
    <w:rsid w:val="63F45AFA"/>
    <w:rsid w:val="63FF21DF"/>
    <w:rsid w:val="640B10C9"/>
    <w:rsid w:val="641262E0"/>
    <w:rsid w:val="641629BD"/>
    <w:rsid w:val="64183422"/>
    <w:rsid w:val="641F6922"/>
    <w:rsid w:val="64260D50"/>
    <w:rsid w:val="642C2EDB"/>
    <w:rsid w:val="642D0AD7"/>
    <w:rsid w:val="642F40DF"/>
    <w:rsid w:val="64322AF9"/>
    <w:rsid w:val="643423CE"/>
    <w:rsid w:val="64357EF4"/>
    <w:rsid w:val="64370110"/>
    <w:rsid w:val="6445282D"/>
    <w:rsid w:val="644844CA"/>
    <w:rsid w:val="644C5250"/>
    <w:rsid w:val="645C36D2"/>
    <w:rsid w:val="6460594A"/>
    <w:rsid w:val="6461518D"/>
    <w:rsid w:val="647C7B30"/>
    <w:rsid w:val="648039C1"/>
    <w:rsid w:val="648E4BFD"/>
    <w:rsid w:val="64906D87"/>
    <w:rsid w:val="64925346"/>
    <w:rsid w:val="64985C7F"/>
    <w:rsid w:val="649B41FB"/>
    <w:rsid w:val="64AB1777"/>
    <w:rsid w:val="64B96661"/>
    <w:rsid w:val="64BB2AEF"/>
    <w:rsid w:val="64C37BF6"/>
    <w:rsid w:val="64CC310D"/>
    <w:rsid w:val="64D50A0C"/>
    <w:rsid w:val="64DE30C0"/>
    <w:rsid w:val="64E9765C"/>
    <w:rsid w:val="64F655F9"/>
    <w:rsid w:val="64F93617"/>
    <w:rsid w:val="64FB113D"/>
    <w:rsid w:val="650049A6"/>
    <w:rsid w:val="65044496"/>
    <w:rsid w:val="650A1122"/>
    <w:rsid w:val="650F6824"/>
    <w:rsid w:val="65193696"/>
    <w:rsid w:val="651F307E"/>
    <w:rsid w:val="652266CA"/>
    <w:rsid w:val="65240694"/>
    <w:rsid w:val="6531690D"/>
    <w:rsid w:val="653D3504"/>
    <w:rsid w:val="65426D6C"/>
    <w:rsid w:val="654A6CF3"/>
    <w:rsid w:val="654B70D7"/>
    <w:rsid w:val="65500038"/>
    <w:rsid w:val="65654809"/>
    <w:rsid w:val="657131AE"/>
    <w:rsid w:val="657B15A1"/>
    <w:rsid w:val="65896749"/>
    <w:rsid w:val="65922807"/>
    <w:rsid w:val="659A2704"/>
    <w:rsid w:val="65A42067"/>
    <w:rsid w:val="65B20B63"/>
    <w:rsid w:val="65C5024C"/>
    <w:rsid w:val="65D73958"/>
    <w:rsid w:val="65E322FD"/>
    <w:rsid w:val="65E40437"/>
    <w:rsid w:val="65EA682B"/>
    <w:rsid w:val="65EB7404"/>
    <w:rsid w:val="65FF6A0B"/>
    <w:rsid w:val="660D548D"/>
    <w:rsid w:val="66213569"/>
    <w:rsid w:val="66271AA6"/>
    <w:rsid w:val="662817F5"/>
    <w:rsid w:val="66291CDA"/>
    <w:rsid w:val="6635067F"/>
    <w:rsid w:val="663749AD"/>
    <w:rsid w:val="663A7A43"/>
    <w:rsid w:val="66457F8E"/>
    <w:rsid w:val="66501015"/>
    <w:rsid w:val="6650370B"/>
    <w:rsid w:val="666A0329"/>
    <w:rsid w:val="66754F1F"/>
    <w:rsid w:val="667B4F9D"/>
    <w:rsid w:val="667F18FA"/>
    <w:rsid w:val="668B2CFD"/>
    <w:rsid w:val="669C425A"/>
    <w:rsid w:val="66A41EC5"/>
    <w:rsid w:val="66CC1B88"/>
    <w:rsid w:val="66E74882"/>
    <w:rsid w:val="66FF3E09"/>
    <w:rsid w:val="670544F5"/>
    <w:rsid w:val="671604B0"/>
    <w:rsid w:val="67443C7C"/>
    <w:rsid w:val="674C7DE1"/>
    <w:rsid w:val="67515045"/>
    <w:rsid w:val="675A65EF"/>
    <w:rsid w:val="67654E1A"/>
    <w:rsid w:val="67713AF5"/>
    <w:rsid w:val="677376B1"/>
    <w:rsid w:val="677F46F4"/>
    <w:rsid w:val="67887451"/>
    <w:rsid w:val="67982C74"/>
    <w:rsid w:val="67A96C2F"/>
    <w:rsid w:val="67C56B68"/>
    <w:rsid w:val="67C95523"/>
    <w:rsid w:val="67CC3603"/>
    <w:rsid w:val="67D84AF4"/>
    <w:rsid w:val="67DC5329"/>
    <w:rsid w:val="67E22B46"/>
    <w:rsid w:val="67ED7463"/>
    <w:rsid w:val="67EF699D"/>
    <w:rsid w:val="67F32768"/>
    <w:rsid w:val="67FE1B83"/>
    <w:rsid w:val="68016A6B"/>
    <w:rsid w:val="68046335"/>
    <w:rsid w:val="680622D3"/>
    <w:rsid w:val="68103152"/>
    <w:rsid w:val="68184611"/>
    <w:rsid w:val="681E08C7"/>
    <w:rsid w:val="682409AB"/>
    <w:rsid w:val="682776C4"/>
    <w:rsid w:val="682D7860"/>
    <w:rsid w:val="68321A66"/>
    <w:rsid w:val="6838041D"/>
    <w:rsid w:val="683E697D"/>
    <w:rsid w:val="683F37C5"/>
    <w:rsid w:val="684352D5"/>
    <w:rsid w:val="684553C3"/>
    <w:rsid w:val="6850003F"/>
    <w:rsid w:val="6850354E"/>
    <w:rsid w:val="68525518"/>
    <w:rsid w:val="6853335E"/>
    <w:rsid w:val="68555008"/>
    <w:rsid w:val="685B683E"/>
    <w:rsid w:val="68633281"/>
    <w:rsid w:val="68790CF7"/>
    <w:rsid w:val="68900B5D"/>
    <w:rsid w:val="68922C4A"/>
    <w:rsid w:val="68B22B30"/>
    <w:rsid w:val="68B95660"/>
    <w:rsid w:val="68DD10FD"/>
    <w:rsid w:val="68E36170"/>
    <w:rsid w:val="68E67957"/>
    <w:rsid w:val="68E95826"/>
    <w:rsid w:val="68F6634D"/>
    <w:rsid w:val="68FD6F4F"/>
    <w:rsid w:val="690111C8"/>
    <w:rsid w:val="69130898"/>
    <w:rsid w:val="69146C72"/>
    <w:rsid w:val="6917406C"/>
    <w:rsid w:val="6922313D"/>
    <w:rsid w:val="692E7D33"/>
    <w:rsid w:val="692F13B6"/>
    <w:rsid w:val="69302007"/>
    <w:rsid w:val="6931512E"/>
    <w:rsid w:val="69387E5F"/>
    <w:rsid w:val="693A3658"/>
    <w:rsid w:val="693B1EB8"/>
    <w:rsid w:val="693C7F31"/>
    <w:rsid w:val="693E3CEF"/>
    <w:rsid w:val="693E66D9"/>
    <w:rsid w:val="694236C2"/>
    <w:rsid w:val="694766FF"/>
    <w:rsid w:val="694E4DCE"/>
    <w:rsid w:val="69620C82"/>
    <w:rsid w:val="696262A4"/>
    <w:rsid w:val="69643559"/>
    <w:rsid w:val="69643755"/>
    <w:rsid w:val="69674FF3"/>
    <w:rsid w:val="696A4AE4"/>
    <w:rsid w:val="696A60B8"/>
    <w:rsid w:val="696D0F78"/>
    <w:rsid w:val="69765236"/>
    <w:rsid w:val="697C72BD"/>
    <w:rsid w:val="697D0373"/>
    <w:rsid w:val="69821839"/>
    <w:rsid w:val="69877444"/>
    <w:rsid w:val="698A2A90"/>
    <w:rsid w:val="698A6F34"/>
    <w:rsid w:val="699743C6"/>
    <w:rsid w:val="69A267ED"/>
    <w:rsid w:val="69A31299"/>
    <w:rsid w:val="69A33092"/>
    <w:rsid w:val="69A7605A"/>
    <w:rsid w:val="69B144C0"/>
    <w:rsid w:val="69B67D29"/>
    <w:rsid w:val="69BA3375"/>
    <w:rsid w:val="69BB70ED"/>
    <w:rsid w:val="69C2222A"/>
    <w:rsid w:val="69C3485E"/>
    <w:rsid w:val="69C4776F"/>
    <w:rsid w:val="69CB7284"/>
    <w:rsid w:val="69D1246D"/>
    <w:rsid w:val="69D65CD5"/>
    <w:rsid w:val="69D82527"/>
    <w:rsid w:val="69DD2D18"/>
    <w:rsid w:val="69EC76F9"/>
    <w:rsid w:val="69F46FE6"/>
    <w:rsid w:val="6A0A233A"/>
    <w:rsid w:val="6A0E3E75"/>
    <w:rsid w:val="6A1D5742"/>
    <w:rsid w:val="6A2217FB"/>
    <w:rsid w:val="6A2C1D99"/>
    <w:rsid w:val="6A3D0B86"/>
    <w:rsid w:val="6A3D3FA6"/>
    <w:rsid w:val="6A410781"/>
    <w:rsid w:val="6A635D6D"/>
    <w:rsid w:val="6A682DD1"/>
    <w:rsid w:val="6A6D488B"/>
    <w:rsid w:val="6A7C4DB0"/>
    <w:rsid w:val="6A9516EC"/>
    <w:rsid w:val="6A9701A5"/>
    <w:rsid w:val="6A9821AE"/>
    <w:rsid w:val="6AAA027F"/>
    <w:rsid w:val="6AB204F0"/>
    <w:rsid w:val="6AC04F6E"/>
    <w:rsid w:val="6AC34BF3"/>
    <w:rsid w:val="6AC83870"/>
    <w:rsid w:val="6AC84E37"/>
    <w:rsid w:val="6ACC5EE0"/>
    <w:rsid w:val="6ACE54EE"/>
    <w:rsid w:val="6AD93CCF"/>
    <w:rsid w:val="6ADC731B"/>
    <w:rsid w:val="6AE12B83"/>
    <w:rsid w:val="6AE83F12"/>
    <w:rsid w:val="6AF55091"/>
    <w:rsid w:val="6AF73D00"/>
    <w:rsid w:val="6B062B06"/>
    <w:rsid w:val="6B0A3E88"/>
    <w:rsid w:val="6B0D1397"/>
    <w:rsid w:val="6B1B7048"/>
    <w:rsid w:val="6B1F2912"/>
    <w:rsid w:val="6B316C7D"/>
    <w:rsid w:val="6B364C7D"/>
    <w:rsid w:val="6B482C03"/>
    <w:rsid w:val="6B537D96"/>
    <w:rsid w:val="6B543355"/>
    <w:rsid w:val="6B5670CE"/>
    <w:rsid w:val="6B570BD3"/>
    <w:rsid w:val="6B5C045C"/>
    <w:rsid w:val="6B637A3C"/>
    <w:rsid w:val="6B665D17"/>
    <w:rsid w:val="6B782DCD"/>
    <w:rsid w:val="6B792221"/>
    <w:rsid w:val="6B7A258B"/>
    <w:rsid w:val="6B824366"/>
    <w:rsid w:val="6B8E4AB9"/>
    <w:rsid w:val="6B9305A5"/>
    <w:rsid w:val="6B9423A4"/>
    <w:rsid w:val="6B99345E"/>
    <w:rsid w:val="6B9E31DA"/>
    <w:rsid w:val="6B9F6CC6"/>
    <w:rsid w:val="6BA2164E"/>
    <w:rsid w:val="6BAA42A1"/>
    <w:rsid w:val="6BC263D3"/>
    <w:rsid w:val="6BDB3A77"/>
    <w:rsid w:val="6BE446D9"/>
    <w:rsid w:val="6BE57A11"/>
    <w:rsid w:val="6BF315CC"/>
    <w:rsid w:val="6BF37AED"/>
    <w:rsid w:val="6BFF3C0B"/>
    <w:rsid w:val="6C0C70F8"/>
    <w:rsid w:val="6C1A60A5"/>
    <w:rsid w:val="6C3E15C0"/>
    <w:rsid w:val="6C44786E"/>
    <w:rsid w:val="6C477139"/>
    <w:rsid w:val="6C496C32"/>
    <w:rsid w:val="6C4B12E7"/>
    <w:rsid w:val="6C4F0A39"/>
    <w:rsid w:val="6C5B6CAB"/>
    <w:rsid w:val="6C5E551A"/>
    <w:rsid w:val="6C6475C8"/>
    <w:rsid w:val="6C6D0B73"/>
    <w:rsid w:val="6C7A4D00"/>
    <w:rsid w:val="6C7E423B"/>
    <w:rsid w:val="6C926DF5"/>
    <w:rsid w:val="6C975BF0"/>
    <w:rsid w:val="6C9854C4"/>
    <w:rsid w:val="6C9C1458"/>
    <w:rsid w:val="6CA34CE8"/>
    <w:rsid w:val="6CB30550"/>
    <w:rsid w:val="6CB85B2A"/>
    <w:rsid w:val="6CCD7863"/>
    <w:rsid w:val="6CD47285"/>
    <w:rsid w:val="6CEC035D"/>
    <w:rsid w:val="6CF070AE"/>
    <w:rsid w:val="6CFB657C"/>
    <w:rsid w:val="6CFC3CA5"/>
    <w:rsid w:val="6D0107FB"/>
    <w:rsid w:val="6D08089B"/>
    <w:rsid w:val="6D0C1EFA"/>
    <w:rsid w:val="6D343522"/>
    <w:rsid w:val="6D3D09A0"/>
    <w:rsid w:val="6D3F05F3"/>
    <w:rsid w:val="6D714693"/>
    <w:rsid w:val="6D9B5240"/>
    <w:rsid w:val="6DA22033"/>
    <w:rsid w:val="6DAB3360"/>
    <w:rsid w:val="6DAC1FE3"/>
    <w:rsid w:val="6DB601E9"/>
    <w:rsid w:val="6DB63E53"/>
    <w:rsid w:val="6DB74963"/>
    <w:rsid w:val="6DBE71AC"/>
    <w:rsid w:val="6DC4456C"/>
    <w:rsid w:val="6DD24A05"/>
    <w:rsid w:val="6DD54C21"/>
    <w:rsid w:val="6DD864C0"/>
    <w:rsid w:val="6DDF784E"/>
    <w:rsid w:val="6DE607E7"/>
    <w:rsid w:val="6DEA7238"/>
    <w:rsid w:val="6DF80910"/>
    <w:rsid w:val="6E0E7E12"/>
    <w:rsid w:val="6E0F7A08"/>
    <w:rsid w:val="6E172BE7"/>
    <w:rsid w:val="6E1A4CB3"/>
    <w:rsid w:val="6E4A7C67"/>
    <w:rsid w:val="6E5B2C4D"/>
    <w:rsid w:val="6E5B5AEA"/>
    <w:rsid w:val="6E6E63DA"/>
    <w:rsid w:val="6E781A51"/>
    <w:rsid w:val="6E7A7577"/>
    <w:rsid w:val="6E8126B3"/>
    <w:rsid w:val="6E843F52"/>
    <w:rsid w:val="6E87440A"/>
    <w:rsid w:val="6E8B6669"/>
    <w:rsid w:val="6EA203FB"/>
    <w:rsid w:val="6EA6211A"/>
    <w:rsid w:val="6EB40DFA"/>
    <w:rsid w:val="6EB55EC5"/>
    <w:rsid w:val="6EBD10DA"/>
    <w:rsid w:val="6EC151A6"/>
    <w:rsid w:val="6ECB070D"/>
    <w:rsid w:val="6ECC2CBC"/>
    <w:rsid w:val="6ECD2106"/>
    <w:rsid w:val="6ED04337"/>
    <w:rsid w:val="6ED17458"/>
    <w:rsid w:val="6ED52B8A"/>
    <w:rsid w:val="6ED722D3"/>
    <w:rsid w:val="6EDC3D8E"/>
    <w:rsid w:val="6EE60768"/>
    <w:rsid w:val="6EFD10DC"/>
    <w:rsid w:val="6F06227F"/>
    <w:rsid w:val="6F0D4ADC"/>
    <w:rsid w:val="6F152DFC"/>
    <w:rsid w:val="6F1572A0"/>
    <w:rsid w:val="6F1C418A"/>
    <w:rsid w:val="6F2814CE"/>
    <w:rsid w:val="6F282B71"/>
    <w:rsid w:val="6F330DAB"/>
    <w:rsid w:val="6F514B4A"/>
    <w:rsid w:val="6F700FBD"/>
    <w:rsid w:val="6F705AE9"/>
    <w:rsid w:val="6F723DF9"/>
    <w:rsid w:val="6F854425"/>
    <w:rsid w:val="6F857F7D"/>
    <w:rsid w:val="6F980CDA"/>
    <w:rsid w:val="6F997ED1"/>
    <w:rsid w:val="6F9E1043"/>
    <w:rsid w:val="6FA32AFD"/>
    <w:rsid w:val="6FAC34B9"/>
    <w:rsid w:val="6FC56C09"/>
    <w:rsid w:val="6FCD5559"/>
    <w:rsid w:val="6FD14B4C"/>
    <w:rsid w:val="6FDB041E"/>
    <w:rsid w:val="6FDF6DF5"/>
    <w:rsid w:val="6FE872A8"/>
    <w:rsid w:val="700510C2"/>
    <w:rsid w:val="70057E12"/>
    <w:rsid w:val="700F3066"/>
    <w:rsid w:val="7016507D"/>
    <w:rsid w:val="70185FA0"/>
    <w:rsid w:val="70194B6E"/>
    <w:rsid w:val="70311EB7"/>
    <w:rsid w:val="703379DD"/>
    <w:rsid w:val="703D4F6F"/>
    <w:rsid w:val="703F6AE8"/>
    <w:rsid w:val="704278C8"/>
    <w:rsid w:val="705554FE"/>
    <w:rsid w:val="706B361B"/>
    <w:rsid w:val="70755BCB"/>
    <w:rsid w:val="707A560C"/>
    <w:rsid w:val="708B3EBE"/>
    <w:rsid w:val="709F54D1"/>
    <w:rsid w:val="70B410D9"/>
    <w:rsid w:val="70B56228"/>
    <w:rsid w:val="70B56644"/>
    <w:rsid w:val="70B7060E"/>
    <w:rsid w:val="70C20D61"/>
    <w:rsid w:val="70C46CEA"/>
    <w:rsid w:val="70C504B7"/>
    <w:rsid w:val="70CE5AF2"/>
    <w:rsid w:val="70DC0EC0"/>
    <w:rsid w:val="70DD3DED"/>
    <w:rsid w:val="70E41807"/>
    <w:rsid w:val="70E6077F"/>
    <w:rsid w:val="70EC49D2"/>
    <w:rsid w:val="70EE5FFA"/>
    <w:rsid w:val="70F829D5"/>
    <w:rsid w:val="70F85D1E"/>
    <w:rsid w:val="71067AEA"/>
    <w:rsid w:val="711315BD"/>
    <w:rsid w:val="71155335"/>
    <w:rsid w:val="713002ED"/>
    <w:rsid w:val="7138501A"/>
    <w:rsid w:val="713A2FED"/>
    <w:rsid w:val="713A63CA"/>
    <w:rsid w:val="713C7CEE"/>
    <w:rsid w:val="71436346"/>
    <w:rsid w:val="71494FDF"/>
    <w:rsid w:val="71520F84"/>
    <w:rsid w:val="715C6E4A"/>
    <w:rsid w:val="7162387E"/>
    <w:rsid w:val="716E12F4"/>
    <w:rsid w:val="71712A24"/>
    <w:rsid w:val="71724535"/>
    <w:rsid w:val="717B788E"/>
    <w:rsid w:val="718536A7"/>
    <w:rsid w:val="718761E3"/>
    <w:rsid w:val="718C1A9B"/>
    <w:rsid w:val="718D3CD5"/>
    <w:rsid w:val="718F3339"/>
    <w:rsid w:val="7190757A"/>
    <w:rsid w:val="719B33E1"/>
    <w:rsid w:val="71A26905"/>
    <w:rsid w:val="71A52B5D"/>
    <w:rsid w:val="71A77C92"/>
    <w:rsid w:val="71B0505E"/>
    <w:rsid w:val="71BA3005"/>
    <w:rsid w:val="71BA35C7"/>
    <w:rsid w:val="71BB412E"/>
    <w:rsid w:val="71C17073"/>
    <w:rsid w:val="71DD22F7"/>
    <w:rsid w:val="71E03720"/>
    <w:rsid w:val="71E93519"/>
    <w:rsid w:val="71E94D82"/>
    <w:rsid w:val="71F017D3"/>
    <w:rsid w:val="71F87130"/>
    <w:rsid w:val="71FE0F92"/>
    <w:rsid w:val="720067C1"/>
    <w:rsid w:val="7204746B"/>
    <w:rsid w:val="720B4984"/>
    <w:rsid w:val="720D141A"/>
    <w:rsid w:val="72223F58"/>
    <w:rsid w:val="7227300F"/>
    <w:rsid w:val="72281198"/>
    <w:rsid w:val="722D7BEE"/>
    <w:rsid w:val="72345C8F"/>
    <w:rsid w:val="724E3F68"/>
    <w:rsid w:val="724F1F38"/>
    <w:rsid w:val="725105EF"/>
    <w:rsid w:val="72560F49"/>
    <w:rsid w:val="72564593"/>
    <w:rsid w:val="72586FA2"/>
    <w:rsid w:val="725D4114"/>
    <w:rsid w:val="72646574"/>
    <w:rsid w:val="72723293"/>
    <w:rsid w:val="72750781"/>
    <w:rsid w:val="727644F9"/>
    <w:rsid w:val="72833CDD"/>
    <w:rsid w:val="72B172DF"/>
    <w:rsid w:val="72B50B7E"/>
    <w:rsid w:val="72B65757"/>
    <w:rsid w:val="72B8066E"/>
    <w:rsid w:val="72BB4231"/>
    <w:rsid w:val="72C65A98"/>
    <w:rsid w:val="72D11E72"/>
    <w:rsid w:val="72D46E5E"/>
    <w:rsid w:val="72DA05E4"/>
    <w:rsid w:val="72F53670"/>
    <w:rsid w:val="73012015"/>
    <w:rsid w:val="730343E1"/>
    <w:rsid w:val="73045661"/>
    <w:rsid w:val="73094F12"/>
    <w:rsid w:val="7315505A"/>
    <w:rsid w:val="731D3DBE"/>
    <w:rsid w:val="732857F3"/>
    <w:rsid w:val="732E6B82"/>
    <w:rsid w:val="73337CF4"/>
    <w:rsid w:val="73416923"/>
    <w:rsid w:val="73436003"/>
    <w:rsid w:val="73530396"/>
    <w:rsid w:val="735869C7"/>
    <w:rsid w:val="73655314"/>
    <w:rsid w:val="736B5F27"/>
    <w:rsid w:val="736D3206"/>
    <w:rsid w:val="736F2C89"/>
    <w:rsid w:val="7375655F"/>
    <w:rsid w:val="73762C89"/>
    <w:rsid w:val="738D38A8"/>
    <w:rsid w:val="739003EC"/>
    <w:rsid w:val="73922C6D"/>
    <w:rsid w:val="739B2C71"/>
    <w:rsid w:val="73A33B8B"/>
    <w:rsid w:val="73A86934"/>
    <w:rsid w:val="73D33640"/>
    <w:rsid w:val="73EA4857"/>
    <w:rsid w:val="73FE6EBD"/>
    <w:rsid w:val="74037728"/>
    <w:rsid w:val="7418330E"/>
    <w:rsid w:val="741F6689"/>
    <w:rsid w:val="742216D0"/>
    <w:rsid w:val="742363A4"/>
    <w:rsid w:val="743D707D"/>
    <w:rsid w:val="7440091B"/>
    <w:rsid w:val="74516CC8"/>
    <w:rsid w:val="7452064E"/>
    <w:rsid w:val="745A2A50"/>
    <w:rsid w:val="745F79D2"/>
    <w:rsid w:val="74610603"/>
    <w:rsid w:val="746C67F0"/>
    <w:rsid w:val="74785C63"/>
    <w:rsid w:val="747920CA"/>
    <w:rsid w:val="747B2914"/>
    <w:rsid w:val="747B36E0"/>
    <w:rsid w:val="747B7BA5"/>
    <w:rsid w:val="747D4017"/>
    <w:rsid w:val="7487654A"/>
    <w:rsid w:val="748C3FC9"/>
    <w:rsid w:val="749E3121"/>
    <w:rsid w:val="749E3893"/>
    <w:rsid w:val="74A215D5"/>
    <w:rsid w:val="74A950FA"/>
    <w:rsid w:val="74AE7F7A"/>
    <w:rsid w:val="74B66E2F"/>
    <w:rsid w:val="74B775E4"/>
    <w:rsid w:val="74BF4EDC"/>
    <w:rsid w:val="74C0380A"/>
    <w:rsid w:val="74DF156F"/>
    <w:rsid w:val="74E41BEE"/>
    <w:rsid w:val="74F00593"/>
    <w:rsid w:val="74F519C1"/>
    <w:rsid w:val="74F80C5D"/>
    <w:rsid w:val="7500577B"/>
    <w:rsid w:val="750951B1"/>
    <w:rsid w:val="750C2CDE"/>
    <w:rsid w:val="751239B5"/>
    <w:rsid w:val="7517453D"/>
    <w:rsid w:val="75175143"/>
    <w:rsid w:val="751F2C26"/>
    <w:rsid w:val="752E2E69"/>
    <w:rsid w:val="75385BAE"/>
    <w:rsid w:val="75430F32"/>
    <w:rsid w:val="754B7577"/>
    <w:rsid w:val="75534D38"/>
    <w:rsid w:val="75587EE6"/>
    <w:rsid w:val="756B2020"/>
    <w:rsid w:val="757A6FC0"/>
    <w:rsid w:val="757C3BD5"/>
    <w:rsid w:val="757D16A0"/>
    <w:rsid w:val="7580409E"/>
    <w:rsid w:val="75A276FE"/>
    <w:rsid w:val="75AB270C"/>
    <w:rsid w:val="75AE2F86"/>
    <w:rsid w:val="75BF7F65"/>
    <w:rsid w:val="75C17839"/>
    <w:rsid w:val="75CA11B6"/>
    <w:rsid w:val="75D04B0B"/>
    <w:rsid w:val="75E64984"/>
    <w:rsid w:val="75E76BF3"/>
    <w:rsid w:val="75F776FF"/>
    <w:rsid w:val="75FF2AA9"/>
    <w:rsid w:val="7608190C"/>
    <w:rsid w:val="76120095"/>
    <w:rsid w:val="76165DD7"/>
    <w:rsid w:val="762A3631"/>
    <w:rsid w:val="762C67E5"/>
    <w:rsid w:val="76350300"/>
    <w:rsid w:val="763A176F"/>
    <w:rsid w:val="763C15B6"/>
    <w:rsid w:val="7641695F"/>
    <w:rsid w:val="76526B32"/>
    <w:rsid w:val="76634B3A"/>
    <w:rsid w:val="766760DE"/>
    <w:rsid w:val="76685F07"/>
    <w:rsid w:val="766A2009"/>
    <w:rsid w:val="768A0573"/>
    <w:rsid w:val="7695030F"/>
    <w:rsid w:val="769F7497"/>
    <w:rsid w:val="76B01044"/>
    <w:rsid w:val="76B26AD4"/>
    <w:rsid w:val="76BF646F"/>
    <w:rsid w:val="76C026C1"/>
    <w:rsid w:val="76D356D5"/>
    <w:rsid w:val="76D56B97"/>
    <w:rsid w:val="76DE3D1B"/>
    <w:rsid w:val="76E557A9"/>
    <w:rsid w:val="76EB78FF"/>
    <w:rsid w:val="76F823D4"/>
    <w:rsid w:val="76FD68A3"/>
    <w:rsid w:val="77020109"/>
    <w:rsid w:val="77073972"/>
    <w:rsid w:val="77081978"/>
    <w:rsid w:val="77086000"/>
    <w:rsid w:val="7709593C"/>
    <w:rsid w:val="770A165B"/>
    <w:rsid w:val="770B234F"/>
    <w:rsid w:val="770C2D36"/>
    <w:rsid w:val="770C4133"/>
    <w:rsid w:val="77183DD1"/>
    <w:rsid w:val="77184757"/>
    <w:rsid w:val="771F0CBB"/>
    <w:rsid w:val="771F6F0D"/>
    <w:rsid w:val="77204A34"/>
    <w:rsid w:val="772A36E0"/>
    <w:rsid w:val="772B58B2"/>
    <w:rsid w:val="77302EC9"/>
    <w:rsid w:val="77351576"/>
    <w:rsid w:val="77372E68"/>
    <w:rsid w:val="7739671D"/>
    <w:rsid w:val="77415EF2"/>
    <w:rsid w:val="77526E7D"/>
    <w:rsid w:val="77737259"/>
    <w:rsid w:val="77770AF7"/>
    <w:rsid w:val="77865DA0"/>
    <w:rsid w:val="779950BD"/>
    <w:rsid w:val="77A0580F"/>
    <w:rsid w:val="77A13DC6"/>
    <w:rsid w:val="77A318EC"/>
    <w:rsid w:val="77B70EF4"/>
    <w:rsid w:val="77C1799C"/>
    <w:rsid w:val="77C41863"/>
    <w:rsid w:val="77C5008F"/>
    <w:rsid w:val="77D0645A"/>
    <w:rsid w:val="77DC4DFE"/>
    <w:rsid w:val="77DC6BAC"/>
    <w:rsid w:val="77EB3071"/>
    <w:rsid w:val="77EE068E"/>
    <w:rsid w:val="77EF5F65"/>
    <w:rsid w:val="77F47AAC"/>
    <w:rsid w:val="77F671D6"/>
    <w:rsid w:val="77F747E9"/>
    <w:rsid w:val="77FF289B"/>
    <w:rsid w:val="781C169F"/>
    <w:rsid w:val="7837312F"/>
    <w:rsid w:val="783A38D3"/>
    <w:rsid w:val="78442E50"/>
    <w:rsid w:val="784853D8"/>
    <w:rsid w:val="784A0540"/>
    <w:rsid w:val="78543CE6"/>
    <w:rsid w:val="78670B6C"/>
    <w:rsid w:val="786D5A56"/>
    <w:rsid w:val="7872306D"/>
    <w:rsid w:val="787B4617"/>
    <w:rsid w:val="788039DC"/>
    <w:rsid w:val="788B487C"/>
    <w:rsid w:val="788B7A20"/>
    <w:rsid w:val="789143F5"/>
    <w:rsid w:val="789E0708"/>
    <w:rsid w:val="78A24123"/>
    <w:rsid w:val="78A40A3A"/>
    <w:rsid w:val="78AB2BC7"/>
    <w:rsid w:val="78B507D6"/>
    <w:rsid w:val="78B8791D"/>
    <w:rsid w:val="78B90C9C"/>
    <w:rsid w:val="78CA4C57"/>
    <w:rsid w:val="78D6188A"/>
    <w:rsid w:val="78DB50B6"/>
    <w:rsid w:val="78E73A5B"/>
    <w:rsid w:val="78E926E0"/>
    <w:rsid w:val="78EA5ABA"/>
    <w:rsid w:val="78ED224C"/>
    <w:rsid w:val="78EE303B"/>
    <w:rsid w:val="78F13F23"/>
    <w:rsid w:val="790D34E7"/>
    <w:rsid w:val="791B1956"/>
    <w:rsid w:val="79230FC5"/>
    <w:rsid w:val="79276766"/>
    <w:rsid w:val="793675A6"/>
    <w:rsid w:val="793D1056"/>
    <w:rsid w:val="79466799"/>
    <w:rsid w:val="79566073"/>
    <w:rsid w:val="79581422"/>
    <w:rsid w:val="79692E14"/>
    <w:rsid w:val="796D3987"/>
    <w:rsid w:val="797E3894"/>
    <w:rsid w:val="797F5A41"/>
    <w:rsid w:val="79A13C0A"/>
    <w:rsid w:val="79A22A06"/>
    <w:rsid w:val="79B8539B"/>
    <w:rsid w:val="79C67B14"/>
    <w:rsid w:val="79E12E49"/>
    <w:rsid w:val="79EB4D57"/>
    <w:rsid w:val="79EE5FFB"/>
    <w:rsid w:val="79F91C98"/>
    <w:rsid w:val="79FC0C49"/>
    <w:rsid w:val="7A014471"/>
    <w:rsid w:val="7A083C89"/>
    <w:rsid w:val="7A0C104F"/>
    <w:rsid w:val="7A1205B0"/>
    <w:rsid w:val="7A1545F8"/>
    <w:rsid w:val="7A1751EE"/>
    <w:rsid w:val="7A212F9C"/>
    <w:rsid w:val="7A254DF2"/>
    <w:rsid w:val="7A2964E6"/>
    <w:rsid w:val="7A344A7E"/>
    <w:rsid w:val="7A3727C0"/>
    <w:rsid w:val="7A3E7B97"/>
    <w:rsid w:val="7A401675"/>
    <w:rsid w:val="7A48677B"/>
    <w:rsid w:val="7A5A025C"/>
    <w:rsid w:val="7A772BBC"/>
    <w:rsid w:val="7A794B87"/>
    <w:rsid w:val="7A7D6A71"/>
    <w:rsid w:val="7A7E738E"/>
    <w:rsid w:val="7A8468BB"/>
    <w:rsid w:val="7A8A0ECD"/>
    <w:rsid w:val="7A8D418E"/>
    <w:rsid w:val="7A8F7F06"/>
    <w:rsid w:val="7AA67E62"/>
    <w:rsid w:val="7AA7242C"/>
    <w:rsid w:val="7AAC0AB8"/>
    <w:rsid w:val="7AB22D3C"/>
    <w:rsid w:val="7AB63595"/>
    <w:rsid w:val="7ABD12B6"/>
    <w:rsid w:val="7ABE2599"/>
    <w:rsid w:val="7AC5676D"/>
    <w:rsid w:val="7AE6354E"/>
    <w:rsid w:val="7AEA29D8"/>
    <w:rsid w:val="7AEF25B9"/>
    <w:rsid w:val="7AF67F85"/>
    <w:rsid w:val="7B0E402C"/>
    <w:rsid w:val="7B113011"/>
    <w:rsid w:val="7B1B75DF"/>
    <w:rsid w:val="7B1E3E93"/>
    <w:rsid w:val="7B2A5E81"/>
    <w:rsid w:val="7B340AAD"/>
    <w:rsid w:val="7B4F7695"/>
    <w:rsid w:val="7B5857B3"/>
    <w:rsid w:val="7B5A2C29"/>
    <w:rsid w:val="7B6A2721"/>
    <w:rsid w:val="7B735A7A"/>
    <w:rsid w:val="7BA268EC"/>
    <w:rsid w:val="7BA55C03"/>
    <w:rsid w:val="7BB8348D"/>
    <w:rsid w:val="7BBD65C7"/>
    <w:rsid w:val="7BC41E31"/>
    <w:rsid w:val="7BDD1145"/>
    <w:rsid w:val="7BE24019"/>
    <w:rsid w:val="7BEA1426"/>
    <w:rsid w:val="7BF27E5B"/>
    <w:rsid w:val="7C163984"/>
    <w:rsid w:val="7C1914FD"/>
    <w:rsid w:val="7C29438A"/>
    <w:rsid w:val="7C350F81"/>
    <w:rsid w:val="7C397321"/>
    <w:rsid w:val="7C3D3992"/>
    <w:rsid w:val="7C4C295A"/>
    <w:rsid w:val="7C501917"/>
    <w:rsid w:val="7C5A74C6"/>
    <w:rsid w:val="7C6158D2"/>
    <w:rsid w:val="7C8A4C1E"/>
    <w:rsid w:val="7C94028B"/>
    <w:rsid w:val="7C980E09"/>
    <w:rsid w:val="7CA103C5"/>
    <w:rsid w:val="7CB73744"/>
    <w:rsid w:val="7CBA7F38"/>
    <w:rsid w:val="7CC21246"/>
    <w:rsid w:val="7CDD40C6"/>
    <w:rsid w:val="7CDD51F6"/>
    <w:rsid w:val="7CE53CE8"/>
    <w:rsid w:val="7CEF7382"/>
    <w:rsid w:val="7CFB1883"/>
    <w:rsid w:val="7CFC55FB"/>
    <w:rsid w:val="7D0050EB"/>
    <w:rsid w:val="7D0804C4"/>
    <w:rsid w:val="7D093DCB"/>
    <w:rsid w:val="7D0F2D4A"/>
    <w:rsid w:val="7D0F532E"/>
    <w:rsid w:val="7D295286"/>
    <w:rsid w:val="7D2B74AC"/>
    <w:rsid w:val="7D2C2A2A"/>
    <w:rsid w:val="7D355905"/>
    <w:rsid w:val="7D3B0EC8"/>
    <w:rsid w:val="7D561909"/>
    <w:rsid w:val="7D5C00D4"/>
    <w:rsid w:val="7D5D2E53"/>
    <w:rsid w:val="7D632496"/>
    <w:rsid w:val="7D6964AF"/>
    <w:rsid w:val="7D752C73"/>
    <w:rsid w:val="7D840EE0"/>
    <w:rsid w:val="7D9278AE"/>
    <w:rsid w:val="7DA168CE"/>
    <w:rsid w:val="7DA27357"/>
    <w:rsid w:val="7DAF3C2E"/>
    <w:rsid w:val="7DBD2FDC"/>
    <w:rsid w:val="7DBD4D8A"/>
    <w:rsid w:val="7DCD40FE"/>
    <w:rsid w:val="7DE06CCB"/>
    <w:rsid w:val="7DEE7639"/>
    <w:rsid w:val="7DF12C86"/>
    <w:rsid w:val="7DFC1D56"/>
    <w:rsid w:val="7E026C41"/>
    <w:rsid w:val="7E13443A"/>
    <w:rsid w:val="7E327526"/>
    <w:rsid w:val="7E53749D"/>
    <w:rsid w:val="7E604F17"/>
    <w:rsid w:val="7E62154E"/>
    <w:rsid w:val="7E81130A"/>
    <w:rsid w:val="7E864289"/>
    <w:rsid w:val="7E895404"/>
    <w:rsid w:val="7E9953F2"/>
    <w:rsid w:val="7E9C7095"/>
    <w:rsid w:val="7EA260E2"/>
    <w:rsid w:val="7EA633B5"/>
    <w:rsid w:val="7EC1797B"/>
    <w:rsid w:val="7EC244FE"/>
    <w:rsid w:val="7ECD36F3"/>
    <w:rsid w:val="7ED56F3C"/>
    <w:rsid w:val="7EDA1C52"/>
    <w:rsid w:val="7EDF0482"/>
    <w:rsid w:val="7EDF0647"/>
    <w:rsid w:val="7EE10F4C"/>
    <w:rsid w:val="7EE263CD"/>
    <w:rsid w:val="7EE60311"/>
    <w:rsid w:val="7EE723A9"/>
    <w:rsid w:val="7EEB5927"/>
    <w:rsid w:val="7EF649F8"/>
    <w:rsid w:val="7EFC5D86"/>
    <w:rsid w:val="7F054830"/>
    <w:rsid w:val="7F0D1D41"/>
    <w:rsid w:val="7F161F36"/>
    <w:rsid w:val="7F1B620C"/>
    <w:rsid w:val="7F350F87"/>
    <w:rsid w:val="7F3E3ED6"/>
    <w:rsid w:val="7F4D78D9"/>
    <w:rsid w:val="7F4F047F"/>
    <w:rsid w:val="7F517E80"/>
    <w:rsid w:val="7F5636E8"/>
    <w:rsid w:val="7F594A61"/>
    <w:rsid w:val="7F651C5C"/>
    <w:rsid w:val="7F6851CA"/>
    <w:rsid w:val="7F6A2CF0"/>
    <w:rsid w:val="7F78656C"/>
    <w:rsid w:val="7F803C58"/>
    <w:rsid w:val="7F816A2A"/>
    <w:rsid w:val="7F8244DD"/>
    <w:rsid w:val="7F833DB1"/>
    <w:rsid w:val="7F8A6FD7"/>
    <w:rsid w:val="7FA15929"/>
    <w:rsid w:val="7FA2248A"/>
    <w:rsid w:val="7FA75CF2"/>
    <w:rsid w:val="7FC64DE4"/>
    <w:rsid w:val="7FCE6F7D"/>
    <w:rsid w:val="7FDC6767"/>
    <w:rsid w:val="7FE40CF4"/>
    <w:rsid w:val="7FE42259"/>
    <w:rsid w:val="7FE66176"/>
    <w:rsid w:val="7FEC7BA9"/>
    <w:rsid w:val="7FF56A5D"/>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1"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line="360" w:lineRule="auto"/>
      <w:outlineLvl w:val="0"/>
    </w:pPr>
    <w:rPr>
      <w:rFonts w:eastAsia="黑体"/>
      <w:kern w:val="44"/>
      <w:sz w:val="28"/>
    </w:rPr>
  </w:style>
  <w:style w:type="paragraph" w:styleId="3">
    <w:name w:val="heading 2"/>
    <w:basedOn w:val="1"/>
    <w:next w:val="1"/>
    <w:qFormat/>
    <w:uiPriority w:val="99"/>
    <w:pPr>
      <w:autoSpaceDE w:val="0"/>
      <w:autoSpaceDN w:val="0"/>
      <w:jc w:val="center"/>
      <w:outlineLvl w:val="1"/>
    </w:pPr>
    <w:rPr>
      <w:rFonts w:ascii="仿宋" w:hAnsi="仿宋" w:eastAsia="仿宋" w:cs="宋体"/>
      <w:b/>
      <w:bCs/>
      <w:kern w:val="0"/>
      <w:sz w:val="24"/>
    </w:rPr>
  </w:style>
  <w:style w:type="paragraph" w:styleId="4">
    <w:name w:val="heading 3"/>
    <w:basedOn w:val="1"/>
    <w:next w:val="1"/>
    <w:qFormat/>
    <w:uiPriority w:val="0"/>
    <w:pPr>
      <w:keepNext/>
      <w:keepLines/>
      <w:tabs>
        <w:tab w:val="left" w:pos="2126"/>
      </w:tabs>
      <w:spacing w:before="260" w:after="260" w:line="413" w:lineRule="auto"/>
      <w:ind w:left="1701"/>
      <w:outlineLvl w:val="2"/>
    </w:pPr>
    <w:rPr>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caption"/>
    <w:basedOn w:val="1"/>
    <w:next w:val="1"/>
    <w:qFormat/>
    <w:uiPriority w:val="0"/>
    <w:pPr>
      <w:widowControl/>
      <w:jc w:val="left"/>
    </w:pPr>
    <w:rPr>
      <w:rFonts w:ascii="Calibri" w:hAnsi="Calibri"/>
      <w:b/>
      <w:bCs/>
      <w:color w:val="2DA2BF"/>
      <w:kern w:val="0"/>
      <w:sz w:val="18"/>
      <w:szCs w:val="18"/>
    </w:rPr>
  </w:style>
  <w:style w:type="paragraph" w:styleId="7">
    <w:name w:val="annotation text"/>
    <w:basedOn w:val="1"/>
    <w:link w:val="31"/>
    <w:qFormat/>
    <w:uiPriority w:val="0"/>
    <w:pPr>
      <w:jc w:val="left"/>
    </w:pPr>
    <w:rPr>
      <w:rFonts w:ascii="Tahoma" w:hAnsi="Tahoma"/>
    </w:rPr>
  </w:style>
  <w:style w:type="paragraph" w:styleId="8">
    <w:name w:val="Body Text"/>
    <w:basedOn w:val="1"/>
    <w:next w:val="9"/>
    <w:link w:val="32"/>
    <w:qFormat/>
    <w:uiPriority w:val="0"/>
  </w:style>
  <w:style w:type="paragraph" w:styleId="9">
    <w:name w:val="List Bullet 5"/>
    <w:basedOn w:val="1"/>
    <w:unhideWhenUsed/>
    <w:qFormat/>
    <w:uiPriority w:val="99"/>
    <w:pPr>
      <w:tabs>
        <w:tab w:val="left" w:pos="2040"/>
      </w:tabs>
      <w:ind w:left="2040" w:hanging="360"/>
    </w:pPr>
  </w:style>
  <w:style w:type="paragraph" w:styleId="10">
    <w:name w:val="Body Text Indent"/>
    <w:basedOn w:val="1"/>
    <w:qFormat/>
    <w:uiPriority w:val="0"/>
    <w:pPr>
      <w:snapToGrid w:val="0"/>
      <w:spacing w:before="120" w:line="360" w:lineRule="atLeast"/>
      <w:ind w:firstLine="539"/>
    </w:pPr>
    <w:rPr>
      <w:sz w:val="24"/>
    </w:rPr>
  </w:style>
  <w:style w:type="paragraph" w:styleId="11">
    <w:name w:val="Block Text"/>
    <w:basedOn w:val="1"/>
    <w:qFormat/>
    <w:uiPriority w:val="0"/>
    <w:pPr>
      <w:adjustRightInd w:val="0"/>
      <w:snapToGrid w:val="0"/>
      <w:spacing w:line="490" w:lineRule="atLeast"/>
      <w:ind w:left="10" w:leftChars="5" w:right="-449" w:rightChars="-214" w:firstLine="560" w:firstLineChars="200"/>
    </w:pPr>
    <w:rPr>
      <w:color w:val="000000"/>
      <w:sz w:val="28"/>
    </w:rPr>
  </w:style>
  <w:style w:type="paragraph" w:styleId="12">
    <w:name w:val="toc 3"/>
    <w:basedOn w:val="1"/>
    <w:next w:val="1"/>
    <w:unhideWhenUsed/>
    <w:qFormat/>
    <w:uiPriority w:val="39"/>
    <w:pPr>
      <w:ind w:left="840" w:leftChars="400"/>
    </w:pPr>
  </w:style>
  <w:style w:type="paragraph" w:styleId="13">
    <w:name w:val="Plain Text"/>
    <w:basedOn w:val="1"/>
    <w:qFormat/>
    <w:uiPriority w:val="0"/>
    <w:pPr>
      <w:adjustRightInd w:val="0"/>
      <w:spacing w:before="120" w:line="400" w:lineRule="exact"/>
      <w:textAlignment w:val="baseline"/>
    </w:pPr>
    <w:rPr>
      <w:rFonts w:ascii="宋体"/>
      <w:spacing w:val="-2"/>
      <w:kern w:val="28"/>
    </w:rPr>
  </w:style>
  <w:style w:type="paragraph" w:styleId="14">
    <w:name w:val="Balloon Text"/>
    <w:basedOn w:val="1"/>
    <w:link w:val="33"/>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kern w:val="0"/>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tabs>
        <w:tab w:val="right" w:leader="dot" w:pos="9176"/>
      </w:tabs>
      <w:spacing w:before="120" w:after="120"/>
      <w:jc w:val="left"/>
    </w:pPr>
    <w:rPr>
      <w:rFonts w:ascii="仿宋_GB2312" w:hAnsi="Calibri" w:eastAsia="仿宋_GB2312" w:cs="Calibri"/>
      <w:bCs/>
      <w:caps/>
      <w:sz w:val="24"/>
    </w:rPr>
  </w:style>
  <w:style w:type="paragraph" w:styleId="18">
    <w:name w:val="toc 4"/>
    <w:basedOn w:val="1"/>
    <w:next w:val="1"/>
    <w:qFormat/>
    <w:uiPriority w:val="0"/>
    <w:pPr>
      <w:jc w:val="center"/>
    </w:pPr>
    <w:rPr>
      <w:szCs w:val="21"/>
    </w:rPr>
  </w:style>
  <w:style w:type="paragraph" w:styleId="19">
    <w:name w:val="List"/>
    <w:basedOn w:val="1"/>
    <w:qFormat/>
    <w:uiPriority w:val="0"/>
    <w:pPr>
      <w:ind w:left="200" w:hanging="200" w:hangingChars="200"/>
    </w:pPr>
  </w:style>
  <w:style w:type="paragraph" w:styleId="20">
    <w:name w:val="toc 2"/>
    <w:basedOn w:val="1"/>
    <w:next w:val="1"/>
    <w:unhideWhenUsed/>
    <w:qFormat/>
    <w:uiPriority w:val="39"/>
    <w:pPr>
      <w:ind w:left="420" w:leftChars="200"/>
    </w:pPr>
  </w:style>
  <w:style w:type="paragraph" w:styleId="21">
    <w:name w:val="Normal (Web)"/>
    <w:basedOn w:val="1"/>
    <w:link w:val="36"/>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7"/>
    <w:next w:val="7"/>
    <w:link w:val="37"/>
    <w:unhideWhenUsed/>
    <w:qFormat/>
    <w:uiPriority w:val="99"/>
    <w:rPr>
      <w:b/>
      <w:bCs/>
    </w:rPr>
  </w:style>
  <w:style w:type="paragraph" w:styleId="23">
    <w:name w:val="Body Text First Indent"/>
    <w:basedOn w:val="8"/>
    <w:qFormat/>
    <w:uiPriority w:val="0"/>
    <w:pPr>
      <w:ind w:firstLine="420" w:firstLineChars="100"/>
    </w:pPr>
    <w:rPr>
      <w:rFonts w:ascii="Calibri"/>
      <w:szCs w:val="22"/>
    </w:rPr>
  </w:style>
  <w:style w:type="paragraph" w:styleId="24">
    <w:name w:val="Body Text First Indent 2"/>
    <w:basedOn w:val="10"/>
    <w:next w:val="23"/>
    <w:unhideWhenUsed/>
    <w:qFormat/>
    <w:uiPriority w:val="1"/>
    <w:pPr>
      <w:spacing w:line="360" w:lineRule="auto"/>
      <w:ind w:firstLine="420" w:firstLineChars="200"/>
    </w:pPr>
    <w:rPr>
      <w:sz w:val="21"/>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qFormat/>
    <w:uiPriority w:val="0"/>
  </w:style>
  <w:style w:type="character" w:styleId="29">
    <w:name w:val="Hyperlink"/>
    <w:unhideWhenUsed/>
    <w:qFormat/>
    <w:uiPriority w:val="99"/>
    <w:rPr>
      <w:color w:val="0563C1"/>
      <w:u w:val="single"/>
    </w:rPr>
  </w:style>
  <w:style w:type="character" w:styleId="30">
    <w:name w:val="annotation reference"/>
    <w:qFormat/>
    <w:uiPriority w:val="0"/>
    <w:rPr>
      <w:sz w:val="21"/>
    </w:rPr>
  </w:style>
  <w:style w:type="character" w:customStyle="1" w:styleId="31">
    <w:name w:val="批注文字 Char"/>
    <w:link w:val="7"/>
    <w:qFormat/>
    <w:uiPriority w:val="0"/>
    <w:rPr>
      <w:rFonts w:ascii="Tahoma" w:hAnsi="Tahoma"/>
      <w:kern w:val="2"/>
      <w:sz w:val="21"/>
      <w:szCs w:val="24"/>
    </w:rPr>
  </w:style>
  <w:style w:type="character" w:customStyle="1" w:styleId="32">
    <w:name w:val="正文文本 Char"/>
    <w:link w:val="8"/>
    <w:qFormat/>
    <w:uiPriority w:val="0"/>
    <w:rPr>
      <w:kern w:val="2"/>
      <w:sz w:val="21"/>
      <w:szCs w:val="24"/>
    </w:rPr>
  </w:style>
  <w:style w:type="character" w:customStyle="1" w:styleId="33">
    <w:name w:val="批注框文本 Char"/>
    <w:basedOn w:val="27"/>
    <w:link w:val="14"/>
    <w:semiHidden/>
    <w:qFormat/>
    <w:uiPriority w:val="99"/>
    <w:rPr>
      <w:kern w:val="2"/>
      <w:sz w:val="18"/>
      <w:szCs w:val="18"/>
    </w:rPr>
  </w:style>
  <w:style w:type="character" w:customStyle="1" w:styleId="34">
    <w:name w:val="页脚 Char"/>
    <w:link w:val="15"/>
    <w:qFormat/>
    <w:uiPriority w:val="99"/>
    <w:rPr>
      <w:sz w:val="18"/>
      <w:szCs w:val="18"/>
    </w:rPr>
  </w:style>
  <w:style w:type="character" w:customStyle="1" w:styleId="35">
    <w:name w:val="页眉 Char"/>
    <w:link w:val="16"/>
    <w:qFormat/>
    <w:uiPriority w:val="99"/>
    <w:rPr>
      <w:sz w:val="18"/>
      <w:szCs w:val="18"/>
    </w:rPr>
  </w:style>
  <w:style w:type="character" w:customStyle="1" w:styleId="36">
    <w:name w:val="普通(网站) Char"/>
    <w:link w:val="21"/>
    <w:qFormat/>
    <w:locked/>
    <w:uiPriority w:val="0"/>
    <w:rPr>
      <w:rFonts w:ascii="宋体" w:hAnsi="宋体" w:eastAsia="宋体"/>
      <w:sz w:val="24"/>
    </w:rPr>
  </w:style>
  <w:style w:type="character" w:customStyle="1" w:styleId="37">
    <w:name w:val="批注主题 Char"/>
    <w:link w:val="22"/>
    <w:semiHidden/>
    <w:qFormat/>
    <w:uiPriority w:val="99"/>
    <w:rPr>
      <w:b/>
      <w:bCs/>
      <w:kern w:val="2"/>
      <w:sz w:val="21"/>
      <w:szCs w:val="24"/>
    </w:rPr>
  </w:style>
  <w:style w:type="character" w:customStyle="1" w:styleId="38">
    <w:name w:val="批注文字 字符"/>
    <w:qFormat/>
    <w:uiPriority w:val="0"/>
    <w:rPr>
      <w:kern w:val="2"/>
      <w:sz w:val="21"/>
      <w:szCs w:val="24"/>
    </w:rPr>
  </w:style>
  <w:style w:type="paragraph" w:customStyle="1" w:styleId="39">
    <w:name w:val="wenben"/>
    <w:basedOn w:val="1"/>
    <w:qFormat/>
    <w:uiPriority w:val="0"/>
    <w:pPr>
      <w:adjustRightInd w:val="0"/>
      <w:snapToGrid w:val="0"/>
      <w:spacing w:line="360" w:lineRule="auto"/>
      <w:ind w:firstLine="420" w:firstLineChars="200"/>
    </w:pPr>
    <w:rPr>
      <w:szCs w:val="21"/>
    </w:rPr>
  </w:style>
  <w:style w:type="character" w:customStyle="1" w:styleId="40">
    <w:name w:val="font01"/>
    <w:qFormat/>
    <w:uiPriority w:val="0"/>
    <w:rPr>
      <w:rFonts w:hint="eastAsia" w:ascii="宋体" w:hAnsi="宋体" w:eastAsia="宋体" w:cs="宋体"/>
      <w:color w:val="0000FF"/>
      <w:sz w:val="22"/>
      <w:szCs w:val="22"/>
      <w:u w:val="none"/>
    </w:rPr>
  </w:style>
  <w:style w:type="character" w:customStyle="1" w:styleId="41">
    <w:name w:val="A表头"/>
    <w:unhideWhenUsed/>
    <w:qFormat/>
    <w:uiPriority w:val="0"/>
    <w:rPr>
      <w:rFonts w:hint="default" w:ascii="Times New Roman" w:hAnsi="Times New Roman" w:eastAsia="仿宋"/>
      <w:b/>
      <w:sz w:val="24"/>
      <w:szCs w:val="24"/>
    </w:rPr>
  </w:style>
  <w:style w:type="character" w:customStyle="1" w:styleId="42">
    <w:name w:val="表格 Char"/>
    <w:link w:val="43"/>
    <w:qFormat/>
    <w:locked/>
    <w:uiPriority w:val="0"/>
    <w:rPr>
      <w:rFonts w:ascii="宋体"/>
    </w:rPr>
  </w:style>
  <w:style w:type="paragraph" w:customStyle="1" w:styleId="43">
    <w:name w:val="表格"/>
    <w:basedOn w:val="1"/>
    <w:next w:val="1"/>
    <w:link w:val="42"/>
    <w:qFormat/>
    <w:uiPriority w:val="0"/>
    <w:pPr>
      <w:adjustRightInd w:val="0"/>
      <w:snapToGrid w:val="0"/>
      <w:spacing w:beforeLines="10" w:afterLines="10" w:line="259" w:lineRule="auto"/>
      <w:jc w:val="center"/>
    </w:pPr>
    <w:rPr>
      <w:rFonts w:ascii="宋体"/>
      <w:kern w:val="0"/>
      <w:sz w:val="20"/>
      <w:szCs w:val="20"/>
    </w:rPr>
  </w:style>
  <w:style w:type="character" w:customStyle="1" w:styleId="44">
    <w:name w:val="页脚 字符1"/>
    <w:qFormat/>
    <w:locked/>
    <w:uiPriority w:val="99"/>
    <w:rPr>
      <w:sz w:val="18"/>
    </w:rPr>
  </w:style>
  <w:style w:type="character" w:customStyle="1" w:styleId="45">
    <w:name w:val="font51"/>
    <w:qFormat/>
    <w:uiPriority w:val="0"/>
    <w:rPr>
      <w:rFonts w:hint="eastAsia" w:ascii="宋体" w:hAnsi="宋体" w:eastAsia="宋体" w:cs="宋体"/>
      <w:color w:val="000000"/>
      <w:sz w:val="21"/>
      <w:szCs w:val="21"/>
      <w:u w:val="none"/>
    </w:rPr>
  </w:style>
  <w:style w:type="paragraph" w:customStyle="1" w:styleId="46">
    <w:name w:val="图表 标题"/>
    <w:qFormat/>
    <w:uiPriority w:val="0"/>
    <w:pPr>
      <w:widowControl w:val="0"/>
      <w:spacing w:beforeLines="20" w:afterLines="20"/>
      <w:jc w:val="center"/>
    </w:pPr>
    <w:rPr>
      <w:rFonts w:ascii="Times New Roman" w:hAnsi="Times New Roman" w:eastAsia="仿宋_GB2312" w:cs="Times New Roman"/>
      <w:b/>
      <w:kern w:val="2"/>
      <w:sz w:val="24"/>
      <w:szCs w:val="24"/>
      <w:lang w:val="en-US" w:eastAsia="zh-CN" w:bidi="ar-SA"/>
    </w:rPr>
  </w:style>
  <w:style w:type="paragraph" w:customStyle="1" w:styleId="47">
    <w:name w:val="表格普通"/>
    <w:basedOn w:val="1"/>
    <w:qFormat/>
    <w:uiPriority w:val="0"/>
    <w:pPr>
      <w:jc w:val="center"/>
    </w:pPr>
    <w:rPr>
      <w:rFonts w:eastAsia="仿宋_GB2312"/>
      <w:szCs w:val="21"/>
    </w:rPr>
  </w:style>
  <w:style w:type="paragraph" w:customStyle="1" w:styleId="48">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49">
    <w:name w:val="样式 标题 1 + 加粗"/>
    <w:basedOn w:val="2"/>
    <w:qFormat/>
    <w:uiPriority w:val="0"/>
    <w:rPr>
      <w:rFonts w:ascii="宋体" w:hAnsi="宋体" w:eastAsia="宋体"/>
      <w:b/>
    </w:rPr>
  </w:style>
  <w:style w:type="paragraph" w:customStyle="1" w:styleId="50">
    <w:name w:val="小四表文左齐"/>
    <w:basedOn w:val="1"/>
    <w:unhideWhenUsed/>
    <w:qFormat/>
    <w:uiPriority w:val="99"/>
    <w:pPr>
      <w:spacing w:before="100" w:after="100"/>
      <w:jc w:val="center"/>
    </w:pPr>
    <w:rPr>
      <w:rFonts w:hint="eastAsia" w:ascii="宋体" w:hAnsi="宋体" w:cs="宋体"/>
    </w:rPr>
  </w:style>
  <w:style w:type="paragraph" w:customStyle="1" w:styleId="51">
    <w:name w:val="h"/>
    <w:basedOn w:val="1"/>
    <w:unhideWhenUsed/>
    <w:qFormat/>
    <w:uiPriority w:val="0"/>
    <w:pPr>
      <w:spacing w:before="60"/>
      <w:ind w:firstLine="482"/>
    </w:pPr>
    <w:rPr>
      <w:rFonts w:ascii="Arial" w:hAnsi="Arial" w:eastAsia="仿宋_GB2312"/>
      <w:kern w:val="0"/>
      <w:sz w:val="24"/>
    </w:rPr>
  </w:style>
  <w:style w:type="paragraph" w:customStyle="1" w:styleId="52">
    <w:name w:val="1表格"/>
    <w:basedOn w:val="1"/>
    <w:qFormat/>
    <w:uiPriority w:val="0"/>
    <w:pPr>
      <w:spacing w:line="160" w:lineRule="atLeast"/>
      <w:jc w:val="center"/>
    </w:pPr>
    <w:rPr>
      <w:rFonts w:eastAsia="仿宋_GB2312"/>
    </w:rPr>
  </w:style>
  <w:style w:type="paragraph" w:customStyle="1" w:styleId="53">
    <w:name w:val="表格标题"/>
    <w:basedOn w:val="54"/>
    <w:qFormat/>
    <w:uiPriority w:val="0"/>
    <w:pPr>
      <w:spacing w:beforeLines="20" w:afterLines="20" w:line="240" w:lineRule="auto"/>
    </w:pPr>
    <w:rPr>
      <w:rFonts w:ascii="Times New Roman" w:hAnsi="Times New Roman"/>
      <w:b/>
      <w:szCs w:val="24"/>
    </w:rPr>
  </w:style>
  <w:style w:type="paragraph" w:customStyle="1" w:styleId="54">
    <w:name w:val="列表1"/>
    <w:basedOn w:val="1"/>
    <w:qFormat/>
    <w:uiPriority w:val="0"/>
    <w:pPr>
      <w:spacing w:line="400" w:lineRule="exact"/>
      <w:jc w:val="center"/>
    </w:pPr>
    <w:rPr>
      <w:rFonts w:ascii="宋体" w:hAnsi="宋体" w:eastAsia="仿宋_GB2312"/>
      <w:sz w:val="24"/>
      <w:szCs w:val="20"/>
    </w:rPr>
  </w:style>
  <w:style w:type="paragraph" w:customStyle="1" w:styleId="55">
    <w:name w:val="图表文字"/>
    <w:basedOn w:val="1"/>
    <w:link w:val="56"/>
    <w:qFormat/>
    <w:uiPriority w:val="0"/>
    <w:pPr>
      <w:widowControl/>
      <w:ind w:right="-107" w:rightChars="-51"/>
      <w:jc w:val="center"/>
    </w:pPr>
    <w:rPr>
      <w:rFonts w:ascii="宋体" w:hAnsi="宋体"/>
      <w:kern w:val="0"/>
      <w:sz w:val="22"/>
    </w:rPr>
  </w:style>
  <w:style w:type="character" w:customStyle="1" w:styleId="56">
    <w:name w:val="图表文字 Char"/>
    <w:link w:val="55"/>
    <w:qFormat/>
    <w:uiPriority w:val="0"/>
    <w:rPr>
      <w:rFonts w:ascii="宋体" w:hAnsi="宋体"/>
      <w:sz w:val="22"/>
      <w:szCs w:val="24"/>
    </w:rPr>
  </w:style>
  <w:style w:type="paragraph" w:customStyle="1" w:styleId="57">
    <w:name w:val="二级无标题条"/>
    <w:basedOn w:val="1"/>
    <w:qFormat/>
    <w:uiPriority w:val="0"/>
  </w:style>
  <w:style w:type="paragraph" w:customStyle="1" w:styleId="58">
    <w:name w:val="表格 首行文字"/>
    <w:qFormat/>
    <w:uiPriority w:val="0"/>
    <w:pPr>
      <w:adjustRightInd w:val="0"/>
      <w:snapToGrid w:val="0"/>
      <w:jc w:val="center"/>
    </w:pPr>
    <w:rPr>
      <w:rFonts w:ascii="Times New Roman" w:hAnsi="Times New Roman" w:eastAsia="仿宋_GB2312" w:cs="Times New Roman"/>
      <w:b/>
      <w:kern w:val="2"/>
      <w:sz w:val="21"/>
      <w:szCs w:val="22"/>
      <w:lang w:val="en-US" w:eastAsia="zh-CN" w:bidi="ar-SA"/>
    </w:rPr>
  </w:style>
  <w:style w:type="paragraph" w:customStyle="1" w:styleId="59">
    <w:name w:val="霍尼韦尔"/>
    <w:basedOn w:val="1"/>
    <w:qFormat/>
    <w:uiPriority w:val="0"/>
    <w:pPr>
      <w:spacing w:line="480" w:lineRule="exact"/>
      <w:ind w:firstLine="480" w:firstLineChars="200"/>
      <w:jc w:val="left"/>
    </w:pPr>
    <w:rPr>
      <w:kern w:val="0"/>
      <w:sz w:val="24"/>
    </w:rPr>
  </w:style>
  <w:style w:type="paragraph" w:customStyle="1" w:styleId="60">
    <w:name w:val="表格内"/>
    <w:basedOn w:val="1"/>
    <w:qFormat/>
    <w:uiPriority w:val="0"/>
    <w:pPr>
      <w:adjustRightInd w:val="0"/>
      <w:spacing w:line="240" w:lineRule="atLeast"/>
      <w:jc w:val="center"/>
      <w:textAlignment w:val="baseline"/>
    </w:pPr>
    <w:rPr>
      <w:rFonts w:ascii="宋体"/>
      <w:kern w:val="0"/>
      <w:szCs w:val="20"/>
    </w:rPr>
  </w:style>
  <w:style w:type="paragraph" w:customStyle="1" w:styleId="61">
    <w:name w:val="表格标题博泵"/>
    <w:basedOn w:val="1"/>
    <w:qFormat/>
    <w:uiPriority w:val="0"/>
    <w:pPr>
      <w:adjustRightInd w:val="0"/>
      <w:snapToGrid w:val="0"/>
      <w:jc w:val="center"/>
      <w:textAlignment w:val="baseline"/>
    </w:pPr>
    <w:rPr>
      <w:b/>
      <w:color w:val="000000"/>
    </w:rPr>
  </w:style>
  <w:style w:type="paragraph" w:customStyle="1" w:styleId="62">
    <w:name w:val="表格首行"/>
    <w:basedOn w:val="1"/>
    <w:qFormat/>
    <w:uiPriority w:val="0"/>
    <w:pPr>
      <w:jc w:val="center"/>
    </w:pPr>
    <w:rPr>
      <w:rFonts w:eastAsia="仿宋_GB2312"/>
      <w:b/>
      <w:szCs w:val="21"/>
    </w:rPr>
  </w:style>
  <w:style w:type="paragraph" w:customStyle="1" w:styleId="63">
    <w:name w:val="正文加粗"/>
    <w:basedOn w:val="64"/>
    <w:qFormat/>
    <w:uiPriority w:val="0"/>
    <w:pPr>
      <w:ind w:firstLine="482"/>
    </w:pPr>
    <w:rPr>
      <w:b/>
      <w:snapToGrid w:val="0"/>
    </w:rPr>
  </w:style>
  <w:style w:type="paragraph" w:customStyle="1" w:styleId="64">
    <w:name w:val="报告表正文"/>
    <w:basedOn w:val="54"/>
    <w:qFormat/>
    <w:uiPriority w:val="0"/>
    <w:pPr>
      <w:ind w:firstLine="200" w:firstLineChars="200"/>
      <w:jc w:val="left"/>
    </w:pPr>
    <w:rPr>
      <w:rFonts w:ascii="Times New Roman" w:hAnsi="Times New Roman"/>
      <w:szCs w:val="24"/>
    </w:rPr>
  </w:style>
  <w:style w:type="paragraph" w:styleId="65">
    <w:name w:val="List Paragraph"/>
    <w:basedOn w:val="1"/>
    <w:qFormat/>
    <w:uiPriority w:val="0"/>
    <w:pPr>
      <w:ind w:firstLine="420" w:firstLineChars="200"/>
    </w:pPr>
    <w:rPr>
      <w:szCs w:val="20"/>
    </w:rPr>
  </w:style>
  <w:style w:type="paragraph" w:customStyle="1" w:styleId="66">
    <w:name w:val="加粗（无缩进）"/>
    <w:basedOn w:val="1"/>
    <w:qFormat/>
    <w:uiPriority w:val="0"/>
    <w:pPr>
      <w:spacing w:line="400" w:lineRule="exact"/>
    </w:pPr>
    <w:rPr>
      <w:rFonts w:eastAsia="仿宋_GB2312"/>
      <w:b/>
      <w:bCs/>
      <w:sz w:val="24"/>
    </w:rPr>
  </w:style>
  <w:style w:type="paragraph" w:customStyle="1" w:styleId="67">
    <w:name w:val="表格中文字"/>
    <w:basedOn w:val="1"/>
    <w:qFormat/>
    <w:uiPriority w:val="0"/>
    <w:pPr>
      <w:adjustRightInd w:val="0"/>
      <w:snapToGrid w:val="0"/>
      <w:jc w:val="center"/>
    </w:pPr>
    <w:rPr>
      <w:kern w:val="18"/>
      <w:szCs w:val="21"/>
    </w:rPr>
  </w:style>
  <w:style w:type="paragraph" w:customStyle="1" w:styleId="68">
    <w:name w:val="表格内容"/>
    <w:basedOn w:val="19"/>
    <w:qFormat/>
    <w:uiPriority w:val="0"/>
    <w:pPr>
      <w:overflowPunct w:val="0"/>
      <w:adjustRightInd w:val="0"/>
      <w:spacing w:before="40" w:after="60" w:line="200" w:lineRule="atLeast"/>
      <w:textAlignment w:val="baseline"/>
    </w:pPr>
    <w:rPr>
      <w:rFonts w:ascii="Arial" w:hAnsi="Arial" w:eastAsia="仿宋_GB2312"/>
      <w:kern w:val="0"/>
      <w:sz w:val="24"/>
    </w:rPr>
  </w:style>
  <w:style w:type="paragraph" w:customStyle="1" w:styleId="69">
    <w:name w:val="Table Paragraph"/>
    <w:basedOn w:val="1"/>
    <w:qFormat/>
    <w:uiPriority w:val="1"/>
    <w:pPr>
      <w:autoSpaceDE w:val="0"/>
      <w:autoSpaceDN w:val="0"/>
    </w:pPr>
    <w:rPr>
      <w:rFonts w:ascii="宋体" w:cs="宋体"/>
      <w:sz w:val="24"/>
    </w:rPr>
  </w:style>
  <w:style w:type="paragraph" w:customStyle="1" w:styleId="70">
    <w:name w:val="报告正文"/>
    <w:unhideWhenUsed/>
    <w:qFormat/>
    <w:uiPriority w:val="0"/>
    <w:pPr>
      <w:spacing w:line="360" w:lineRule="auto"/>
      <w:ind w:firstLine="200" w:firstLineChars="200"/>
    </w:pPr>
    <w:rPr>
      <w:rFonts w:ascii="Times New Roman" w:hAnsi="Times New Roman" w:eastAsia="宋体" w:cs="Times New Roman"/>
      <w:kern w:val="44"/>
      <w:sz w:val="24"/>
      <w:szCs w:val="24"/>
      <w:lang w:val="en-US" w:eastAsia="zh-CN" w:bidi="ar-SA"/>
    </w:rPr>
  </w:style>
  <w:style w:type="paragraph" w:customStyle="1" w:styleId="71">
    <w:name w:val="表蕊居中"/>
    <w:qFormat/>
    <w:uiPriority w:val="0"/>
    <w:pPr>
      <w:spacing w:line="320" w:lineRule="exact"/>
      <w:jc w:val="center"/>
    </w:pPr>
    <w:rPr>
      <w:rFonts w:ascii="Times New Roman" w:hAnsi="Times New Roman" w:eastAsia="宋体" w:cs="Times New Roman"/>
      <w:spacing w:val="8"/>
      <w:sz w:val="21"/>
      <w:szCs w:val="28"/>
      <w:lang w:val="en-US" w:eastAsia="zh-CN" w:bidi="ar-SA"/>
    </w:rPr>
  </w:style>
  <w:style w:type="paragraph" w:customStyle="1" w:styleId="72">
    <w:name w:val="表格。。"/>
    <w:basedOn w:val="1"/>
    <w:qFormat/>
    <w:uiPriority w:val="0"/>
    <w:pPr>
      <w:jc w:val="center"/>
    </w:pPr>
  </w:style>
  <w:style w:type="paragraph" w:customStyle="1" w:styleId="73">
    <w:name w:val="Default"/>
    <w:basedOn w:val="74"/>
    <w:next w:val="1"/>
    <w:qFormat/>
    <w:uiPriority w:val="0"/>
    <w:pPr>
      <w:autoSpaceDE w:val="0"/>
      <w:autoSpaceDN w:val="0"/>
      <w:spacing w:after="200" w:line="276" w:lineRule="auto"/>
    </w:pPr>
    <w:rPr>
      <w:rFonts w:cs="宋体"/>
      <w:color w:val="000000"/>
      <w:sz w:val="24"/>
      <w:szCs w:val="24"/>
    </w:rPr>
  </w:style>
  <w:style w:type="paragraph" w:customStyle="1" w:styleId="74">
    <w:name w:val="纯文本1"/>
    <w:basedOn w:val="1"/>
    <w:qFormat/>
    <w:uiPriority w:val="0"/>
    <w:pPr>
      <w:adjustRightInd w:val="0"/>
    </w:pPr>
    <w:rPr>
      <w:rFonts w:ascii="宋体" w:hAnsi="Courier New"/>
      <w:szCs w:val="20"/>
    </w:rPr>
  </w:style>
  <w:style w:type="paragraph" w:customStyle="1" w:styleId="75">
    <w:name w:val="表格文字"/>
    <w:basedOn w:val="1"/>
    <w:qFormat/>
    <w:uiPriority w:val="0"/>
    <w:pPr>
      <w:adjustRightInd w:val="0"/>
      <w:snapToGrid w:val="0"/>
      <w:jc w:val="center"/>
    </w:pPr>
    <w:rPr>
      <w:rFonts w:ascii="仿宋_GB2312" w:hAnsi="Arial Black" w:eastAsia="仿宋_GB2312"/>
      <w:kern w:val="44"/>
      <w:sz w:val="24"/>
    </w:rPr>
  </w:style>
  <w:style w:type="paragraph" w:customStyle="1" w:styleId="76">
    <w:name w:val="表格 普通文字"/>
    <w:qFormat/>
    <w:uiPriority w:val="99"/>
    <w:pPr>
      <w:jc w:val="center"/>
    </w:pPr>
    <w:rPr>
      <w:rFonts w:ascii="Times New Roman" w:hAnsi="Times New Roman" w:eastAsia="仿宋_GB2312" w:cs="Times New Roman"/>
      <w:kern w:val="2"/>
      <w:sz w:val="21"/>
      <w:szCs w:val="21"/>
      <w:lang w:val="en-US" w:eastAsia="zh-CN" w:bidi="ar-SA"/>
    </w:rPr>
  </w:style>
  <w:style w:type="paragraph" w:customStyle="1" w:styleId="77">
    <w:name w:val="表格内文字"/>
    <w:basedOn w:val="1"/>
    <w:qFormat/>
    <w:uiPriority w:val="0"/>
    <w:pPr>
      <w:tabs>
        <w:tab w:val="left" w:pos="0"/>
      </w:tabs>
      <w:adjustRightInd w:val="0"/>
      <w:snapToGrid w:val="0"/>
      <w:jc w:val="center"/>
    </w:pPr>
    <w:rPr>
      <w:rFonts w:eastAsia="仿宋_GB2312"/>
      <w:sz w:val="24"/>
    </w:rPr>
  </w:style>
  <w:style w:type="paragraph" w:customStyle="1" w:styleId="78">
    <w:name w:val="第一、五章 表格正文"/>
    <w:basedOn w:val="7"/>
    <w:qFormat/>
    <w:uiPriority w:val="0"/>
    <w:pPr>
      <w:jc w:val="center"/>
    </w:pPr>
    <w:rPr>
      <w:rFonts w:eastAsia="仿宋_GB2312"/>
    </w:rPr>
  </w:style>
  <w:style w:type="paragraph" w:customStyle="1" w:styleId="79">
    <w:name w:val="111正文"/>
    <w:basedOn w:val="1"/>
    <w:qFormat/>
    <w:uiPriority w:val="0"/>
    <w:pPr>
      <w:tabs>
        <w:tab w:val="left" w:pos="600"/>
      </w:tabs>
      <w:spacing w:line="360" w:lineRule="auto"/>
      <w:ind w:firstLine="200" w:firstLineChars="200"/>
    </w:pPr>
    <w:rPr>
      <w:kern w:val="0"/>
      <w:sz w:val="24"/>
      <w:szCs w:val="22"/>
    </w:rPr>
  </w:style>
  <w:style w:type="paragraph" w:customStyle="1" w:styleId="80">
    <w:name w:val="正本文字"/>
    <w:basedOn w:val="1"/>
    <w:qFormat/>
    <w:uiPriority w:val="0"/>
    <w:pPr>
      <w:adjustRightInd w:val="0"/>
      <w:snapToGrid w:val="0"/>
      <w:spacing w:line="360" w:lineRule="auto"/>
      <w:ind w:firstLine="200" w:firstLineChars="200"/>
      <w:jc w:val="left"/>
    </w:pPr>
    <w:rPr>
      <w:kern w:val="18"/>
      <w:sz w:val="24"/>
    </w:rPr>
  </w:style>
  <w:style w:type="paragraph" w:customStyle="1" w:styleId="81">
    <w:name w:val="框图"/>
    <w:basedOn w:val="1"/>
    <w:qFormat/>
    <w:uiPriority w:val="0"/>
    <w:pPr>
      <w:adjustRightInd w:val="0"/>
      <w:snapToGrid w:val="0"/>
      <w:jc w:val="center"/>
    </w:pPr>
    <w:rPr>
      <w:rFonts w:ascii="宋体" w:hAnsi="宋体"/>
      <w:szCs w:val="21"/>
    </w:rPr>
  </w:style>
  <w:style w:type="paragraph" w:customStyle="1" w:styleId="82">
    <w:name w:val="0报告表正文"/>
    <w:basedOn w:val="1"/>
    <w:qFormat/>
    <w:uiPriority w:val="0"/>
    <w:pPr>
      <w:adjustRightInd w:val="0"/>
      <w:snapToGrid w:val="0"/>
      <w:spacing w:line="360" w:lineRule="auto"/>
      <w:ind w:firstLine="200" w:firstLineChars="200"/>
    </w:pPr>
    <w:rPr>
      <w:color w:val="000000"/>
      <w:sz w:val="24"/>
      <w:szCs w:val="22"/>
    </w:rPr>
  </w:style>
  <w:style w:type="paragraph" w:customStyle="1" w:styleId="83">
    <w:name w:val="1图表正文"/>
    <w:basedOn w:val="1"/>
    <w:qFormat/>
    <w:uiPriority w:val="0"/>
    <w:pPr>
      <w:tabs>
        <w:tab w:val="left" w:pos="1425"/>
      </w:tabs>
      <w:jc w:val="center"/>
    </w:pPr>
    <w:rPr>
      <w:bCs/>
      <w:color w:val="000000"/>
      <w:szCs w:val="21"/>
    </w:rPr>
  </w:style>
  <w:style w:type="paragraph" w:customStyle="1" w:styleId="84">
    <w:name w:val="Char Char Char"/>
    <w:basedOn w:val="1"/>
    <w:qFormat/>
    <w:uiPriority w:val="0"/>
    <w:rPr>
      <w:rFonts w:ascii="Tahoma" w:hAnsi="Tahoma"/>
      <w:sz w:val="24"/>
      <w:szCs w:val="20"/>
    </w:rPr>
  </w:style>
  <w:style w:type="paragraph" w:customStyle="1" w:styleId="85">
    <w:name w:val="表中文字"/>
    <w:basedOn w:val="1"/>
    <w:qFormat/>
    <w:uiPriority w:val="0"/>
    <w:pPr>
      <w:autoSpaceDE w:val="0"/>
      <w:autoSpaceDN w:val="0"/>
      <w:adjustRightInd w:val="0"/>
      <w:snapToGrid w:val="0"/>
      <w:spacing w:line="400" w:lineRule="exact"/>
      <w:ind w:firstLine="601"/>
      <w:jc w:val="center"/>
      <w:textAlignment w:val="baseline"/>
    </w:pPr>
    <w:rPr>
      <w:rFonts w:ascii="宋体" w:eastAsia="楷体_GB2312"/>
      <w:spacing w:val="8"/>
      <w:kern w:val="0"/>
      <w:sz w:val="24"/>
      <w:szCs w:val="20"/>
    </w:rPr>
  </w:style>
  <w:style w:type="paragraph" w:customStyle="1" w:styleId="86">
    <w:name w:val="样式 自动设置"/>
    <w:basedOn w:val="1"/>
    <w:link w:val="87"/>
    <w:qFormat/>
    <w:uiPriority w:val="0"/>
    <w:pPr>
      <w:autoSpaceDE w:val="0"/>
      <w:autoSpaceDN w:val="0"/>
      <w:adjustRightInd w:val="0"/>
      <w:snapToGrid w:val="0"/>
      <w:spacing w:beforeLines="50" w:line="288" w:lineRule="auto"/>
      <w:ind w:firstLine="200" w:firstLineChars="200"/>
    </w:pPr>
    <w:rPr>
      <w:rFonts w:ascii="Tahoma" w:hAnsi="Tahoma"/>
      <w:sz w:val="24"/>
    </w:rPr>
  </w:style>
  <w:style w:type="character" w:customStyle="1" w:styleId="87">
    <w:name w:val="样式 自动设置 Char"/>
    <w:link w:val="86"/>
    <w:qFormat/>
    <w:uiPriority w:val="0"/>
    <w:rPr>
      <w:rFonts w:ascii="Tahoma" w:hAnsi="Tahoma" w:cs="宋体"/>
      <w:kern w:val="2"/>
      <w:sz w:val="24"/>
      <w:szCs w:val="24"/>
    </w:rPr>
  </w:style>
  <w:style w:type="paragraph" w:customStyle="1" w:styleId="8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89">
    <w:name w:val="_Style 53"/>
    <w:basedOn w:val="1"/>
    <w:qFormat/>
    <w:uiPriority w:val="0"/>
  </w:style>
  <w:style w:type="paragraph" w:customStyle="1" w:styleId="90">
    <w:name w:val="2"/>
    <w:basedOn w:val="1"/>
    <w:qFormat/>
    <w:uiPriority w:val="0"/>
    <w:pPr>
      <w:tabs>
        <w:tab w:val="left" w:pos="420"/>
      </w:tabs>
      <w:snapToGrid w:val="0"/>
      <w:spacing w:line="360" w:lineRule="auto"/>
      <w:ind w:left="420" w:hanging="420"/>
    </w:pPr>
    <w:rPr>
      <w:rFonts w:eastAsia="仿宋_GB2312" w:cs="宋体"/>
      <w:sz w:val="24"/>
    </w:rPr>
  </w:style>
  <w:style w:type="paragraph" w:customStyle="1" w:styleId="91">
    <w:name w:val="创业表格"/>
    <w:basedOn w:val="92"/>
    <w:qFormat/>
    <w:uiPriority w:val="0"/>
    <w:pPr>
      <w:spacing w:line="240" w:lineRule="auto"/>
    </w:pPr>
    <w:rPr>
      <w:rFonts w:eastAsia="Times New Roman"/>
      <w:b w:val="0"/>
      <w:sz w:val="21"/>
    </w:rPr>
  </w:style>
  <w:style w:type="paragraph" w:customStyle="1" w:styleId="92">
    <w:name w:val="创业表头"/>
    <w:basedOn w:val="1"/>
    <w:qFormat/>
    <w:uiPriority w:val="99"/>
    <w:pPr>
      <w:snapToGrid w:val="0"/>
      <w:spacing w:line="360" w:lineRule="auto"/>
      <w:jc w:val="center"/>
    </w:pPr>
    <w:rPr>
      <w:b/>
      <w:sz w:val="24"/>
      <w:szCs w:val="20"/>
    </w:rPr>
  </w:style>
  <w:style w:type="paragraph" w:customStyle="1" w:styleId="93">
    <w:name w:val="1正文"/>
    <w:basedOn w:val="1"/>
    <w:qFormat/>
    <w:uiPriority w:val="99"/>
    <w:pPr>
      <w:autoSpaceDE w:val="0"/>
      <w:autoSpaceDN w:val="0"/>
      <w:adjustRightInd w:val="0"/>
      <w:snapToGrid w:val="0"/>
      <w:spacing w:line="500" w:lineRule="exact"/>
      <w:ind w:firstLine="200" w:firstLineChars="200"/>
    </w:pPr>
    <w:rPr>
      <w:bCs/>
      <w:spacing w:val="5"/>
      <w:kern w:val="0"/>
      <w:sz w:val="24"/>
      <w:szCs w:val="21"/>
    </w:rPr>
  </w:style>
  <w:style w:type="paragraph" w:customStyle="1" w:styleId="94">
    <w:name w:val="样式 样式 样式 自动设置 + 五号 段前: 0.5 行 行距: 单倍行距 + 段前: 0.5 行"/>
    <w:basedOn w:val="1"/>
    <w:qFormat/>
    <w:uiPriority w:val="0"/>
    <w:pPr>
      <w:autoSpaceDE w:val="0"/>
      <w:autoSpaceDN w:val="0"/>
      <w:adjustRightInd w:val="0"/>
      <w:snapToGrid w:val="0"/>
    </w:pPr>
    <w:rPr>
      <w:rFonts w:cs="宋体"/>
      <w:szCs w:val="20"/>
    </w:rPr>
  </w:style>
  <w:style w:type="paragraph" w:customStyle="1" w:styleId="95">
    <w:name w:val="xl27"/>
    <w:basedOn w:val="1"/>
    <w:qFormat/>
    <w:uiPriority w:val="0"/>
    <w:pPr>
      <w:widowControl/>
      <w:pBdr>
        <w:bottom w:val="single" w:color="auto" w:sz="12" w:space="0"/>
      </w:pBdr>
      <w:spacing w:before="100" w:after="100"/>
      <w:jc w:val="center"/>
    </w:pPr>
    <w:rPr>
      <w:rFonts w:ascii="宋体" w:hAns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oleObject2.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74"/>
    <customShpInfo spid="_x0000_s3075"/>
    <customShpInfo spid="_x0000_s2050"/>
    <customShpInfo spid="_x0000_s2051"/>
    <customShpInfo spid="_x0000_s2052"/>
    <customShpInfo spid="_x0000_s2053"/>
    <customShpInfo spid="_x0000_s4396"/>
    <customShpInfo spid="_x0000_s4397"/>
    <customShpInfo spid="_x0000_s4398"/>
    <customShpInfo spid="_x0000_s4399"/>
    <customShpInfo spid="_x0000_s4400"/>
    <customShpInfo spid="_x0000_s4401"/>
    <customShpInfo spid="_x0000_s4402"/>
    <customShpInfo spid="_x0000_s4403"/>
    <customShpInfo spid="_x0000_s4404"/>
    <customShpInfo spid="_x0000_s4405"/>
    <customShpInfo spid="_x0000_s4406"/>
    <customShpInfo spid="_x0000_s4407"/>
    <customShpInfo spid="_x0000_s4408"/>
    <customShpInfo spid="_x0000_s4409"/>
    <customShpInfo spid="_x0000_s4410"/>
    <customShpInfo spid="_x0000_s4411"/>
    <customShpInfo spid="_x0000_s4412"/>
    <customShpInfo spid="_x0000_s4413"/>
    <customShpInfo spid="_x0000_s4414"/>
    <customShpInfo spid="_x0000_s4415"/>
    <customShpInfo spid="_x0000_s4416"/>
    <customShpInfo spid="_x0000_s4417"/>
    <customShpInfo spid="_x0000_s4418"/>
    <customShpInfo spid="_x0000_s2054"/>
    <customShpInfo spid="_x0000_s4419"/>
    <customShpInfo spid="_x0000_s4420"/>
    <customShpInfo spid="_x0000_s4422"/>
    <customShpInfo spid="_x0000_s4423"/>
    <customShpInfo spid="_x0000_s4424"/>
    <customShpInfo spid="_x0000_s4425"/>
    <customShpInfo spid="_x0000_s4426"/>
    <customShpInfo spid="_x0000_s4427"/>
    <customShpInfo spid="_x0000_s4428"/>
    <customShpInfo spid="_x0000_s4429"/>
    <customShpInfo spid="_x0000_s4430"/>
    <customShpInfo spid="_x0000_s4431"/>
    <customShpInfo spid="_x0000_s4432"/>
    <customShpInfo spid="_x0000_s4433"/>
    <customShpInfo spid="_x0000_s4434"/>
    <customShpInfo spid="_x0000_s4435"/>
    <customShpInfo spid="_x0000_s4436"/>
    <customShpInfo spid="_x0000_s4437"/>
    <customShpInfo spid="_x0000_s4421"/>
    <customShpInfo spid="_x0000_s4439"/>
    <customShpInfo spid="_x0000_s4440"/>
    <customShpInfo spid="_x0000_s4441"/>
    <customShpInfo spid="_x0000_s4442"/>
    <customShpInfo spid="_x0000_s4443"/>
    <customShpInfo spid="_x0000_s4444"/>
    <customShpInfo spid="_x0000_s4445"/>
    <customShpInfo spid="_x0000_s4446"/>
    <customShpInfo spid="_x0000_s4447"/>
    <customShpInfo spid="_x0000_s4448"/>
    <customShpInfo spid="_x0000_s4449"/>
    <customShpInfo spid="_x0000_s4450"/>
    <customShpInfo spid="_x0000_s4451"/>
    <customShpInfo spid="_x0000_s4452"/>
    <customShpInfo spid="_x0000_s4453"/>
    <customShpInfo spid="_x0000_s4454"/>
    <customShpInfo spid="_x0000_s4455"/>
    <customShpInfo spid="_x0000_s4456"/>
    <customShpInfo spid="_x0000_s4457"/>
    <customShpInfo spid="_x0000_s4438"/>
    <customShpInfo spid="_x0000_s4459"/>
    <customShpInfo spid="_x0000_s4460"/>
    <customShpInfo spid="_x0000_s4461"/>
    <customShpInfo spid="_x0000_s4462"/>
    <customShpInfo spid="_x0000_s4463"/>
    <customShpInfo spid="_x0000_s4464"/>
    <customShpInfo spid="_x0000_s4465"/>
    <customShpInfo spid="_x0000_s4466"/>
    <customShpInfo spid="_x0000_s4467"/>
    <customShpInfo spid="_x0000_s4468"/>
    <customShpInfo spid="_x0000_s4469"/>
    <customShpInfo spid="_x0000_s4458"/>
    <customShpInfo spid="_x0000_s4471"/>
    <customShpInfo spid="_x0000_s4472"/>
    <customShpInfo spid="_x0000_s4473"/>
    <customShpInfo spid="_x0000_s4474"/>
    <customShpInfo spid="_x0000_s4475"/>
    <customShpInfo spid="_x0000_s4476"/>
    <customShpInfo spid="_x0000_s4477"/>
    <customShpInfo spid="_x0000_s4478"/>
    <customShpInfo spid="_x0000_s4479"/>
    <customShpInfo spid="_x0000_s4480"/>
    <customShpInfo spid="_x0000_s4481"/>
    <customShpInfo spid="_x0000_s4482"/>
    <customShpInfo spid="_x0000_s4483"/>
    <customShpInfo spid="_x0000_s4484"/>
    <customShpInfo spid="_x0000_s4470"/>
    <customShpInfo spid="_x0000_s4486"/>
    <customShpInfo spid="_x0000_s4487"/>
    <customShpInfo spid="_x0000_s4488"/>
    <customShpInfo spid="_x0000_s4489"/>
    <customShpInfo spid="_x0000_s4490"/>
    <customShpInfo spid="_x0000_s4491"/>
    <customShpInfo spid="_x0000_s4492"/>
    <customShpInfo spid="_x0000_s4493"/>
    <customShpInfo spid="_x0000_s4494"/>
    <customShpInfo spid="_x0000_s4495"/>
    <customShpInfo spid="_x0000_s4496"/>
    <customShpInfo spid="_x0000_s4497"/>
    <customShpInfo spid="_x0000_s4498"/>
    <customShpInfo spid="_x0000_s4499"/>
    <customShpInfo spid="_x0000_s4500"/>
    <customShpInfo spid="_x0000_s4501"/>
    <customShpInfo spid="_x0000_s4502"/>
    <customShpInfo spid="_x0000_s4503"/>
    <customShpInfo spid="_x0000_s4485"/>
    <customShpInfo spid="_x0000_s4505"/>
    <customShpInfo spid="_x0000_s4506"/>
    <customShpInfo spid="_x0000_s4507"/>
    <customShpInfo spid="_x0000_s4508"/>
    <customShpInfo spid="_x0000_s4509"/>
    <customShpInfo spid="_x0000_s4510"/>
    <customShpInfo spid="_x0000_s4511"/>
    <customShpInfo spid="_x0000_s4512"/>
    <customShpInfo spid="_x0000_s4513"/>
    <customShpInfo spid="_x0000_s4514"/>
    <customShpInfo spid="_x0000_s4515"/>
    <customShpInfo spid="_x0000_s4516"/>
    <customShpInfo spid="_x0000_s4517"/>
    <customShpInfo spid="_x0000_s4518"/>
    <customShpInfo spid="_x0000_s4519"/>
    <customShpInfo spid="_x0000_s4520"/>
    <customShpInfo spid="_x0000_s4521"/>
    <customShpInfo spid="_x0000_s4522"/>
    <customShpInfo spid="_x0000_s4504"/>
    <customShpInfo spid="_x0000_s4524"/>
    <customShpInfo spid="_x0000_s4525"/>
    <customShpInfo spid="_x0000_s4526"/>
    <customShpInfo spid="_x0000_s4527"/>
    <customShpInfo spid="_x0000_s4528"/>
    <customShpInfo spid="_x0000_s4529"/>
    <customShpInfo spid="_x0000_s4530"/>
    <customShpInfo spid="_x0000_s4531"/>
    <customShpInfo spid="_x0000_s4532"/>
    <customShpInfo spid="_x0000_s4533"/>
    <customShpInfo spid="_x0000_s452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146</Pages>
  <Words>20276</Words>
  <Characters>21187</Characters>
  <Lines>947</Lines>
  <Paragraphs>266</Paragraphs>
  <TotalTime>4</TotalTime>
  <ScaleCrop>false</ScaleCrop>
  <LinksUpToDate>false</LinksUpToDate>
  <CharactersWithSpaces>21429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2022-08-01T01:12:00Z</dcterms:created>
  <dc:creator>xu luling</dc:creator>
  <cp:lastModifiedBy>球球</cp:lastModifiedBy>
  <cp:lastPrinted>2025-07-22T03:08:00Z</cp:lastPrinted>
  <dcterms:modified xsi:type="dcterms:W3CDTF">2025-07-30T06:57:51Z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58F8D2C4688D423FB1292116CD9A4FA6_13</vt:lpwstr>
  </property>
  <property fmtid="{D5CDD505-2E9C-101B-9397-08002B2CF9AE}" pid="4" name="commondata">
    <vt:lpwstr>eyJoZGlkIjoiYTBlZGY1MzRlZTI1Njg5YTk1MDRhYWEzMWU1YzkwYWMifQ==</vt:lpwstr>
  </property>
  <property fmtid="{D5CDD505-2E9C-101B-9397-08002B2CF9AE}" pid="5" name="KSOTemplateDocerSaveRecord">
    <vt:lpwstr>eyJoZGlkIjoiYWZhMzA0MTE2MGQ3ODcwOTgyMWY3NzY0ZDhkYzQxODciLCJ1c2VySWQiOiIzODk2NzQyOTcifQ==</vt:lpwstr>
  </property>
</Properties>
</file>